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97).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97).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52);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70"/>
    <w:bookmarkStart w:id="71"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32).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stated here because it is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1"/>
    <w:bookmarkStart w:id="72"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An objection should be anticipated rather than left for a reader to formulate: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52).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 43</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 32</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 32; OPR-18, p. 52 (five years recommended)</w:t>
            </w:r>
          </w:p>
        </w:tc>
        <w:tc>
          <w:tcPr/>
          <w:p>
            <w:pPr>
              <w:pStyle w:val="Compact"/>
              <w:jc w:val="left"/>
            </w:pPr>
            <w:r>
              <w:t xml:space="preserve">Floor parameter</w:t>
            </w:r>
            <w:r>
              <w:t xml:space="preserve"> </w:t>
            </w:r>
            <m:oMath>
              <m:r>
                <m:t>F</m:t>
              </m:r>
              <m:r>
                <m:rPr>
                  <m:sty m:val="p"/>
                </m:rPr>
                <m:t>=</m:t>
              </m:r>
              <m:r>
                <m:t>12</m:t>
              </m:r>
            </m:oMath>
            <w:r>
              <w:t xml:space="preserve">; any longer value is a parameter change (Corollary 2.2)</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 32; OPR-8, p. 47</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Logs protected against tampering</w:t>
            </w:r>
          </w:p>
        </w:tc>
        <w:tc>
          <w:tcPr/>
          <w:p>
            <w:pPr>
              <w:pStyle w:val="Compact"/>
              <w:jc w:val="left"/>
            </w:pPr>
            <w:r>
              <w:t xml:space="preserve">D7.4, Table 5.4, OPR-17, and OPR-18, p. 52</w:t>
            </w:r>
          </w:p>
        </w:tc>
        <w:tc>
          <w:tcPr/>
          <w:p>
            <w:pPr>
              <w:pStyle w:val="Compact"/>
              <w:jc w:val="left"/>
            </w:pPr>
            <w:r>
              <w:t xml:space="preserve">Append-only Merkle log; an altered entry fails its inclusion proof</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(both tamper tests fail</w:t>
            </w:r>
            <w:r>
              <w:t xml:space="preserve"> </w:t>
            </w:r>
            <m:oMath>
              <m:sSup>
                <m:e>
                  <m:r>
                    <m:t>V</m:t>
                  </m:r>
                </m:e>
                <m:sup>
                  <m:r>
                    <m:t>I</m:t>
                  </m:r>
                  <m:r>
                    <m:t>I</m:t>
                  </m:r>
                </m:sup>
              </m:sSup>
            </m:oMath>
            <w:r>
              <w:t xml:space="preserve">)</w:t>
            </w:r>
          </w:p>
        </w:tc>
      </w:tr>
      <w:tr>
        <w:tc>
          <w:tcPr/>
          <w:p>
            <w:pPr>
              <w:pStyle w:val="Compact"/>
              <w:jc w:val="left"/>
            </w:pPr>
            <w:r>
              <w:t xml:space="preserve">Logging proportionate; no unnecessary detail on user behaviour; must cover access to electronic health data</w:t>
            </w:r>
          </w:p>
        </w:tc>
        <w:tc>
          <w:tcPr/>
          <w:p>
            <w:pPr>
              <w:pStyle w:val="Compact"/>
              <w:jc w:val="left"/>
            </w:pPr>
            <w:r>
              <w:t xml:space="preserve">D7.4, Table 5.4, OPR-17, p. 52</w:t>
            </w:r>
          </w:p>
        </w:tc>
        <w:tc>
          <w:tcPr/>
          <w:p>
            <w:pPr>
              <w:pStyle w:val="Compact"/>
              <w:jc w:val="left"/>
            </w:pPr>
            <w:r>
              <w:t xml:space="preserve">Accessor fields kept; subject fields only where the log is kept per patient record, and removed at the ceiling</w:t>
            </w:r>
          </w:p>
        </w:tc>
        <w:tc>
          <w:tcPr/>
          <w:p>
            <w:pPr>
              <w:pStyle w:val="Compact"/>
              <w:jc w:val="left"/>
            </w:pPr>
            <w:r>
              <w:t xml:space="preserve">§4.3, §4.10 Rival 3</w:t>
            </w:r>
          </w:p>
        </w:tc>
        <w:tc>
          <w:tcPr/>
          <w:p>
            <w:pPr>
              <w:pStyle w:val="Compact"/>
              <w:jc w:val="left"/>
            </w:pPr>
            <w:r>
              <w:t xml:space="preserve">Met by specification; granularity is the operator’s choice, which the specification leaves open</w:t>
            </w:r>
          </w:p>
        </w:tc>
      </w:tr>
      <w:tr>
        <w:tc>
          <w:tcPr/>
          <w:p>
            <w:pPr>
              <w:pStyle w:val="Compact"/>
              <w:jc w:val="left"/>
            </w:pPr>
            <w:r>
              <w:t xml:space="preserve">Deletion</w:t>
            </w:r>
            <w:r>
              <w:t xml:space="preserve"> </w:t>
            </w:r>
            <w:r>
              <w:t xml:space="preserve">“</w:t>
            </w:r>
            <w:r>
              <w:t xml:space="preserve">while ensuring compliance with applicable legal obligations and traceability or reproducibility requirements</w:t>
            </w:r>
            <w:r>
              <w:t xml:space="preserve">”</w:t>
            </w:r>
            <w:r>
              <w:t xml:space="preserve">; the deletion and retention policy to</w:t>
            </w:r>
            <w:r>
              <w:t xml:space="preserve"> </w:t>
            </w:r>
            <w:r>
              <w:t xml:space="preserve">“</w:t>
            </w:r>
            <w:r>
              <w:t xml:space="preserve">balance these obligations</w:t>
            </w:r>
            <w:r>
              <w:t xml:space="preserve">”</w:t>
            </w:r>
          </w:p>
        </w:tc>
        <w:tc>
          <w:tcPr/>
          <w:p>
            <w:pPr>
              <w:pStyle w:val="Compact"/>
              <w:jc w:val="left"/>
            </w:pPr>
            <w:r>
              <w:t xml:space="preserve">D7.4, Table 5.2, OPR-6, p. 43</w:t>
            </w:r>
          </w:p>
        </w:tc>
        <w:tc>
          <w:tcPr/>
          <w:p>
            <w:pPr>
              <w:pStyle w:val="Compact"/>
              <w:jc w:val="left"/>
            </w:pPr>
            <w:r>
              <w:t xml:space="preserve">Supplies the balance for the logs: what accountability needs is kept, what the ceiling reaches is invalidated</w:t>
            </w:r>
          </w:p>
        </w:tc>
        <w:tc>
          <w:tcPr/>
          <w:p>
            <w:pPr>
              <w:pStyle w:val="Compact"/>
              <w:jc w:val="left"/>
            </w:pPr>
            <w:r>
              <w:t xml:space="preserve">§4.7, §4.8</w:t>
            </w:r>
          </w:p>
        </w:tc>
        <w:tc>
          <w:tcPr/>
          <w:p>
            <w:pPr>
              <w:pStyle w:val="Compact"/>
              <w:jc w:val="left"/>
            </w:pPr>
            <w:r>
              <w:t xml:space="preserve">Met by specification: the specification asks for the balance and leaves its form open</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p>
        </w:tc>
        <w:tc>
          <w:tcPr/>
          <w:p>
            <w:pPr>
              <w:pStyle w:val="Compact"/>
              <w:jc w:val="left"/>
            </w:pPr>
            <w:r>
              <w:t xml:space="preserve">Met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the key hierarchy, the terminal transition and the legal necessity argument, none of which a sandbox can demonstrate; and one row is open, which no artefact can close.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propositions of Chapter 4 hold on the instances examined.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A.9e and A.15):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3"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9e-source-listing-crypto_envelope.py"/>
    <w:p>
      <w:pPr>
        <w:pStyle w:val="Heading2"/>
      </w:pPr>
      <w:r>
        <w:t xml:space="preserve">A.9e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5"/>
    <w:bookmarkStart w:id="126"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6"/>
    <w:bookmarkStart w:id="127"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7"/>
    <w:bookmarkStart w:id="128"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8"/>
    <w:bookmarkStart w:id="129"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9"/>
    <w:bookmarkStart w:id="130"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30"/>
    <w:bookmarkStart w:id="131"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1"/>
    <w:bookmarkStart w:id="132" w:name="X72c60d57ebc08f29c4a4b3c1c33406f54368d18"/>
    <w:p>
      <w:pPr>
        <w:pStyle w:val="Heading2"/>
      </w:pPr>
      <w:r>
        <w:t xml:space="preserve">A.15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2"/>
    <w:bookmarkEnd w:id="133"/>
    <w:bookmarkStart w:id="140"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4"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4"/>
    <w:bookmarkStart w:id="135"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5"/>
    <w:bookmarkStart w:id="136"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6"/>
    <w:bookmarkStart w:id="137"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7"/>
    <w:bookmarkStart w:id="138"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8"/>
    <w:bookmarkStart w:id="139"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9"/>
    <w:bookmarkEnd w:id="140"/>
    <w:bookmarkStart w:id="160"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1"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1"/>
    <w:bookmarkStart w:id="142"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2"/>
    <w:bookmarkStart w:id="143"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3"/>
    <w:bookmarkStart w:id="144"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4"/>
    <w:bookmarkStart w:id="145"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5"/>
    <w:bookmarkStart w:id="150"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6"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6"/>
    <w:bookmarkStart w:id="147"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7"/>
    <w:bookmarkStart w:id="148"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8"/>
    <w:bookmarkStart w:id="149"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9"/>
    <w:bookmarkEnd w:id="150"/>
    <w:bookmarkStart w:id="156"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1"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1"/>
    <w:bookmarkStart w:id="152"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2"/>
    <w:bookmarkStart w:id="153"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3"/>
    <w:bookmarkStart w:id="154"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4"/>
    <w:bookmarkStart w:id="155"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5"/>
    <w:bookmarkEnd w:id="156"/>
    <w:bookmarkStart w:id="157"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7"/>
    <w:bookmarkStart w:id="158"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8"/>
    <w:bookmarkStart w:id="159"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9"/>
    <w:bookmarkEnd w:id="160"/>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2026-10-03T18:14:12Z</dcterms:created>
  <dcterms:modified xsi:type="dcterms:W3CDTF">2026-10-03T18:14:12Z</dcterms:modified>
</cp:coreProperties>
</file>

<file path=docProps/custom.xml><?xml version="1.0" encoding="utf-8"?>
<Properties xmlns="http://schemas.openxmlformats.org/officeDocument/2006/custom-properties" xmlns:vt="http://schemas.openxmlformats.org/officeDocument/2006/docPropsVTypes"/>
</file>