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8.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98" w:name="h_Abstract"/>
      <w:r>
        <w:t xml:space="preserve">Abstract</w:t>
      </w:r>
      <w:bookmarkEnd w:id="1098"/>
    </w:p>
    <w:p>
      <w:pPr>
        <w:pStyle w:val="FirstParagraph"/>
      </w:pPr>
      <w:r>
        <w:t xml:space="preserve">The European Health Data Space Regulation (EU) 2025/327 subjects cross-border health data audit records to three retention obligations at once: audit-retention floors (one year for Secure Processing Environment access logs under Article 73(1)(e) and, on a reported but unverified deployment baseline, ten years for MyHealth@EU audit repositories),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for Secure Processing Environment logs at the deletion ceiling, removes the record’s link to the patient, while retaining the accessor’s identity, event metadata, a hiding commitment and a logged invalidation entry in a tamper-evident log.</w:t>
      </w:r>
    </w:p>
    <w:p>
      <w:pPr>
        <w:pStyle w:val="BodyText"/>
      </w:pPr>
      <w:r>
        <w:t xml:space="preserve">Both results are checked in a Python sandbox over two hundred records with Synthea-generated FHIR R4 payloads. The counts depend on the generator parameters and are not estimates of real frequency; the sandbox validates the artefact’s implementation of the model and is not independent evidence for the propositions. The collision that needs no erasure request arises only on a contestable broad reading of Article 68(12),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bookmarkEnd w:id="20"/>
    <w:bookmarkStart w:id="21" w:name="sammendrag"/>
    <w:p>
      <w:pPr>
        <w:pStyle w:val="Heading1"/>
      </w:pPr>
      <w:bookmarkStart w:id="1099" w:name="h_Sammendrag"/>
      <w:r>
        <w:t xml:space="preserve">Sammendrag</w:t>
      </w:r>
      <w:bookmarkEnd w:id="1099"/>
    </w:p>
    <w:p>
      <w:pPr>
        <w:pStyle w:val="FirstParagraph"/>
      </w:pPr>
      <w:r>
        <w:t xml:space="preserve">Forordning (EU) 2025/327 om det europeiske helsedataområdet (EHDS) underlegger revisjonsspor for grensekryssende helsedata tre lagringsplikter samtidig: minstekrav til lagring av revisjonslogger (ett år for tilgangslogger i sikre analyserom etter artikkel 73(1)(e) og, etter en rapportert, men ikke verifisert, eHDSI-baseline, ti år for MyHealth@EU),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for tilgangslogger i sikre analyserom når sletteplikten inntreffer,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kontrolleres i en Python-sandkasse med to hundre poster og syntetiske FHIR R4-data generert med Synthea. Antallene avhenger av parameterne i generatoren og er ikke anslag over reell hyppighet; sandkassen kontrollerer at artefakten implementerer modellen riktig og er ikke uavhengig belegg for proposisjonene. Kollisjonen som ikke krever noen slettebegjæring, oppstår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100" w:name="h_Statement_of_Contribution"/>
      <w:r>
        <w:t xml:space="preserve">Statement of Contribution</w:t>
      </w:r>
      <w:bookmarkEnd w:id="1100"/>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of an audit log that keeps its payload readable. Proposition 2 establishes satisfiability under an alternative and exhibits the trajectory achieving it. Both are proved informally and checked executably, with a separately written exhaustive cross-check and a bounded SMT check of Propositions 1–3.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keeps on the cross-border path where the person’s access-information right needs it and removes from Secure Processing Environment logs at the ceiling,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101" w:name="h_Declaration_of_Originality"/>
      <w:r>
        <w:t xml:space="preserve">Declaration of Originality</w:t>
      </w:r>
      <w:bookmarkEnd w:id="1101"/>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102" w:name="h_Nomenclature_and_Abbreviations"/>
      <w:r>
        <w:t xml:space="preserve">Nomenclature and Abbreviations</w:t>
      </w:r>
      <w:bookmarkEnd w:id="1102"/>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retention period set by the controller (∞ if none; </w:t>
            </w:r>
            <w:hyperlink w:anchor="sec_4_8" w:history="1">
              <w:r>
                <w:rPr>
                  <w:rStyle w:val="Hyperlink"/>
                  <w:sz w:val="20"/>
                  <w:szCs w:val="20"/>
                </w:rPr>
                <w:t xml:space="preserve">Section 4.8</w:t>
              </w:r>
            </w:hyperlink>
            <w:r>
              <w:rPr>
                <w:sz w:val="20"/>
                <w:szCs w:val="20"/>
              </w:rPr>
              <w:t xml:space="preserv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r>
              <w:rPr>
                <w:sz w:val="20"/>
                <w:szCs w:val="20"/>
              </w:rPr>
              <w:t xml:space="preserve"> </w:t>
            </w:r>
            <w:r>
              <w:rPr>
                <w:iCs/>
                <w:i/>
                <w:sz w:val="20"/>
                <w:szCs w:val="20"/>
              </w:rPr>
              <w:t xml:space="preserve">t</w:t>
            </w:r>
            <w:r>
              <w:rPr>
                <w:sz w:val="20"/>
                <w:szCs w:val="20"/>
              </w:rPr>
              <w:t xml:space="preserve"> </w:t>
            </w:r>
            <w:r>
              <w:rPr>
                <w:sz w:val="20"/>
                <w:szCs w:val="20"/>
              </w:rPr>
              <w:t xml:space="preserve">+</w:t>
            </w:r>
            <w:r>
              <w:rPr>
                <w:sz w:val="20"/>
                <w:szCs w:val="20"/>
              </w:rPr>
              <w:t xml:space="preserve"> </w:t>
            </w:r>
            <w:r>
              <w:rPr>
                <w:iCs/>
                <w:i/>
                <w:sz w:val="20"/>
                <w:szCs w:val="20"/>
              </w:rPr>
              <w:t xml:space="preserve">P</w:t>
            </w:r>
            <w:r>
              <w:rPr>
                <w:sz w:val="20"/>
                <w:szCs w:val="20"/>
              </w:rPr>
              <w:t xml:space="preserve">)</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2"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14</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14</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16</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18</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20</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22</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23</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24</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26</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26</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30</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34</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39</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46</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47</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50</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52</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55</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57</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59</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59</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60</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61</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62</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64</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66</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67</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70</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71</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73</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73</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74</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76</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78</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80</w:t>
        </w:r>
        <w:r>
          <w:fldChar w:fldCharType="end"/>
        </w:r>
      </w:hyperlink>
    </w:p>
    <w:p>
      <w:pPr>
        <w:pStyle w:val="TOC2"/>
      </w:pPr>
      <w:hyperlink w:anchor="sec_4_6" w:history="1">
        <w:r>
          <w:rPr/>
          <w:t xml:space="preserve">4.6 Propositions 1 and 3: Infeasibility, and Where the Ceiling Is Anchored</w:t>
        </w:r>
        <w:r>
          <w:tab/>
        </w:r>
        <w:r>
          <w:fldChar w:fldCharType="begin"/>
        </w:r>
        <w:r>
          <w:instrText xml:space="preserve"> PAGEREF sec_4_6 \h </w:instrText>
        </w:r>
        <w:r>
          <w:fldChar w:fldCharType="separate"/>
        </w:r>
        <w:r>
          <w:rPr/>
          <w:t xml:space="preserve">81</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85</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88</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93</w:t>
        </w:r>
        <w:r>
          <w:fldChar w:fldCharType="end"/>
        </w:r>
      </w:hyperlink>
    </w:p>
    <w:p>
      <w:pPr>
        <w:pStyle w:val="TOC2"/>
      </w:pPr>
      <w:hyperlink w:anchor="sec_4_10" w:history="1">
        <w:r>
          <w:rPr/>
          <w:t xml:space="preserve">4.10 Rival Designs and Proposition 4</w:t>
        </w:r>
        <w:r>
          <w:tab/>
        </w:r>
        <w:r>
          <w:fldChar w:fldCharType="begin"/>
        </w:r>
        <w:r>
          <w:instrText xml:space="preserve"> PAGEREF sec_4_10 \h </w:instrText>
        </w:r>
        <w:r>
          <w:fldChar w:fldCharType="separate"/>
        </w:r>
        <w:r>
          <w:rPr/>
          <w:t xml:space="preserve">97</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100</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104</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106</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106</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106</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109</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111</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112</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113</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114</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116</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119</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119</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120</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122</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124</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125</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126</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127</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127</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129</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130</w:t>
        </w:r>
        <w:r>
          <w:fldChar w:fldCharType="end"/>
        </w:r>
      </w:hyperlink>
    </w:p>
    <w:p>
      <w:pPr>
        <w:pStyle w:val="TOC2"/>
      </w:pPr>
      <w:hyperlink w:anchor="sec_6_11" w:history="1">
        <w:r>
          <w:rPr/>
          <w:t xml:space="preserve">6.11 Summary</w:t>
        </w:r>
        <w:r>
          <w:tab/>
        </w:r>
        <w:r>
          <w:fldChar w:fldCharType="begin"/>
        </w:r>
        <w:r>
          <w:instrText xml:space="preserve"> PAGEREF sec_6_11 \h </w:instrText>
        </w:r>
        <w:r>
          <w:fldChar w:fldCharType="separate"/>
        </w:r>
        <w:r>
          <w:rPr/>
          <w:t xml:space="preserve">132</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133</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133</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134</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135</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136</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136</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138</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140</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149</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192</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198</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53</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102</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107</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109</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109</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114</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117</w:t>
        </w:r>
        <w:r>
          <w:fldChar w:fldCharType="end"/>
        </w:r>
      </w:hyperlink>
    </w:p>
    <w:p>
      <w:pPr>
        <w:pStyle w:val="Heading1"/>
      </w:pPr>
      <w:bookmarkStart w:id="1103" w:name="ch_1"/>
      <w:r>
        <w:t xml:space="preserve">Chapter 1. Introduction</w:t>
      </w:r>
      <w:bookmarkEnd w:id="1103"/>
    </w:p>
    <w:bookmarkStart w:id="25" w:name="background-and-context"/>
    <w:p>
      <w:pPr>
        <w:pStyle w:val="Heading2"/>
      </w:pPr>
      <w:bookmarkStart w:id="1104" w:name="sec_1_1"/>
      <w:r>
        <w:t xml:space="preserve">1.1 Background and Context</w:t>
      </w:r>
      <w:bookmarkEnd w:id="1104"/>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by March 2029, and in Norway and the other EEA states from the dates fixed on incorporation into the EEA Agreement,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2026a, </w:t>
      </w:r>
      <w:hyperlink w:anchor="sec_7_2" w:history="1">
        <w:r>
          <w:rPr>
            <w:rStyle w:val="Hyperlink"/>
          </w:rPr>
          <w:t xml:space="preserve">Section 7.2</w:t>
        </w:r>
      </w:hyperlink>
      <w:r>
        <w:t xml:space="preserve">).</w:t>
      </w:r>
    </w:p>
    <w:p>
      <w:pPr>
        <w:pStyle w:val="BodyText"/>
      </w:pPr>
      <w:r>
        <w:t xml:space="preserve">Critically, the same regulation imposes a retention obligation on the same environment. Article 73(1)(e) EHDS requires of every Secure Processing Environment</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6" w:name="problem-statement"/>
    <w:p>
      <w:pPr>
        <w:pStyle w:val="Heading2"/>
      </w:pPr>
      <w:bookmarkStart w:id="1105" w:name="sec_1_2"/>
      <w:r>
        <w:t xml:space="preserve">1.2 Problem Statement</w:t>
      </w:r>
      <w:bookmarkEnd w:id="1105"/>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w:t>
      </w:r>
      <w:hyperlink w:anchor="sec_1_1" w:history="1">
        <w:r>
          <w:rPr>
            <w:rStyle w:val="Hyperlink"/>
          </w:rPr>
          <w:t xml:space="preserve">Section 1.1</w:t>
        </w:r>
      </w:hyperlink>
      <w:r>
        <w:t xml:space="preserve">),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payload of an audit record for the length of the floor exceeds what accountability requires, since the accountability function of the record can be preserved without continued access to that payload; for Secure Processing Environment logs the thesis argues this for the part of the payload auditing does not need (</w:t>
      </w:r>
      <w:hyperlink w:anchor="ch_4" w:history="1">
        <w:r>
          <w:rPr>
            <w:rStyle w:val="Hyperlink"/>
          </w:rPr>
          <w:t xml:space="preserve">Chapter 4</w:t>
        </w:r>
      </w:hyperlink>
      <w:r>
        <w:t xml:space="preserve">, Corollary 2.3).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through erasure requests, and, as a conditional extension, it arises there even without them: on the broad reading of Article 68(12),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6"/>
    <w:bookmarkStart w:id="27" w:name="research-objectives-and-questions"/>
    <w:p>
      <w:pPr>
        <w:pStyle w:val="Heading2"/>
      </w:pPr>
      <w:bookmarkStart w:id="1106" w:name="sec_1_3"/>
      <w:r>
        <w:t xml:space="preserve">1.3 Research Objectives and Questions</w:t>
      </w:r>
      <w:bookmarkEnd w:id="1106"/>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The model decomposes each cross-border audit record into an event-metadata component, itself divided into the accessor’s fields and the link to the patient, and 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deadline or a deletion-ceiling deadline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while preserving audit integrity in a Norwegian implementation context?</w:t>
      </w:r>
    </w:p>
    <w:p>
      <w:pPr>
        <w:pStyle w:val="BodyText"/>
      </w:pPr>
      <w:r>
        <w:t xml:space="preserve">The conflicting requirements are three: the audit-retention floors applying to the exchange (the one-year minimum imposed on Secure Processing Environment access logs by Article 73(1)(e) EHDS, and the ten-year minimum reported for IHE ATNA audit repositories under the eHDSI deployment baseline); GDPR Article 17’s right to erasure; and the six-month deletion ceiling of Article 68(12) EHDS, as operationalised by TEHDAS2.</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27"/>
    <w:bookmarkStart w:id="28" w:name="significance-and-relevance"/>
    <w:p>
      <w:pPr>
        <w:pStyle w:val="Heading2"/>
      </w:pPr>
      <w:bookmarkStart w:id="1107" w:name="sec_1_4"/>
      <w:r>
        <w:t xml:space="preserve">1.4 Significance and Relevance</w:t>
      </w:r>
      <w:bookmarkEnd w:id="1107"/>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in March 2029 (in Norway, subject to incorporation into the EEA Agreement),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also for the conflict’s conditional extension.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2026b, </w:t>
      </w:r>
      <w:hyperlink w:anchor="tbl_5_2" w:history="1">
        <w:r>
          <w:rPr>
            <w:rStyle w:val="Hyperlink"/>
          </w:rPr>
          <w:t xml:space="preserve">Table 5.2</w:t>
        </w:r>
      </w:hyperlink>
      <w:r>
        <w:t xml:space="preserve">,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28"/>
    <w:bookmarkStart w:id="29" w:name="scope-and-out-of-scope"/>
    <w:p>
      <w:pPr>
        <w:pStyle w:val="Heading2"/>
      </w:pPr>
      <w:bookmarkStart w:id="1108" w:name="sec_1_5"/>
      <w:r>
        <w:t xml:space="preserve">1.5 Scope and Out-of-Scope</w:t>
      </w:r>
      <w:bookmarkEnd w:id="1108"/>
    </w:p>
    <w:p>
      <w:pPr>
        <w:pStyle w:val="FirstParagraph"/>
      </w:pPr>
      <w:r>
        <w:t xml:space="preserve">This thesis is bounded by a deliberate and explicit scope, set by what can be defended within the time and resources of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Storage has an energy cost at system scale: data centres used</w:t>
      </w:r>
      <w:r>
        <w:t xml:space="preserve"> </w:t>
      </w:r>
      <w:r>
        <w:t xml:space="preserve">“</w:t>
      </w:r>
      <w:r>
        <w:t xml:space="preserve">around 1.5% of the world’s electricity consumption in 2024, or 415 terawatt-hours</w:t>
      </w:r>
      <w:r>
        <w:t xml:space="preserve">”</w:t>
      </w:r>
      <w:r>
        <w:t xml:space="preserve"> </w:t>
      </w:r>
      <w:r>
        <w:t xml:space="preserve">(International Energy Agency, 2025). The thesis does not estimate what share retained audit records account for, and claims no energy saving for the mechanism.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29"/>
    <w:bookmarkStart w:id="30" w:name="methodological-approach"/>
    <w:p>
      <w:pPr>
        <w:pStyle w:val="Heading2"/>
      </w:pPr>
      <w:bookmarkStart w:id="1109" w:name="sec_1_6"/>
      <w:r>
        <w:t xml:space="preserve">1.6 Methodological Approach</w:t>
      </w:r>
      <w:bookmarkEnd w:id="1109"/>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0"/>
    <w:bookmarkStart w:id="31" w:name="thesis-structure"/>
    <w:p>
      <w:pPr>
        <w:pStyle w:val="Heading2"/>
      </w:pPr>
      <w:bookmarkStart w:id="1110" w:name="sec_1_7"/>
      <w:r>
        <w:t xml:space="preserve">1.7 Thesis Structure</w:t>
      </w:r>
      <w:bookmarkEnd w:id="1110"/>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separately written exhaustive cross-check, a bounded SMT check of Propositions 1–3,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1"/>
    <w:bookmarkEnd w:id="32"/>
    <w:bookmarkStart w:id="50" w:name="X61356a8dd943f7272c3310c94cfa9c8ca767dda"/>
    <w:p>
      <w:pPr>
        <w:pStyle w:val="Heading1"/>
      </w:pPr>
      <w:bookmarkStart w:id="1111" w:name="ch_2"/>
      <w:r>
        <w:t xml:space="preserve">Chapter 2. Literature Review and Theoretical Foundation</w:t>
      </w:r>
      <w:bookmarkEnd w:id="1111"/>
    </w:p>
    <w:bookmarkStart w:id="40" w:name="review-protocol"/>
    <w:p>
      <w:pPr>
        <w:pStyle w:val="Heading2"/>
      </w:pPr>
      <w:bookmarkStart w:id="1112" w:name="sec_2_1"/>
      <w:r>
        <w:t xml:space="preserve">2.1 Review Protocol</w:t>
      </w:r>
      <w:bookmarkEnd w:id="1112"/>
    </w:p>
    <w:bookmarkStart w:id="33"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3"/>
    <w:bookmarkStart w:id="34"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4"/>
    <w:bookmarkStart w:id="35"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5"/>
    <w:bookmarkStart w:id="36"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bookmarkEnd w:id="36"/>
    <w:bookmarkStart w:id="37"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37"/>
    <w:bookmarkStart w:id="38"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38"/>
    <w:bookmarkStart w:id="39" w:name="limitations-of-the-protocol"/>
    <w:p>
      <w:pPr>
        <w:pStyle w:val="Heading3"/>
      </w:pPr>
      <w:r>
        <w:t xml:space="preserve">2.1.7 Limitations of the protocol</w:t>
      </w:r>
    </w:p>
    <w:p>
      <w:pPr>
        <w:pStyle w:val="FirstParagraph"/>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39"/>
    <w:bookmarkEnd w:id="40"/>
    <w:bookmarkStart w:id="41" w:name="X777571ee1b46e521d75cc362ca0aec8a0b0f1d5"/>
    <w:p>
      <w:pPr>
        <w:pStyle w:val="Heading2"/>
      </w:pPr>
      <w:bookmarkStart w:id="1113" w:name="sec_2_2"/>
      <w:r>
        <w:t xml:space="preserve">2.2 The Cross-Border Health Data Exchange Landscape</w:t>
      </w:r>
      <w:bookmarkEnd w:id="1113"/>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two National Contact Points proceed through six steps. The contact point of the country of treatment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w:t>
      </w:r>
      <w:hyperlink w:anchor="sec_2_3" w:history="1">
        <w:r>
          <w:rPr>
            <w:rStyle w:val="Hyperlink"/>
          </w:rPr>
          <w:t xml:space="preserve">Section 2.3</w:t>
        </w:r>
      </w:hyperlink>
      <w:r>
        <w:t xml:space="preserve">).</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2026b).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merged into Helsedirektoratet with effect from 1 January 2024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1"/>
    <w:bookmarkStart w:id="42" w:name="X4be697201be8c63802c0d6f66dbba8224584210"/>
    <w:p>
      <w:pPr>
        <w:pStyle w:val="Heading2"/>
      </w:pPr>
      <w:bookmarkStart w:id="1114" w:name="sec_2_3"/>
      <w:r>
        <w:t xml:space="preserve">2.3 The Audit-Retention versus Right-to-Erasure Tension</w:t>
      </w:r>
      <w:bookmarkEnd w:id="1114"/>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tutorial gives no source for the figure.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three are directly relevant to the cross-border audit context. Article 17(3)(b) permits the controller to refuse erasure where processing is necessary for compliance with a legal obligation imposed by Union or Member State law. Article 17(3)(c) permits refusal for reasons of public interest in the area of public health in accordance with points (h) and (i) of Article 9(2) and Article 9(3), a ground open to a health-sector controller for records of care given across a border.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carries the deletion deadline into its procedure: data are to be deleted from a Secure Processing Environment within six months of the expiry of the data permit, following Article 68(12) of the European Health Data Space Regulation (TEHDAS2, 2026a, </w:t>
      </w:r>
      <w:hyperlink w:anchor="sec_7_2" w:history="1">
        <w:r>
          <w:rPr>
            <w:rStyle w:val="Hyperlink"/>
          </w:rPr>
          <w:t xml:space="preserve">Section 7.2</w:t>
        </w:r>
      </w:hyperlink>
      <w:r>
        <w:t xml:space="preserve">; European Parliament and Council of the European Union, 2025). This is a ceiling rather than a floor.</w:t>
      </w:r>
    </w:p>
    <w:p>
      <w:pPr>
        <w:pStyle w:val="BodyText"/>
      </w:pPr>
      <w:r>
        <w:t xml:space="preserve">The regulation places a retention floor on that same environment. Article 73(1)(e) EHDS requires of Secure Processing Environments</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On the broad reading it reaches access logs kept at patient-record granularity, whose entries are themselves data concerning health; on a narrower reading it reaches only the permitted dataset. Peer-reviewed commentary on the secondary-use framework likewise finds the Regulation’s definition of</w:t>
      </w:r>
      <w:r>
        <w:t xml:space="preserve"> </w:t>
      </w:r>
      <w:r>
        <w:t xml:space="preserve">“</w:t>
      </w:r>
      <w:r>
        <w:t xml:space="preserve">electronic health data</w:t>
      </w:r>
      <w:r>
        <w:t xml:space="preserve">”</w:t>
      </w:r>
      <w:r>
        <w:t xml:space="preserve"> </w:t>
      </w:r>
      <w:r>
        <w:t xml:space="preserve">ambiguously drafted, warning that this may produce inconsistent data-management practices (Rak, 2024, p. 928); it does not address the access-log question itself. The reading is contestable,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A common practitioner heuristic for multi-framework environments is to apply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The renumbering of these obligations between the 2022 proposal and the adopted text, from Articles 46 and 50 to Articles 68 and 73, may be one reason the commentary has treated them apart (</w:t>
      </w:r>
      <w:hyperlink w:anchor="ch_1" w:history="1">
        <w:r>
          <w:rPr>
            <w:rStyle w:val="Hyperlink"/>
          </w:rPr>
          <w:t xml:space="preserve">Chapter 1</w:t>
        </w:r>
      </w:hyperlink>
      <w:r>
        <w:t xml:space="preserve">, </w:t>
      </w:r>
      <w:hyperlink w:anchor="sec_1_4" w:history="1">
        <w:r>
          <w:rPr>
            <w:rStyle w:val="Hyperlink"/>
          </w:rPr>
          <w:t xml:space="preserve">Section 1.4</w:t>
        </w:r>
      </w:hyperlink>
      <w:r>
        <w:t xml:space="preserve">).</w:t>
      </w:r>
    </w:p>
    <w:p>
      <w:pPr>
        <w:pStyle w:val="BodyText"/>
      </w:pPr>
      <w:r>
        <w:t xml:space="preserve">In the cross-border pathway the conflict takes the form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SecuPi (2025) criticises it as operationally costly in row-level encryption;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that critique.</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bookmarkEnd w:id="42"/>
    <w:bookmarkStart w:id="43" w:name="X503ef9221cec91dd90cf14136ea9b482a7dd448"/>
    <w:p>
      <w:pPr>
        <w:pStyle w:val="Heading2"/>
      </w:pPr>
      <w:bookmarkStart w:id="1115" w:name="sec_2_4"/>
      <w:r>
        <w:t xml:space="preserve">2.4 Cryptographic Approaches to Audit Compliance</w:t>
      </w:r>
      <w:bookmarkEnd w:id="1115"/>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The second strand, blockchain-anchored records adapted to healthcare, has a deployed precedent in the Norwegian clinical context: the NewbornTime project.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third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w:t>
      </w:r>
      <w:r>
        <w:t xml:space="preserve"> </w:t>
      </w:r>
      <w:r>
        <w:t xml:space="preserve">“</w:t>
      </w:r>
      <w:r>
        <w:t xml:space="preserve">immutable audit trail</w:t>
      </w:r>
      <w:r>
        <w:t xml:space="preserve">”</w:t>
      </w:r>
      <w:r>
        <w:t xml:space="preserve">. It illustrates the pattern on which the mechanism of this thesis also rests: commitments in the trail, data held elsewhere.</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Four adjacent bodies of work must finally be distinguished from the problem addressed here, three academic and one practitioner. The first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second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third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fourth, 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Joint Action drafting the Secure Processing Environment specification itself records that further guidance is needed on how accountability and anonymisation obligations intersect (TEHDAS2, 2026b, Annex 7, p. 96). The contribution of this thesis is positioned at that named gap.</w:t>
      </w:r>
    </w:p>
    <w:bookmarkEnd w:id="43"/>
    <w:bookmarkStart w:id="44" w:name="X6b186caf35254075744a51c53c2cb13b427ff25"/>
    <w:p>
      <w:pPr>
        <w:pStyle w:val="Heading2"/>
      </w:pPr>
      <w:bookmarkStart w:id="1116" w:name="sec_2_5"/>
      <w:r>
        <w:t xml:space="preserve">2.5 Formal Approaches to Regulatory-Compliance Verification</w:t>
      </w:r>
      <w:bookmarkEnd w:id="1116"/>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(Cao &amp; Yang, 2015; Bourtoule et al., 2021);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4"/>
    <w:bookmarkStart w:id="45" w:name="norwegian-secondary-use-infrastructure"/>
    <w:p>
      <w:pPr>
        <w:pStyle w:val="Heading2"/>
      </w:pPr>
      <w:bookmarkStart w:id="1117" w:name="sec_2_6"/>
      <w:r>
        <w:t xml:space="preserve">2.6 Norwegian Secondary-Use Infrastructure</w:t>
      </w:r>
      <w:bookmarkEnd w:id="1117"/>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Helsedataservice is part of the Norwegian Institute of Public Health, to which it moved with the Directorate of e-health’s health-data department on 1 January 2024. Applications are submitted through the helsedata.no portal. For the eleven registries within its authority, the Cancer Registry among them, Helsedataservice decides on access itself; in some cases the registry owners still decide, and applications for data on which the Directorate of Health decides go to the Directorate (Helsedataservice, n.d.-b). Costs follow the same division: Helsedataservice invoices applicants for case processing, and the registry owners invoice for preparing the data (Helsedataservice, n.d.-a, n.d.-b).</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with identifiable access logs kept for at least one year (P13 and P24 in the 2024 draft;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cross-border audit records this thesis concerns are beginning to be generated in Norway, at presently small volume.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2026a, 2026b).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5"/>
    <w:bookmarkStart w:id="46" w:name="information-logistics-framing"/>
    <w:p>
      <w:pPr>
        <w:pStyle w:val="Heading2"/>
      </w:pPr>
      <w:bookmarkStart w:id="1118" w:name="sec_2_7"/>
      <w:r>
        <w:t xml:space="preserve">2.7 Information Logistics Framing</w:t>
      </w:r>
      <w:bookmarkEnd w:id="1118"/>
    </w:p>
    <w:p>
      <w:pPr>
        <w:pStyle w:val="FirstParagraph"/>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framing rests on the discipline’s own definitions, not on analogy alone. The Council of Supply Chain Management Professionals defines logistics management as the part of supply chain management that</w:t>
      </w:r>
      <w:r>
        <w:t xml:space="preserve"> </w:t>
      </w:r>
      <w:r>
        <w:t xml:space="preserve">“</w:t>
      </w:r>
      <w:r>
        <w:t xml:space="preserve">plans, implements, and controls the efficient, effective forward and reverse flow and storage of goods, services and related information between the point of origin and the point of consumption</w:t>
      </w:r>
      <w:r>
        <w:t xml:space="preserve">”</w:t>
      </w:r>
      <w:r>
        <w:t xml:space="preserve"> </w:t>
      </w:r>
      <w:r>
        <w:t xml:space="preserve">(Council of Supply Chain Management Professionals, n.d.). An audit record is related information in exactly this sense. The thesis concerns its storage and its planned exit: the reverse end of the flow, where a record is retained, reduced or disposed of.</w:t>
      </w:r>
    </w:p>
    <w:p>
      <w:pPr>
        <w:pStyle w:val="BodyText"/>
      </w:pPr>
      <w:r>
        <w:t xml:space="preserve">Operations research supplies the closest formal relative. Perishable inventory theory studies stock that must be held to meet demand but expires after a fixed or random lifetime (Nahmias, 1982). A record under a retention floor and a deletion ceiling is perishable stock with two clocks. Proposition 3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can be read in that idiom: when the expiry period is no longer than the holding period and its clock starts at a different event from the holding clock, whether an item can be held as long as it must depends on each item’s history, not on the rule book.</w:t>
      </w:r>
    </w:p>
    <w:p>
      <w:pPr>
        <w:pStyle w:val="BodyText"/>
      </w:pPr>
      <w:r>
        <w:t xml:space="preserve">The energy sector’s own data infrastructure schedules retention in the same terms. Elhub, the Norwegian electricity data hub, keeps a customer’s personal data for a further three years and 41 days after both the supply and the grid contract end,</w:t>
      </w:r>
      <w:r>
        <w:t xml:space="preserve"> </w:t>
      </w:r>
      <w:r>
        <w:t xml:space="preserve">“</w:t>
      </w:r>
      <w:r>
        <w:t xml:space="preserve">for eventuell feilretting og mulighet for å korrigere økonomiske oppgjør</w:t>
      </w:r>
      <w:r>
        <w:t xml:space="preserve">”</w:t>
      </w:r>
      <w:r>
        <w:t xml:space="preserve"> </w:t>
      </w:r>
      <w:r>
        <w:t xml:space="preserve">[for any correction of errors and to allow financial settlements to be corrected], and keeps metering values for ten years only where the customer asks (Elhub, 2026). That is a retention period per data category, anchored to an event: the form of the floor parameter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a different sector. The extension the data subject controls has no counterpart in the model.</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6"/>
    <w:bookmarkStart w:id="47" w:name="comparative-analysis"/>
    <w:p>
      <w:pPr>
        <w:pStyle w:val="Heading2"/>
      </w:pPr>
      <w:bookmarkStart w:id="1119" w:name="sec_2_8"/>
      <w:r>
        <w:t xml:space="preserve">2.8 Comparative Analysis</w:t>
      </w:r>
      <w:bookmarkEnd w:id="1119"/>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89" w:name="tbl_2_1"/>
      <w:r>
        <w:rPr>
          <w:b/>
          <w:color w:val="1F3864"/>
        </w:rPr>
        <w:t xml:space="preserve">Table 2.1.</w:t>
      </w:r>
      <w:r>
        <w:t xml:space="preserve"> Comparative Analysis of Cryptographic Compliance Approaches to Health Data Audit</w:t>
      </w:r>
      <w:bookmarkEnd w:id="1089"/>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mandatory hardware; HSM recommended for key custody</w:t>
            </w:r>
          </w:p>
        </w:tc>
        <w:tc>
          <w:tcPr/>
          <w:p>
            <w:pPr>
              <w:pStyle w:val="Compact"/>
              <w:jc w:val="left"/>
            </w:pPr>
            <w:r>
              <w:rPr>
                <w:bCs/>
                <w:b/>
                <w:sz w:val="20"/>
                <w:szCs w:val="20"/>
              </w:rPr>
              <w:t xml:space="preserve">Yes — derived from the model, within the EDPB 02/2025 corridor</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47"/>
    <w:bookmarkStart w:id="48" w:name="identified-research-gaps"/>
    <w:p>
      <w:pPr>
        <w:pStyle w:val="Heading2"/>
      </w:pPr>
      <w:bookmarkStart w:id="1120" w:name="sec_2_9"/>
      <w:r>
        <w:t xml:space="preserve">2.9 Identified Research Gaps</w:t>
      </w:r>
      <w:bookmarkEnd w:id="1120"/>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gap holds also for the conflict’s conditional extension.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2026b, </w:t>
      </w:r>
      <w:hyperlink w:anchor="tbl_5_2" w:history="1">
        <w:r>
          <w:rPr>
            <w:rStyle w:val="Hyperlink"/>
          </w:rPr>
          <w:t xml:space="preserve">Table 5.2</w:t>
        </w:r>
      </w:hyperlink>
      <w:r>
        <w:t xml:space="preserve">,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discharges.</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48"/>
    <w:bookmarkStart w:id="49" w:name="conceptual-positioning-of-the-thesis"/>
    <w:p>
      <w:pPr>
        <w:pStyle w:val="Heading2"/>
      </w:pPr>
      <w:bookmarkStart w:id="1121" w:name="sec_2_10"/>
      <w:r>
        <w:t xml:space="preserve">2.10 Conceptual Positioning of the Thesis</w:t>
      </w:r>
      <w:bookmarkEnd w:id="1121"/>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49"/>
    <w:bookmarkEnd w:id="50"/>
    <w:bookmarkStart w:id="60" w:name="Xc642577019a76bd27fe42ea49bac447856470a9"/>
    <w:p>
      <w:pPr>
        <w:pStyle w:val="Heading1"/>
      </w:pPr>
      <w:bookmarkStart w:id="1122" w:name="ch_3"/>
      <w:r>
        <w:t xml:space="preserve">Chapter 3. Methodology and Research Design</w:t>
      </w:r>
      <w:bookmarkEnd w:id="1122"/>
    </w:p>
    <w:bookmarkStart w:id="51" w:name="research-paradigm"/>
    <w:p>
      <w:pPr>
        <w:pStyle w:val="Heading2"/>
      </w:pPr>
      <w:bookmarkStart w:id="1123" w:name="sec_3_1"/>
      <w:r>
        <w:t xml:space="preserve">3.1 Research Paradigm</w:t>
      </w:r>
      <w:bookmarkEnd w:id="1123"/>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w:t>
      </w:r>
      <w:hyperlink w:anchor="ch_2" w:history="1">
        <w:r>
          <w:rPr>
            <w:rStyle w:val="Hyperlink"/>
          </w:rPr>
          <w:t xml:space="preserve">Chapter 2</w:t>
        </w:r>
      </w:hyperlink>
      <w:r>
        <w:t xml:space="preserve">,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w:t>
      </w:r>
      <w:hyperlink w:anchor="sec_3_3" w:history="1">
        <w:r>
          <w:rPr>
            <w:rStyle w:val="Hyperlink"/>
          </w:rPr>
          <w:t xml:space="preserve">Section 3.3</w:t>
        </w:r>
      </w:hyperlink>
      <w:r>
        <w:t xml:space="preserve">, permits the model and the artefact to be produced together, with the model supplying the rigour and the artefact supplying the relevance.</w:t>
      </w:r>
    </w:p>
    <w:bookmarkEnd w:id="51"/>
    <w:bookmarkStart w:id="52" w:name="the-design-science-cycle-adopted"/>
    <w:p>
      <w:pPr>
        <w:pStyle w:val="Heading2"/>
      </w:pPr>
      <w:bookmarkStart w:id="1124" w:name="sec_3_2"/>
      <w:r>
        <w:t xml:space="preserve">3.2 The Design Science Cycle Adopted</w:t>
      </w:r>
      <w:bookmarkEnd w:id="1124"/>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2"/>
    <w:bookmarkStart w:id="53" w:name="X19f4312b49998825ef2288fd27080c33ccc84e7"/>
    <w:p>
      <w:pPr>
        <w:pStyle w:val="Heading2"/>
      </w:pPr>
      <w:bookmarkStart w:id="1125" w:name="sec_3_3"/>
      <w:r>
        <w:t xml:space="preserve">3.3 The Specification-and-Demonstration Variant, Extended with Formal Modelling</w:t>
      </w:r>
      <w:bookmarkEnd w:id="1125"/>
    </w:p>
    <w:p>
      <w:pPr>
        <w:pStyle w:val="FirstParagraph"/>
      </w:pPr>
      <w:r>
        <w:t xml:space="preserve">DSR admits artefacts at several levels of abstraction. Hevner et al. (2004) distinguish constructs, models, methods, and instantiations; March and Smith’s (1995)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3"/>
    <w:bookmarkStart w:id="54" w:name="formal-modelling-methodology"/>
    <w:p>
      <w:pPr>
        <w:pStyle w:val="Heading2"/>
      </w:pPr>
      <w:bookmarkStart w:id="1126" w:name="sec_3_4"/>
      <w:r>
        <w:t xml:space="preserve">3.4 Formal-Modelling Methodology</w:t>
      </w:r>
      <w:bookmarkEnd w:id="1126"/>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payload comprises what the record carries about what was accessed: the demographic query of a cross-border record, the logged activity of a Secure Processing Environment record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instruments leave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deadline or a deletion-ceiling deadline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4"/>
    <w:bookmarkStart w:id="55" w:name="synthetic-data"/>
    <w:p>
      <w:pPr>
        <w:pStyle w:val="Heading2"/>
      </w:pPr>
      <w:bookmarkStart w:id="1127" w:name="sec_3_5"/>
      <w:r>
        <w:t xml:space="preserve">3.5 Synthetic Data</w:t>
      </w:r>
      <w:bookmarkEnd w:id="1127"/>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5"/>
    <w:bookmarkStart w:id="56" w:name="sandbox-implementation-approach"/>
    <w:p>
      <w:pPr>
        <w:pStyle w:val="Heading2"/>
      </w:pPr>
      <w:bookmarkStart w:id="1128" w:name="sec_3_6"/>
      <w:r>
        <w:t xml:space="preserve">3.6 Sandbox Implementation Approach</w:t>
      </w:r>
      <w:bookmarkEnd w:id="1128"/>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when salts are drawn at random (the reported run derives salts from the record identifier for reproducibility; see Appendix A, A.6),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A bounded SMT check with the Z3 solver poses each proposition as a request for a counterexample over every parameter combination within stated bounds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Both are robustness measures rather than components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6"/>
    <w:bookmarkStart w:id="57" w:name="validity-reliability-and-limitations"/>
    <w:p>
      <w:pPr>
        <w:pStyle w:val="Heading2"/>
      </w:pPr>
      <w:bookmarkStart w:id="1129" w:name="sec_3_7"/>
      <w:r>
        <w:t xml:space="preserve">3.7 Validity, Reliability, and Limitations</w:t>
      </w:r>
      <w:bookmarkEnd w:id="1129"/>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w:t>
      </w:r>
      <w:hyperlink w:anchor="ch_4" w:history="1">
        <w:r>
          <w:rPr>
            <w:rStyle w:val="Hyperlink"/>
          </w:rPr>
          <w:t xml:space="preserve">Chapter 4</w:t>
        </w:r>
      </w:hyperlink>
      <w:r>
        <w:t xml:space="preserve">, Corollary 2.3 extends the model with one variable per part of the payload for the one case where that matters, a payload part that auditing needs; a mechanism designed for field-level redaction in general would need that richer state space throughout.</w:t>
      </w:r>
    </w:p>
    <w:bookmarkEnd w:id="57"/>
    <w:bookmarkStart w:id="58" w:name="evaluation-design-for-the-next-cycle"/>
    <w:p>
      <w:pPr>
        <w:pStyle w:val="Heading2"/>
      </w:pPr>
      <w:bookmarkStart w:id="1130" w:name="sec_3_8"/>
      <w:r>
        <w:t xml:space="preserve">3.8 Evaluation Design for the Next Cycle</w:t>
      </w:r>
      <w:bookmarkEnd w:id="1130"/>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58"/>
    <w:bookmarkStart w:id="59" w:name="ethical-considerations"/>
    <w:p>
      <w:pPr>
        <w:pStyle w:val="Heading2"/>
      </w:pPr>
      <w:bookmarkStart w:id="1131" w:name="sec_3_9"/>
      <w:r>
        <w:t xml:space="preserve">3.9 Ethical Considerations</w:t>
      </w:r>
      <w:bookmarkEnd w:id="1131"/>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59"/>
    <w:bookmarkEnd w:id="60"/>
    <w:bookmarkStart w:id="76" w:name="X2971a2bc3f1973506a5daa95b277d527922fc52"/>
    <w:p>
      <w:pPr>
        <w:pStyle w:val="Heading1"/>
      </w:pPr>
      <w:bookmarkStart w:id="1132" w:name="ch_4"/>
      <w:r>
        <w:t xml:space="preserve">Chapter 4. The Tri-Lateral Retention Feasibility Model and the Crypto-Erasure by Invalidation Mechanism</w:t>
      </w:r>
      <w:bookmarkEnd w:id="1132"/>
    </w:p>
    <w:p>
      <w:pPr>
        <w:pStyle w:val="FirstParagraph"/>
      </w:pPr>
      <w:r>
        <w:rPr>
          <w:iCs/>
          <w:i/>
        </w:rPr>
        <w:t xml:space="preserve">Proposition statements and proofs in this chapter are the author’s own. Regulatory claims are anchored to the primary instruments cited at each point.</w:t>
      </w:r>
    </w:p>
    <w:bookmarkStart w:id="61" w:name="purpose-and-structure-of-the-chapter"/>
    <w:p>
      <w:pPr>
        <w:pStyle w:val="Heading2"/>
      </w:pPr>
      <w:bookmarkStart w:id="1133" w:name="sec_4_1"/>
      <w:r>
        <w:t xml:space="preserve">4.1 Purpose and Structure of the Chapter</w:t>
      </w:r>
      <w:bookmarkEnd w:id="1133"/>
    </w:p>
    <w:p>
      <w:pPr>
        <w:pStyle w:val="FirstParagraph"/>
      </w:pPr>
      <w:r>
        <w:t xml:space="preserve">A patient asks for her data to be erased. The audit record of who looked at them must stay verifiable for years: ten, on the reported cross-border baseline; one, in a research environment, where a third rule wants health data gone six months after the permit ends. Can an audit record obey all three? This chapter answers: not if verifiable means readable; yes if it means accountable. It gets there in three steps, and each step licenses the next.</w:t>
      </w:r>
    </w:p>
    <w:p>
      <w:pPr>
        <w:pStyle w:val="BodyText"/>
      </w:pPr>
      <w:r>
        <w:t xml:space="preserve">First, it establishes what the law actually requires to be retained, as distinct from what an audit log may happen to retain.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1"/>
    <w:bookmarkStart w:id="62" w:name="Xffef421608dbde39858ce0190b0b9b95157db9d"/>
    <w:p>
      <w:pPr>
        <w:pStyle w:val="Heading2"/>
      </w:pPr>
      <w:bookmarkStart w:id="1134" w:name="sec_4_2"/>
      <w:r>
        <w:t xml:space="preserve">4.2 What Must Be Retained: The Necessity Analysis</w:t>
      </w:r>
      <w:bookmarkEnd w:id="1134"/>
    </w:p>
    <w:p>
      <w:pPr>
        <w:pStyle w:val="FirstParagraph"/>
      </w:pPr>
      <w:r>
        <w:t xml:space="preserve">Everything in this chapter rests on one split: the part of an audit record the law needs kept, and the part it does not. The split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the length of the floor therefore exceeds what Article 17(3)(b) protects. Article 5(1)(c) positively requires that it not be retained where the purpose can be achieved without it. It follows that the payload need not, and should not, wait for an erasure request: once the short-lived purpose it serves has lapsed (resolving a disputed patient match, for instance), the controller should invalidate it on its own initiative. </w:t>
      </w:r>
      <w:hyperlink w:anchor="sec_4_8" w:history="1">
        <w:r>
          <w:rPr>
            <w:rStyle w:val="Hyperlink"/>
          </w:rPr>
          <w:t xml:space="preserve">Section 4.8</w:t>
        </w:r>
      </w:hyperlink>
      <w:r>
        <w:t xml:space="preserve"> provides for this as a payload retention period, which enters the model as a third trigger of the same invalidation.</w:t>
      </w:r>
    </w:p>
    <w:p>
      <w:pPr>
        <w:pStyle w:val="BodyText"/>
      </w:pPr>
      <w:r>
        <w:rPr>
          <w:iCs/>
          <w:i/>
        </w:rPr>
        <w:t xml:space="preserve">Per record class.</w:t>
      </w:r>
      <w:r>
        <w:t xml:space="preserve"> </w:t>
      </w:r>
      <w:r>
        <w:t xml:space="preserve">The argument has to be made for each class separately, because the payload is defined by where it comes from (</w:t>
      </w:r>
      <w:hyperlink w:anchor="sec_4_3" w:history="1">
        <w:r>
          <w:rPr>
            <w:rStyle w:val="Hyperlink"/>
          </w:rPr>
          <w:t xml:space="preserve">Section 4.3</w:t>
        </w:r>
      </w:hyperlink>
      <w:r>
        <w:t xml:space="preserve">),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w:t>
      </w:r>
      <w:r>
        <w:t xml:space="preserve"> </w:t>
      </w:r>
      <w:r>
        <w:t xml:space="preserve">“</w:t>
      </w:r>
      <w:r>
        <w:t xml:space="preserve">to verify and audit all processing operations in that environment</w:t>
      </w:r>
      <w:r>
        <w:t xml:space="preserve">”</w:t>
      </w:r>
      <w:r>
        <w:t xml:space="preserve">, and an auditor checking that an extraction stayed within its permit may need to know what was run. The thesis therefore does not assume that the whole activity content is unnecessary there; Corollary 2.3 states what follows if part of it is needed.</w:t>
      </w:r>
    </w:p>
    <w:p>
      <w:pPr>
        <w:pStyle w:val="BodyText"/>
      </w:pPr>
      <w:r>
        <w:rPr>
          <w:iCs/>
          <w:i/>
        </w:rPr>
        <w:t xml:space="preserve">The patient link.</w:t>
      </w:r>
      <w:r>
        <w:t xml:space="preserve"> </w:t>
      </w:r>
      <w:r>
        <w:t xml:space="preserve">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w:t>
      </w:r>
      <w:r>
        <w:t xml:space="preserve"> </w:t>
      </w:r>
      <w:r>
        <w:t xml:space="preserve">“</w:t>
      </w:r>
      <w:r>
        <w:t xml:space="preserve">information on the healthcare provider or other individuals who accessed the personal electronic health data</w:t>
      </w:r>
      <w:r>
        <w:t xml:space="preserve">”</w:t>
      </w:r>
      <w:r>
        <w:t xml:space="preserve">,</w:t>
      </w:r>
      <w:r>
        <w:t xml:space="preserve"> </w:t>
      </w:r>
      <w:r>
        <w:t xml:space="preserve">“</w:t>
      </w:r>
      <w:r>
        <w:t xml:space="preserve">the date and time of access</w:t>
      </w:r>
      <w:r>
        <w:t xml:space="preserve">”</w:t>
      </w:r>
      <w:r>
        <w:t xml:space="preserve"> </w:t>
      </w:r>
      <w:r>
        <w:t xml:space="preserve">and</w:t>
      </w:r>
      <w:r>
        <w:t xml:space="preserve"> </w:t>
      </w:r>
      <w:r>
        <w:t xml:space="preserve">“</w:t>
      </w:r>
      <w:r>
        <w:t xml:space="preserve">which personal electronic health data were accessed</w:t>
      </w:r>
      <w:r>
        <w:t xml:space="preserve">”</w:t>
      </w:r>
      <w:r>
        <w:t xml:space="preserve">, available</w:t>
      </w:r>
      <w:r>
        <w:t xml:space="preserve"> </w:t>
      </w:r>
      <w:r>
        <w:t xml:space="preserve">“</w:t>
      </w:r>
      <w:r>
        <w:t xml:space="preserve">for at least three years from each date of access to the data</w:t>
      </w:r>
      <w:r>
        <w:t xml:space="preserve">”</w:t>
      </w:r>
      <w:r>
        <w:t xml:space="preserve"> </w:t>
      </w:r>
      <w:r>
        <w:t xml:space="preserve">(Article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 erasure request then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gives the link a purpose but not a legal obligation, and Article 17(3)(b) does not follow. And beyond the Article 9(2) period the link is kept for the rest of the floor on the strength of the deployment binding, which is illustrative here (</w:t>
      </w:r>
      <w:hyperlink w:anchor="sec_4_3" w:history="1">
        <w:r>
          <w:rPr>
            <w:rStyle w:val="Hyperlink"/>
          </w:rPr>
          <w:t xml:space="preserve">Section 4.3</w:t>
        </w:r>
      </w:hyperlink>
      <w:r>
        <w:t xml:space="preserve">); for that stretch its retention after an erasure request is exactly as contestable as the floor itself. It is removed at the terminal transition (</w:t>
      </w:r>
      <w:hyperlink w:anchor="sec_4_8" w:history="1">
        <w:r>
          <w:rPr>
            <w:rStyle w:val="Hyperlink"/>
          </w:rPr>
          <w:t xml:space="preserve">Section 4.8</w:t>
        </w:r>
      </w:hyperlink>
      <w:r>
        <w:t xml:space="preserve">). In a Secure Processing Environment Article 9 does not apply. There the link is kept after an erasure request until the ceiling only if auditing</w:t>
      </w:r>
      <w:r>
        <w:t xml:space="preserve"> </w:t>
      </w:r>
      <w:r>
        <w:t xml:space="preserve">“</w:t>
      </w:r>
      <w:r>
        <w:t xml:space="preserve">all processing operations</w:t>
      </w:r>
      <w:r>
        <w:t xml:space="preserve">”</w:t>
      </w:r>
      <w:r>
        <w:t xml:space="preserve"> </w:t>
      </w:r>
      <w:r>
        <w:t xml:space="preserve">under Article 73(1)(e) needs it, which is the question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leaves to the supervisory authority, and the ceiling may reach it in any case (</w:t>
      </w:r>
      <w:hyperlink w:anchor="sec_4_6" w:history="1">
        <w:r>
          <w:rPr>
            <w:rStyle w:val="Hyperlink"/>
          </w:rPr>
          <w:t xml:space="preserve">Section 4.6</w:t>
        </w:r>
      </w:hyperlink>
      <w:r>
        <w:t xml:space="preserve">).</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bookmarkEnd w:id="62"/>
    <w:bookmarkStart w:id="63" w:name="the-model-objects-and-notation"/>
    <w:p>
      <w:pPr>
        <w:pStyle w:val="Heading2"/>
      </w:pPr>
      <w:bookmarkStart w:id="1135" w:name="sec_4_3"/>
      <w:r>
        <w:t xml:space="preserve">4.3 The Model: Objects and Notation</w:t>
      </w:r>
      <w:bookmarkEnd w:id="1135"/>
    </w:p>
    <w:p>
      <w:pPr>
        <w:pStyle w:val="FirstParagraph"/>
      </w:pPr>
      <w:r>
        <w:t xml:space="preserve">The model is deliberately small: one record, one clock, and one main question asked every month. Can the payload still be read?</w:t>
      </w:r>
    </w:p>
    <w:p>
      <w:pPr>
        <w:pStyle w:val="BodyText"/>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payload</w:t>
      </w:r>
      <w:r>
        <w:t xml:space="preserve">: the content the record carries about what was accessed, as distinct from who accessed it, when and under what authority. It is defined by its source, which depends on the record class; whether accountability needs it is argued per class in </w:t>
      </w:r>
      <w:hyperlink w:anchor="sec_4_2" w:history="1">
        <w:r>
          <w:rPr>
            <w:rStyle w:val="Hyperlink"/>
          </w:rPr>
          <w:t xml:space="preserve">Section 4.2</w:t>
        </w:r>
      </w:hyperlink>
      <w:r>
        <w:t xml:space="preserve">, and Corollary 2.3 states what follows if part of it is needed.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w:t>
      </w:r>
      <w:r>
        <w:t xml:space="preserve"> </w:t>
      </w:r>
      <w:r>
        <w:t xml:space="preserve">“</w:t>
      </w:r>
      <w:r>
        <w:t xml:space="preserve">access to electronic health data</w:t>
      </w:r>
      <w:r>
        <w:t xml:space="preserve">”</w:t>
      </w:r>
      <w:r>
        <w:t xml:space="preserve"> </w:t>
      </w:r>
      <w:r>
        <w:t xml:space="preserve">and</w:t>
      </w:r>
      <w:r>
        <w:t xml:space="preserve"> </w:t>
      </w:r>
      <w:r>
        <w:t xml:space="preserve">“</w:t>
      </w:r>
      <w:r>
        <w:t xml:space="preserve">data import, export, or release of outputs</w:t>
      </w:r>
      <w:r>
        <w:t xml:space="preserve">”</w:t>
      </w:r>
      <w:r>
        <w:t xml:space="preserve"> </w:t>
      </w:r>
      <w:r>
        <w:t xml:space="preserve">and fixes no fields (TEHDAS2, 2026b, </w:t>
      </w:r>
      <w:hyperlink w:anchor="tbl_5_4" w:history="1">
        <w:r>
          <w:rPr>
            <w:rStyle w:val="Hyperlink"/>
          </w:rPr>
          <w:t xml:space="preserve">Table 5.4</w:t>
        </w:r>
      </w:hyperlink>
      <w:r>
        <w:t xml:space="preserve">, OPR-17, p. 51); what an environment records under those headings beyond the accessor fields is</w:t>
      </w:r>
      <w:r>
        <w:t xml:space="preserve"> </w:t>
      </w:r>
      <m:oMath>
        <m:r>
          <m:t>p</m:t>
        </m:r>
        <m:d>
          <m:dPr>
            <m:begChr m:val="("/>
            <m:sepChr m:val=""/>
            <m:endChr m:val=")"/>
            <m:grow/>
          </m:dPr>
          <m:e>
            <m:r>
              <m:t>a</m:t>
            </m:r>
          </m:e>
        </m:d>
      </m:oMath>
      <w:r>
        <w:t xml:space="preserve">, and whether auditing</w:t>
      </w:r>
      <w:r>
        <w:t xml:space="preserve"> </w:t>
      </w:r>
      <w:r>
        <w:t xml:space="preserve">“</w:t>
      </w:r>
      <w:r>
        <w:t xml:space="preserve">all processing operations</w:t>
      </w:r>
      <w:r>
        <w:t xml:space="preserve">”</w:t>
      </w:r>
      <w:r>
        <w:t xml:space="preserve"> </w:t>
      </w:r>
      <w:r>
        <w:t xml:space="preserve">needs part of it is the question Corollary 2.3 answers conditionally. The model does not require</w:t>
      </w:r>
      <w:r>
        <w:t xml:space="preserve"> </w:t>
      </w:r>
      <m:oMath>
        <m:r>
          <m:t>p</m:t>
        </m:r>
        <m:d>
          <m:dPr>
            <m:begChr m:val="("/>
            <m:sepChr m:val=""/>
            <m:endChr m:val=")"/>
            <m:grow/>
          </m:dPr>
          <m:e>
            <m:r>
              <m:t>a</m:t>
            </m:r>
          </m:e>
        </m:d>
      </m:oMath>
      <w:r>
        <w:t xml:space="preserve"> </w:t>
      </w:r>
      <w:r>
        <w:t xml:space="preserve">to be a clinical document.</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w:t>
      </w:r>
      <w:r>
        <w:t xml:space="preserve"> </w:t>
      </w:r>
      <m:oMath>
        <m:r>
          <m:rPr>
            <m:sty m:val="p"/>
          </m:rPr>
          <m:t>C</m:t>
        </m:r>
        <m:r>
          <m:rPr>
            <m:sty m:val="p"/>
          </m:rPr>
          <m:t>o</m:t>
        </m:r>
        <m:r>
          <m:rPr>
            <m:sty m:val="p"/>
          </m:rPr>
          <m:t>m</m:t>
        </m:r>
        <m:r>
          <m:rPr>
            <m:sty m:val="p"/>
          </m:rPr>
          <m:t>m</m:t>
        </m:r>
        <m:r>
          <m:rPr>
            <m:sty m:val="p"/>
          </m:rPr>
          <m:t>i</m:t>
        </m:r>
        <m:r>
          <m:rPr>
            <m:sty m:val="p"/>
          </m:rPr>
          <m:t>t</m:t>
        </m:r>
        <m:d>
          <m:dPr>
            <m:begChr m:val="("/>
            <m:sepChr m:val=""/>
            <m:endChr m:val=")"/>
            <m:grow/>
          </m:dPr>
          <m:e>
            <m:r>
              <m:t>p</m:t>
            </m:r>
            <m:d>
              <m:dPr>
                <m:begChr m:val="("/>
                <m:sepChr m:val=""/>
                <m:endChr m:val=")"/>
                <m:grow/>
              </m:dPr>
              <m:e>
                <m:r>
                  <m:t>a</m:t>
                </m:r>
              </m:e>
            </m:d>
            <m:r>
              <m:rPr>
                <m:sty m:val="p"/>
              </m:rPr>
              <m:t>,</m:t>
            </m:r>
            <m:r>
              <m:t>r</m:t>
            </m:r>
            <m:d>
              <m:dPr>
                <m:begChr m:val="("/>
                <m:sepChr m:val=""/>
                <m:endChr m:val=")"/>
                <m:grow/>
              </m:dPr>
              <m:e>
                <m:r>
                  <m:t>a</m:t>
                </m:r>
              </m:e>
            </m:d>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 A binding value is available from the Regulation itself once Article 9 applies: information on access to a person’s data must remain available</w:t>
      </w:r>
      <w:r>
        <w:t xml:space="preserve"> </w:t>
      </w:r>
      <w:r>
        <w:t xml:space="preserve">“</w:t>
      </w:r>
      <w:r>
        <w:t xml:space="preserve">for at least three years from each date of access</w:t>
      </w:r>
      <w:r>
        <w:t xml:space="preserve">”</w:t>
      </w:r>
      <w:r>
        <w:t xml:space="preserve"> </w:t>
      </w:r>
      <w:r>
        <w:t xml:space="preserve">(Article 9(2) EHDS), which gives</w:t>
      </w:r>
      <w:r>
        <w:t xml:space="preserve"> </w:t>
      </w:r>
      <m:oMath>
        <m:r>
          <m:t>F</m:t>
        </m:r>
        <m:d>
          <m:dPr>
            <m:begChr m:val="("/>
            <m:sepChr m:val=""/>
            <m:endChr m:val=")"/>
            <m:grow/>
          </m:dPr>
          <m:e>
            <m:r>
              <m:t>a</m:t>
            </m:r>
          </m:e>
        </m:d>
        <m:r>
          <m:rPr>
            <m:sty m:val="p"/>
          </m:rPr>
          <m:t>=</m:t>
        </m:r>
        <m:r>
          <m:t>36</m:t>
        </m:r>
      </m:oMath>
      <w:r>
        <w:t xml:space="preserve"> </w:t>
      </w:r>
      <w:r>
        <w:t xml:space="preserve">wherever the audit record is what that information is produced from (</w:t>
      </w:r>
      <w:hyperlink w:anchor="sec_4_2" w:history="1">
        <w:r>
          <w:rPr>
            <w:rStyle w:val="Hyperlink"/>
          </w:rPr>
          <w:t xml:space="preserve">Section 4.2</w:t>
        </w:r>
      </w:hyperlink>
      <w:r>
        <w:t xml:space="preserve">).</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2026b, </w:t>
      </w:r>
      <w:hyperlink w:anchor="tbl_5_4" w:history="1">
        <w:r>
          <w:rPr>
            <w:rStyle w:val="Hyperlink"/>
          </w:rPr>
          <w:t xml:space="preserve">Table 5.4</w:t>
        </w:r>
      </w:hyperlink>
      <w:r>
        <w:t xml:space="preserve">,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 and Corollary 2.3 relaxes it for one case.</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3"/>
    <w:bookmarkStart w:id="64" w:name="the-three-constraints"/>
    <w:p>
      <w:pPr>
        <w:pStyle w:val="Heading2"/>
      </w:pPr>
      <w:bookmarkStart w:id="1136" w:name="sec_4_4"/>
      <w:r>
        <w:t xml:space="preserve">4.4 The Three Constraints</w:t>
      </w:r>
      <w:bookmarkEnd w:id="1136"/>
    </w:p>
    <w:p>
      <w:pPr>
        <w:pStyle w:val="FirstParagraph"/>
      </w:pPr>
      <w:r>
        <w:t xml:space="preserve">Each regime now becomes a constraint on the trajectory of</w:t>
      </w:r>
      <w:r>
        <w:t xml:space="preserve"> </w:t>
      </w:r>
      <m:oMath>
        <m:r>
          <m:t>α</m:t>
        </m:r>
      </m:oMath>
      <w:r>
        <w:t xml:space="preserve"> </w:t>
      </w:r>
      <w:r>
        <w:t xml:space="preserve">and</w:t>
      </w:r>
      <w:r>
        <w:t xml:space="preserve"> </w:t>
      </w:r>
      <m:oMath>
        <m:r>
          <m:t>V</m:t>
        </m:r>
      </m:oMath>
      <w:r>
        <w:t xml:space="preserve">: one floor that says how long a record must last, and two limits that say how soon its payload must go.</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the eHDSI deployment baseline as reported, an illustrative value,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 Article 17(3)(c), which disapplies the right where processing is necessary for reasons of public interest in the area of public health, narrows C2 further, in the same direction, in both pathways. In the secondary-use pathway two provisions narrow C2 further. Article 17(3)(d) GDPR disapplies the right where processing is necessary for</w:t>
      </w:r>
      <w:r>
        <w:t xml:space="preserve"> </w:t>
      </w:r>
      <w:r>
        <w:t xml:space="preserve">“</w:t>
      </w:r>
      <w:r>
        <w:t xml:space="preserve">scientific or historical research purposes or statistical purposes in accordance with Article 89(1) in so far as the right referred to in paragraph 1 is likely to render impossible or seriously impair the achievement of the objectives of that processing</w:t>
      </w:r>
      <w:r>
        <w:t xml:space="preserve">”</w:t>
      </w:r>
      <w:r>
        <w:t xml:space="preserve">,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(2026a, </w:t>
      </w:r>
      <w:hyperlink w:anchor="sec_7_2" w:history="1">
        <w:r>
          <w:rPr>
            <w:rStyle w:val="Hyperlink"/>
          </w:rPr>
          <w:t xml:space="preserve">Section 7.2</w:t>
        </w:r>
      </w:hyperlink>
      <w:r>
        <w:t xml:space="preserve">).</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4"/>
    <w:bookmarkStart w:id="65" w:name="two-semantics-of-verifiability"/>
    <w:p>
      <w:pPr>
        <w:pStyle w:val="Heading2"/>
      </w:pPr>
      <w:bookmarkStart w:id="1137" w:name="sec_4_5"/>
      <w:r>
        <w:t xml:space="preserve">4.5 Two Semantics of Verifiability</w:t>
      </w:r>
      <w:bookmarkEnd w:id="1137"/>
    </w:p>
    <w:p>
      <w:pPr>
        <w:pStyle w:val="FirstParagraph"/>
      </w:pPr>
      <w:r>
        <w:t xml:space="preserve">Everything now turns on one undefined word: verifiable. Two definitions are available, and the propositions show that they lead to opposite answers.</w:t>
      </w:r>
    </w:p>
    <w:p>
      <w:pPr>
        <w:pStyle w:val="BodyText"/>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The patient identifier sat in a readable column, and a further column held the participant-object query. The repository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w:t>
      </w:r>
      <w:r>
        <w:t xml:space="preserve"> </w:t>
      </w:r>
      <w:r>
        <w:t xml:space="preserve">“</w:t>
      </w:r>
      <w:r>
        <w:t xml:space="preserve">Verification</w:t>
      </w:r>
      <w:r>
        <w:t xml:space="preserve">”</w:t>
      </w:r>
      <w:r>
        <w:t xml:space="preserve"> </w:t>
      </w:r>
      <w:r>
        <w:t xml:space="preserve">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 Semantics I is therefore best read as the de facto semantics of deployed audit repositories, of which the OpenNCP reference implementation is one instance, rather than as a legal requirement; Proposition 1 shows why a repository built on it cannot meet the three regimes together, and so why such repositories must change.</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5"/>
    <w:bookmarkStart w:id="66" w:name="X92b2126634aa6a7e3b60431749c90a4eaf881bd"/>
    <w:p>
      <w:pPr>
        <w:pStyle w:val="Heading2"/>
      </w:pPr>
      <w:bookmarkStart w:id="1138" w:name="sec_4_6"/>
      <w:r>
        <w:t xml:space="preserve">4.6 Propositions 1 and 3: Infeasibility, and Where the Ceiling Is Anchored</w:t>
      </w:r>
      <w:bookmarkEnd w:id="1138"/>
    </w:p>
    <w:p>
      <w:pPr>
        <w:pStyle w:val="FirstParagraph"/>
      </w:pPr>
      <w:r>
        <w:t xml:space="preserve">Under Semantics I the conflict is not bad luck or rare timing. It is a contradiction, and it can be located to the month.</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a conditional extension of the problem statement; the request-driven conflict of Corollary 1.1 does not depend on it.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2026b, </w:t>
      </w:r>
      <w:hyperlink w:anchor="tbl_5_1" w:history="1">
        <w:r>
          <w:rPr>
            <w:rStyle w:val="Hyperlink"/>
          </w:rPr>
          <w:t xml:space="preserve">Table 5.1</w:t>
        </w:r>
      </w:hyperlink>
      <w:r>
        <w:t xml:space="preserve">,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conditional extension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6"/>
    <w:bookmarkStart w:id="67" w:name="X6dfe5408d6382a293db062cfe2ac490646497a6"/>
    <w:p>
      <w:pPr>
        <w:pStyle w:val="Heading2"/>
      </w:pPr>
      <w:bookmarkStart w:id="1139" w:name="sec_4_7"/>
      <w:r>
        <w:t xml:space="preserve">4.7 Proposition 2: Feasibility under Accountability-Preserving Verifiability</w:t>
      </w:r>
      <w:bookmarkEnd w:id="1139"/>
    </w:p>
    <w:p>
      <w:pPr>
        <w:pStyle w:val="FirstParagraph"/>
      </w:pPr>
      <w:r>
        <w:t xml:space="preserve">Change what verifiable means and, in the model as formalised, the contradiction disappears for every record, every pattern of requests and every floor. The proof builds the trajectory that does it, and that trajectory is the mechanism.</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rPr>
                  <m:sty m:val="p"/>
                </m:rPr>
                <m:t>,</m:t>
              </m:r>
              <m:r>
                <m:t> </m:t>
              </m:r>
              <m:r>
                <m:t> </m:t>
              </m:r>
              <m:r>
                <m:t>t</m:t>
              </m:r>
              <m:d>
                <m:dPr>
                  <m:begChr m:val="("/>
                  <m:sepChr m:val=""/>
                  <m:endChr m:val=")"/>
                  <m:grow/>
                </m:dPr>
                <m:e>
                  <m:r>
                    <m:t>a</m:t>
                  </m:r>
                </m:e>
              </m:d>
              <m:r>
                <m:rPr>
                  <m:sty m:val="p"/>
                </m:rPr>
                <m:t>+</m:t>
              </m:r>
              <m:r>
                <m:t>P</m:t>
              </m:r>
              <m:d>
                <m:dPr>
                  <m:begChr m:val="("/>
                  <m:sepChr m:val=""/>
                  <m:endChr m:val=")"/>
                  <m:grow/>
                </m:dPr>
                <m:e>
                  <m:r>
                    <m:t>a</m:t>
                  </m:r>
                </m:e>
              </m:d>
              <m:r>
                <m:t> </m:t>
              </m:r>
            </m:e>
          </m:d>
        </m:oMath>
      </m:oMathPara>
    </w:p>
    <w:p>
      <w:pPr>
        <w:pStyle w:val="FirstParagraph"/>
      </w:pPr>
      <w:r>
        <w:t xml:space="preserve">be the</w:t>
      </w:r>
      <w:r>
        <w:t xml:space="preserve"> </w:t>
      </w:r>
      <w:r>
        <w:rPr>
          <w:iCs/>
          <w:i/>
        </w:rPr>
        <w:t xml:space="preserve">invalidation month</w:t>
      </w:r>
      <w:r>
        <w:t xml:space="preserve">, where</w:t>
      </w:r>
      <w:r>
        <w:t xml:space="preserve"> </w:t>
      </w:r>
      <m:oMath>
        <m:r>
          <m:t>P</m:t>
        </m:r>
        <m:d>
          <m:dPr>
            <m:begChr m:val="("/>
            <m:sepChr m:val=""/>
            <m:endChr m:val=")"/>
            <m:grow/>
          </m:dPr>
          <m:e>
            <m:r>
              <m:t>a</m:t>
            </m:r>
          </m:e>
        </m:d>
      </m:oMath>
      <w:r>
        <w:t xml:space="preserve"> </w:t>
      </w:r>
      <w:r>
        <w:t xml:space="preserve">is the payload retention period of </w:t>
      </w:r>
      <w:hyperlink w:anchor="sec_4_8" w:history="1">
        <w:r>
          <w:rPr>
            <w:rStyle w:val="Hyperlink"/>
          </w:rPr>
          <w:t xml:space="preserve">Section 4.8</w:t>
        </w:r>
      </w:hyperlink>
      <w:r>
        <w:t xml:space="preserve"> (</w:t>
      </w:r>
      <m:oMath>
        <m:r>
          <m:t>P</m:t>
        </m:r>
        <m:d>
          <m:dPr>
            <m:begChr m:val="("/>
            <m:sepChr m:val=""/>
            <m:endChr m:val=")"/>
            <m:grow/>
          </m:dPr>
          <m:e>
            <m:r>
              <m:t>a</m:t>
            </m:r>
          </m:e>
        </m:d>
        <m:r>
          <m:rPr>
            <m:sty m:val="p"/>
          </m:rPr>
          <m:t>=</m:t>
        </m:r>
        <m:r>
          <m:rPr>
            <m:sty m:val="p"/>
          </m:rPr>
          <m:t>∞</m:t>
        </m:r>
      </m:oMath>
      <w:r>
        <w:t xml:space="preserve"> </w:t>
      </w:r>
      <w:r>
        <w:t xml:space="preserve">where none is set), with the convention that the minimum of infinite terms is</w:t>
      </w:r>
      <w:r>
        <w:t xml:space="preserve"> </w:t>
      </w:r>
      <m:oMath>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Article 68(12), or Article 5(1)(c) and (e) where the payload retention period fixed the month),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or the payload retention period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Corollary 2.3 (sensitivity to what auditing needs).</w:t>
      </w:r>
      <w:r>
        <w:t xml:space="preserve"> </w:t>
      </w:r>
      <w:r>
        <w:t xml:space="preserve">Extend the model with one accessibility variable per part of the payload, which the single-variable model of </w:t>
      </w:r>
      <w:hyperlink w:anchor="sec_4_3" w:history="1">
        <w:r>
          <w:rPr>
            <w:rStyle w:val="Hyperlink"/>
          </w:rPr>
          <w:t xml:space="preserve">Section 4.3</w:t>
        </w:r>
      </w:hyperlink>
      <w:r>
        <w:t xml:space="preserve"> cannot express, and partition the payload as</w:t>
      </w:r>
      <w:r>
        <w:t xml:space="preserve"> </w:t>
      </w:r>
      <m:oMath>
        <m:r>
          <m:t>p</m:t>
        </m:r>
        <m:d>
          <m:dPr>
            <m:begChr m:val="("/>
            <m:sepChr m:val=""/>
            <m:endChr m:val=")"/>
            <m:grow/>
          </m:dPr>
          <m:e>
            <m:r>
              <m:t>a</m:t>
            </m:r>
          </m:e>
        </m:d>
        <m:r>
          <m:rPr>
            <m:sty m:val="p"/>
          </m:rPr>
          <m:t>=</m:t>
        </m:r>
        <m:sSub>
          <m:e>
            <m:r>
              <m:t>p</m:t>
            </m:r>
          </m:e>
          <m:sub>
            <m:r>
              <m:t>n</m:t>
            </m:r>
          </m:sub>
        </m:sSub>
        <m:d>
          <m:dPr>
            <m:begChr m:val="("/>
            <m:sepChr m:val=""/>
            <m:endChr m:val=")"/>
            <m:grow/>
          </m:dPr>
          <m:e>
            <m:r>
              <m:t>a</m:t>
            </m:r>
          </m:e>
        </m:d>
        <m:r>
          <m:rPr>
            <m:sty m:val="p"/>
          </m:rPr>
          <m:t>∪</m:t>
        </m:r>
        <m:sSub>
          <m:e>
            <m:r>
              <m:t>p</m:t>
            </m:r>
          </m:e>
          <m:sub>
            <m:r>
              <m:t>r</m:t>
            </m:r>
          </m:sub>
        </m:sSub>
        <m:d>
          <m:dPr>
            <m:begChr m:val="("/>
            <m:sepChr m:val=""/>
            <m:endChr m:val=")"/>
            <m:grow/>
          </m:dPr>
          <m:e>
            <m:r>
              <m:t>a</m:t>
            </m:r>
          </m:e>
        </m:d>
      </m:oMath>
      <w:r>
        <w:t xml:space="preserve">, where</w:t>
      </w:r>
      <w:r>
        <w:t xml:space="preserve"> </w:t>
      </w:r>
      <m:oMath>
        <m:sSub>
          <m:e>
            <m:r>
              <m:t>p</m:t>
            </m:r>
          </m:e>
          <m:sub>
            <m:r>
              <m:t>n</m:t>
            </m:r>
          </m:sub>
        </m:sSub>
        <m:d>
          <m:dPr>
            <m:begChr m:val="("/>
            <m:sepChr m:val=""/>
            <m:endChr m:val=")"/>
            <m:grow/>
          </m:dPr>
          <m:e>
            <m:r>
              <m:t>a</m:t>
            </m:r>
          </m:e>
        </m:d>
      </m:oMath>
      <w:r>
        <w:t xml:space="preserve"> </w:t>
      </w:r>
      <w:r>
        <w:t xml:space="preserve">is any part that auditing turns out to need, and retain</w:t>
      </w:r>
      <w:r>
        <w:t xml:space="preserve"> </w:t>
      </w:r>
      <m:oMath>
        <m:sSub>
          <m:e>
            <m:r>
              <m:t>p</m:t>
            </m:r>
          </m:e>
          <m:sub>
            <m:r>
              <m:t>n</m:t>
            </m:r>
          </m:sub>
        </m:sSub>
        <m:d>
          <m:dPr>
            <m:begChr m:val="("/>
            <m:sepChr m:val=""/>
            <m:endChr m:val=")"/>
            <m:grow/>
          </m:dPr>
          <m:e>
            <m:r>
              <m:t>a</m:t>
            </m:r>
          </m:e>
        </m:d>
      </m:oMath>
      <w:r>
        <w:t xml:space="preserve"> </w:t>
      </w:r>
      <w:r>
        <w:t xml:space="preserve">with the accessor fields. The trajectory of Proposition 2, with</w:t>
      </w:r>
      <w:r>
        <w:t xml:space="preserve"> </w:t>
      </w:r>
      <m:oMath>
        <m:sSub>
          <m:e>
            <m:r>
              <m:t>p</m:t>
            </m:r>
          </m:e>
          <m:sub>
            <m:r>
              <m:t>r</m:t>
            </m:r>
          </m:sub>
        </m:sSub>
        <m:d>
          <m:dPr>
            <m:begChr m:val="("/>
            <m:sepChr m:val=""/>
            <m:endChr m:val=")"/>
            <m:grow/>
          </m:dPr>
          <m:e>
            <m:r>
              <m:t>a</m:t>
            </m:r>
          </m:e>
        </m:d>
      </m:oMath>
      <w:r>
        <w:t xml:space="preserve"> </w:t>
      </w:r>
      <w:r>
        <w:t xml:space="preserve">in place of</w:t>
      </w:r>
      <w:r>
        <w:t xml:space="preserve"> </w:t>
      </w:r>
      <m:oMath>
        <m:r>
          <m:t>p</m:t>
        </m:r>
        <m:d>
          <m:dPr>
            <m:begChr m:val="("/>
            <m:sepChr m:val=""/>
            <m:endChr m:val=")"/>
            <m:grow/>
          </m:dPr>
          <m:e>
            <m:r>
              <m:t>a</m:t>
            </m:r>
          </m:e>
        </m:d>
      </m:oMath>
      <w:r>
        <w:t xml:space="preserve">, satisfies C1 and C2, and it satisfies C3 unless</w:t>
      </w:r>
      <w:r>
        <w:t xml:space="preserve"> </w:t>
      </w:r>
      <m:oMath>
        <m:sSub>
          <m:e>
            <m:r>
              <m:t>p</m:t>
            </m:r>
          </m:e>
          <m:sub>
            <m:r>
              <m:t>n</m:t>
            </m:r>
          </m:sub>
        </m:sSub>
        <m:d>
          <m:dPr>
            <m:begChr m:val="("/>
            <m:sepChr m:val=""/>
            <m:endChr m:val=")"/>
            <m:grow/>
          </m:dPr>
          <m:e>
            <m:r>
              <m:t>a</m:t>
            </m:r>
          </m:e>
        </m:d>
      </m:oMath>
      <w:r>
        <w:t xml:space="preserve"> </w:t>
      </w:r>
      <w:r>
        <w:t xml:space="preserve">is itself electronic health data within the environment on the broad reading of Article 68(12). In that case C1 and C3 collide over</w:t>
      </w:r>
      <w:r>
        <w:t xml:space="preserve"> </w:t>
      </w:r>
      <m:oMath>
        <m:sSub>
          <m:e>
            <m:r>
              <m:t>p</m:t>
            </m:r>
          </m:e>
          <m:sub>
            <m:r>
              <m:t>n</m:t>
            </m:r>
          </m:sub>
        </m:sSub>
        <m:d>
          <m:dPr>
            <m:begChr m:val="("/>
            <m:sepChr m:val=""/>
            <m:endChr m:val=")"/>
            <m:grow/>
          </m:dPr>
          <m:e>
            <m:r>
              <m:t>a</m:t>
            </m:r>
          </m:e>
        </m:d>
      </m:oMath>
      <w:r>
        <w:t xml:space="preserve">, by the argument of Proposition 3, for exactly the records it identifies under case (ii). The collision follows from keeping</w:t>
      </w:r>
      <w:r>
        <w:t xml:space="preserve"> </w:t>
      </w:r>
      <m:oMath>
        <m:sSub>
          <m:e>
            <m:r>
              <m:t>p</m:t>
            </m:r>
          </m:e>
          <m:sub>
            <m:r>
              <m:t>n</m:t>
            </m:r>
          </m:sub>
        </m:sSub>
        <m:d>
          <m:dPr>
            <m:begChr m:val="("/>
            <m:sepChr m:val=""/>
            <m:endChr m:val=")"/>
            <m:grow/>
          </m:dPr>
          <m:e>
            <m:r>
              <m:t>a</m:t>
            </m:r>
          </m:e>
        </m:d>
      </m:oMath>
      <w:r>
        <w:t xml:space="preserve"> </w:t>
      </w:r>
      <w:r>
        <w:t xml:space="preserve">intact under condition (i) without the logged-removal exception that the subject fields have. Relocation (</w:t>
      </w:r>
      <w:hyperlink w:anchor="sec_4_10" w:history="1">
        <w:r>
          <w:rPr>
            <w:rStyle w:val="Hyperlink"/>
          </w:rPr>
          <w:t xml:space="preserve">Section 4.10</w:t>
        </w:r>
      </w:hyperlink>
      <w:r>
        <w:t xml:space="preserve">, Rival 6) is the exit this thesis identifies; logging at dataset granularity, the narrow reading, or anonymising</w:t>
      </w:r>
      <w:r>
        <w:t xml:space="preserve"> </w:t>
      </w:r>
      <m:oMath>
        <m:sSub>
          <m:e>
            <m:r>
              <m:t>p</m:t>
            </m:r>
          </m:e>
          <m:sub>
            <m:r>
              <m:t>n</m:t>
            </m:r>
          </m:sub>
        </m:sSub>
        <m:d>
          <m:dPr>
            <m:begChr m:val="("/>
            <m:sepChr m:val=""/>
            <m:endChr m:val=")"/>
            <m:grow/>
          </m:dPr>
          <m:e>
            <m:r>
              <m:t>a</m:t>
            </m:r>
          </m:e>
        </m:d>
      </m:oMath>
      <w:r>
        <w:t xml:space="preserve"> </w:t>
      </w:r>
      <w:r>
        <w:t xml:space="preserve">are others.</w:t>
      </w:r>
    </w:p>
    <w:p>
      <w:pPr>
        <w:pStyle w:val="BodyText"/>
      </w:pPr>
      <w:r>
        <w:rPr>
          <w:iCs/>
          <w:i/>
        </w:rPr>
        <w:t xml:space="preserve">Proof sketch.</w:t>
      </w:r>
      <w:r>
        <w:t xml:space="preserve"> </w:t>
      </w:r>
      <w:r>
        <w:t xml:space="preserve">Replace</w:t>
      </w:r>
      <w:r>
        <w:t xml:space="preserve"> </w:t>
      </w:r>
      <m:oMath>
        <m:r>
          <m:t>p</m:t>
        </m:r>
      </m:oMath>
      <w:r>
        <w:t xml:space="preserve"> </w:t>
      </w:r>
      <w:r>
        <w:t xml:space="preserve">by</w:t>
      </w:r>
      <w:r>
        <w:t xml:space="preserve"> </w:t>
      </w:r>
      <m:oMath>
        <m:sSub>
          <m:e>
            <m:r>
              <m:t>p</m:t>
            </m:r>
          </m:e>
          <m:sub>
            <m:r>
              <m:t>r</m:t>
            </m:r>
          </m:sub>
        </m:sSub>
      </m:oMath>
      <w:r>
        <w:t xml:space="preserve"> </w:t>
      </w:r>
      <w:r>
        <w:t xml:space="preserve">in steps 1–4 and add</w:t>
      </w:r>
      <w:r>
        <w:t xml:space="preserve"> </w:t>
      </w:r>
      <m:oMath>
        <m:sSub>
          <m:e>
            <m:r>
              <m:t>p</m:t>
            </m:r>
          </m:e>
          <m:sub>
            <m:r>
              <m:t>n</m:t>
            </m:r>
          </m:sub>
        </m:sSub>
      </m:oMath>
      <w:r>
        <w:t xml:space="preserve"> </w:t>
      </w:r>
      <w:r>
        <w:t xml:space="preserve">to the fields that condition (i) of Semantics II keeps intact. C1 holds as before. C2 holds for</w:t>
      </w:r>
      <w:r>
        <w:t xml:space="preserve"> </w:t>
      </w:r>
      <m:oMath>
        <m:sSub>
          <m:e>
            <m:r>
              <m:t>p</m:t>
            </m:r>
          </m:e>
          <m:sub>
            <m:r>
              <m:t>r</m:t>
            </m:r>
          </m:sub>
        </m:sSub>
      </m:oMath>
      <w:r>
        <w:t xml:space="preserve"> </w:t>
      </w:r>
      <w:r>
        <w:t xml:space="preserve">as before, and for</w:t>
      </w:r>
      <w:r>
        <w:t xml:space="preserve"> </w:t>
      </w:r>
      <m:oMath>
        <m:sSub>
          <m:e>
            <m:r>
              <m:t>p</m:t>
            </m:r>
          </m:e>
          <m:sub>
            <m:r>
              <m:t>n</m:t>
            </m:r>
          </m:sub>
        </m:sSub>
      </m:oMath>
      <w:r>
        <w:t xml:space="preserve"> </w:t>
      </w:r>
      <w:r>
        <w:t xml:space="preserve">through Article 17(3)(b), which applies because</w:t>
      </w:r>
      <w:r>
        <w:t xml:space="preserve"> </w:t>
      </w:r>
      <m:oMath>
        <m:sSub>
          <m:e>
            <m:r>
              <m:t>p</m:t>
            </m:r>
          </m:e>
          <m:sub>
            <m:r>
              <m:t>n</m:t>
            </m:r>
          </m:sub>
        </m:sSub>
      </m:oMath>
      <w:r>
        <w:t xml:space="preserve"> </w:t>
      </w:r>
      <w:r>
        <w:t xml:space="preserve">is by assumption necessary. C3 constrains whatever is electronic health data within the environment: if</w:t>
      </w:r>
      <w:r>
        <w:t xml:space="preserve"> </w:t>
      </w:r>
      <m:oMath>
        <m:sSub>
          <m:e>
            <m:r>
              <m:t>p</m:t>
            </m:r>
          </m:e>
          <m:sub>
            <m:r>
              <m:t>n</m:t>
            </m:r>
          </m:sub>
        </m:sSub>
      </m:oMath>
      <w:r>
        <w:t xml:space="preserve"> </w:t>
      </w:r>
      <w:r>
        <w:t xml:space="preserve">is not, C3 is met as before; if it is, C3 requires it gone from</w:t>
      </w:r>
      <w:r>
        <w:t xml:space="preserve"> </w:t>
      </w:r>
      <m:oMath>
        <m:sSub>
          <m:e>
            <m:r>
              <m:t>t</m:t>
            </m:r>
          </m:e>
          <m:sub>
            <m:r>
              <m:t>π</m:t>
            </m:r>
          </m:sub>
        </m:sSub>
        <m:d>
          <m:dPr>
            <m:begChr m:val="("/>
            <m:sepChr m:val=""/>
            <m:endChr m:val=")"/>
            <m:grow/>
          </m:dPr>
          <m:e>
            <m:r>
              <m:t>a</m:t>
            </m:r>
          </m:e>
        </m:d>
        <m:r>
          <m:rPr>
            <m:sty m:val="p"/>
          </m:rPr>
          <m:t>+</m:t>
        </m:r>
        <m:r>
          <m:t>6</m:t>
        </m:r>
      </m:oMath>
      <w:r>
        <w:t xml:space="preserve"> </w:t>
      </w:r>
      <w:r>
        <w:t xml:space="preserve">while C1 requires it until</w:t>
      </w:r>
      <w:r>
        <w:t xml:space="preserve"> </w:t>
      </w:r>
      <m:oMath>
        <m:r>
          <m:t>t</m:t>
        </m:r>
        <m:d>
          <m:dPr>
            <m:begChr m:val="("/>
            <m:sepChr m:val=""/>
            <m:endChr m:val=")"/>
            <m:grow/>
          </m:dPr>
          <m:e>
            <m:r>
              <m:t>a</m:t>
            </m:r>
          </m:e>
        </m:d>
        <m:r>
          <m:rPr>
            <m:sty m:val="p"/>
          </m:rPr>
          <m:t>+</m:t>
        </m:r>
        <m:r>
          <m:t>F</m:t>
        </m:r>
        <m:d>
          <m:dPr>
            <m:begChr m:val="("/>
            <m:sepChr m:val=""/>
            <m:endChr m:val=")"/>
            <m:grow/>
          </m:dPr>
          <m:e>
            <m:r>
              <m:t>a</m:t>
            </m:r>
          </m:e>
        </m:d>
      </m:oMath>
      <w:r>
        <w:t xml:space="preserve">, and the argument of Proposition 3 gives the records for which these overlap. ∎</w:t>
      </w:r>
    </w:p>
    <w:p>
      <w:pPr>
        <w:pStyle w:val="BodyText"/>
      </w:pPr>
      <w:r>
        <w:t xml:space="preserve">Feasibility therefore survives any enlargement of what auditing needs, except an enlargement into data concerning health inside a Secure Processing Environment, where it fails as Corollary 1.2 does and has the same exits.</w:t>
      </w:r>
    </w:p>
    <w:p>
      <w:pPr>
        <w:pStyle w:val="BodyText"/>
      </w:pPr>
      <w:r>
        <w:rPr>
          <w:iCs/>
          <w:i/>
        </w:rPr>
        <w:t xml:space="preserve">A note on what kind of result this is.</w:t>
      </w:r>
      <w:r>
        <w:t xml:space="preserve"> </w:t>
      </w:r>
      <w:r>
        <w:t xml:space="preserve">The results of this chapter are stated as propositions rather than theorems, because their proofs are short once the semantics are fixed. The weight of the argument lies elsewhere: in </w:t>
      </w:r>
      <w:hyperlink w:anchor="sec_4_2" w:history="1">
        <w:r>
          <w:rPr>
            <w:rStyle w:val="Hyperlink"/>
          </w:rPr>
          <w:t xml:space="preserve">Section 4.2</w:t>
        </w:r>
      </w:hyperlink>
      <w:r>
        <w:t xml:space="preserve">’s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The response concedes its premise and denies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plaintext verifiability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9" w:history="1">
        <w:r>
          <w:rPr>
            <w:rStyle w:val="Hyperlink"/>
          </w:rPr>
          <w:t xml:space="preserve">Section 4.9</w:t>
        </w:r>
      </w:hyperlink>
      <w:r>
        <w:t xml:space="preserve"> and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concede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67"/>
    <w:bookmarkStart w:id="71" w:name="Xbab0c38be3b68c0190d99bdc4068769bc35fcf9"/>
    <w:p>
      <w:pPr>
        <w:pStyle w:val="Heading2"/>
      </w:pPr>
      <w:bookmarkStart w:id="1140" w:name="sec_4_8"/>
      <w:r>
        <w:t xml:space="preserve">4.8 The Mechanism: Crypto-Erasure by Invalidation</w:t>
      </w:r>
      <w:bookmarkEnd w:id="1140"/>
    </w:p>
    <w:p>
      <w:pPr>
        <w:pStyle w:val="FirstParagraph"/>
      </w:pPr>
      <w:r>
        <w:t xml:space="preserve">The proof of Proposition 2 is also a build sheet: the trajectory it constructs is the specification of the mechanism. This section states it as an implementable design: what is encrypted, what is committed, what is destroyed, and what is logged when it is. Figure 4.1 shows the whole of it on one page.</w:t>
      </w:r>
    </w:p>
    <w:p>
      <w:pPr>
        <w:pStyle w:val="CaptionedFigure"/>
      </w:pPr>
      <w:r>
        <w:drawing>
          <wp:inline>
            <wp:extent cx="5753100" cy="4425163"/>
            <wp:effectExtent b="0" l="0" r="0" t="0"/>
            <wp:docPr descr="Figure 4.1. Crypto-Erasure by Invalidation at the audit boundary. Green arrows are writes at access time. Purple dashed arrows are the three triggers (an erasure request, a permit expiry and, where the controller sets one, the payload retention period) and the optional hand-over of the opening to the patient or the home contact point. Red dashed arrows are the destruction at the earliest of the resulting deadlines, which the invalidation entry then records in the registry and the log. The subject fields and their salt are removed only for patient-level Secure Processing Environment logs, at the ceiling. The Merkle log’s leaves hold the accessor fields, the payload commitment, a salted commitment to the subject fields and the invalidation entries, never the payload or the subject fields themselves." title="" id="69" name="Picture"/>
            <a:graphic>
              <a:graphicData uri="http://schemas.openxmlformats.org/drawingml/2006/picture">
                <pic:pic>
                  <pic:nvPicPr>
                    <pic:cNvPr descr="figures/fig4_1_cei_mechanism.png" id="70" name="Picture"/>
                    <pic:cNvPicPr>
                      <a:picLocks noChangeArrowheads="1" noChangeAspect="1"/>
                    </pic:cNvPicPr>
                  </pic:nvPicPr>
                  <pic:blipFill>
                    <a:blip r:embed="rId68"/>
                    <a:stretch>
                      <a:fillRect/>
                    </a:stretch>
                  </pic:blipFill>
                  <pic:spPr bwMode="auto">
                    <a:xfrm>
                      <a:off x="0" y="0"/>
                      <a:ext cx="5753100" cy="4425163"/>
                    </a:xfrm>
                    <a:prstGeom prst="rect">
                      <a:avLst/>
                    </a:prstGeom>
                    <a:noFill/>
                    <a:ln w="9525">
                      <a:noFill/>
                      <a:headEnd/>
                      <a:tailEnd/>
                    </a:ln>
                  </pic:spPr>
                </pic:pic>
              </a:graphicData>
            </a:graphic>
          </wp:inline>
        </w:drawing>
      </w:r>
    </w:p>
    <w:p>
      <w:pPr>
        <w:pStyle w:val="ImageCaption"/>
      </w:pPr>
      <w:r>
        <w:t xml:space="preserve">Figure 4.1. Crypto-Erasure by Invalidation at the audit boundary. Green arrows are writes at access time. Purple dashed arrows are the three triggers (an erasure request, a permit expiry and, where the controller sets one, the payload retention period) and the optional hand-over of the opening to the patient or the home contact point. Red dashed arrows are the destruction at the earliest of the resulting deadlines, which the invalidation entry then records in the registry and the log. The subject fields and their salt are removed only for patient-level Secure Processing Environment logs, at the ceiling. The Merkle log’s leaves hold the accessor fields, the payload commitment, a salted commitment to the subject fields and the invalidation entries, never the payload or the subject fields themselves.</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Proactive invalidation.</w:t>
      </w:r>
      <w:r>
        <w:t xml:space="preserve"> </w:t>
      </w:r>
      <w:r>
        <w:t xml:space="preserve">The necessity analysis of </w:t>
      </w:r>
      <w:hyperlink w:anchor="sec_4_2" w:history="1">
        <w:r>
          <w:rPr>
            <w:rStyle w:val="Hyperlink"/>
          </w:rPr>
          <w:t xml:space="preserve">Section 4.2</w:t>
        </w:r>
      </w:hyperlink>
      <w:r>
        <w:t xml:space="preserve"> means that the payload need not wait for a request. The specification therefore allows a payload retention period</w:t>
      </w:r>
      <w:r>
        <w:t xml:space="preserve"> </w:t>
      </w:r>
      <m:oMath>
        <m:r>
          <m:t>P</m:t>
        </m:r>
        <m:d>
          <m:dPr>
            <m:begChr m:val="("/>
            <m:sepChr m:val=""/>
            <m:endChr m:val=")"/>
            <m:grow/>
          </m:dPr>
          <m:e>
            <m:r>
              <m:t>a</m:t>
            </m:r>
          </m:e>
        </m:d>
      </m:oMath>
      <w:r>
        <w:t xml:space="preserve">, set by the controller from the payload’s own purpose, after which the payload is invalidated on the ground of Article 5(1)(c) and (e) GDPR. The invalidation month is then</w:t>
      </w:r>
      <w:r>
        <w:t xml:space="preserve"> </w:t>
      </w:r>
      <m:oMath>
        <m:sSup>
          <m:e>
            <m:r>
              <m:t>t</m:t>
            </m:r>
          </m:e>
          <m:sup>
            <m:r>
              <m:t>I</m:t>
            </m:r>
          </m:sup>
        </m:sSup>
        <m:d>
          <m:dPr>
            <m:begChr m:val="("/>
            <m:sepChr m:val=""/>
            <m:endChr m:val=")"/>
            <m:grow/>
          </m:dPr>
          <m:e>
            <m:r>
              <m:t>a</m:t>
            </m:r>
          </m:e>
        </m:d>
        <m:r>
          <m:rPr>
            <m:sty m:val="p"/>
          </m:rPr>
          <m:t>=</m:t>
        </m:r>
        <m:r>
          <m:rPr>
            <m:sty m:val="p"/>
          </m:rPr>
          <m:t>min</m:t>
        </m:r>
        <m:d>
          <m:dPr>
            <m:begChr m:val="("/>
            <m:sepChr m:val=""/>
            <m:endChr m:val=")"/>
            <m:grow/>
          </m:dPr>
          <m:e>
            <m:sSub>
              <m:e>
                <m:r>
                  <m:t>t</m:t>
                </m:r>
              </m:e>
              <m:sub>
                <m:r>
                  <m:t>r</m:t>
                </m:r>
              </m:sub>
            </m:sSub>
            <m:d>
              <m:dPr>
                <m:begChr m:val="("/>
                <m:sepChr m:val=""/>
                <m:endChr m:val=")"/>
                <m:grow/>
              </m:dPr>
              <m:e>
                <m:r>
                  <m:t>a</m:t>
                </m:r>
              </m:e>
            </m:d>
            <m:r>
              <m:rPr>
                <m:sty m:val="p"/>
              </m:rPr>
              <m:t>+</m:t>
            </m:r>
            <m:r>
              <m:t>δ</m:t>
            </m:r>
            <m:r>
              <m:rPr>
                <m:sty m:val="p"/>
              </m:rPr>
              <m:t>,</m:t>
            </m:r>
            <m:r>
              <m:t> </m:t>
            </m:r>
            <m:sSub>
              <m:e>
                <m:r>
                  <m:t>t</m:t>
                </m:r>
              </m:e>
              <m:sub>
                <m:r>
                  <m:t>π</m:t>
                </m:r>
              </m:sub>
            </m:sSub>
            <m:d>
              <m:dPr>
                <m:begChr m:val="("/>
                <m:sepChr m:val=""/>
                <m:endChr m:val=")"/>
                <m:grow/>
              </m:dPr>
              <m:e>
                <m:r>
                  <m:t>a</m:t>
                </m:r>
              </m:e>
            </m:d>
            <m:r>
              <m:rPr>
                <m:sty m:val="p"/>
              </m:rPr>
              <m:t>+</m:t>
            </m:r>
            <m:r>
              <m:t>6</m:t>
            </m:r>
            <m:r>
              <m:rPr>
                <m:sty m:val="p"/>
              </m:rPr>
              <m:t>,</m:t>
            </m:r>
            <m:r>
              <m:t> </m:t>
            </m:r>
            <m:r>
              <m:t>t</m:t>
            </m:r>
            <m:d>
              <m:dPr>
                <m:begChr m:val="("/>
                <m:sepChr m:val=""/>
                <m:endChr m:val=")"/>
                <m:grow/>
              </m:dPr>
              <m:e>
                <m:r>
                  <m:t>a</m:t>
                </m:r>
              </m:e>
            </m:d>
            <m:r>
              <m:rPr>
                <m:sty m:val="p"/>
              </m:rPr>
              <m:t>+</m:t>
            </m:r>
            <m:r>
              <m:t>P</m:t>
            </m:r>
            <m:d>
              <m:dPr>
                <m:begChr m:val="("/>
                <m:sepChr m:val=""/>
                <m:endChr m:val=")"/>
                <m:grow/>
              </m:dPr>
              <m:e>
                <m:r>
                  <m:t>a</m:t>
                </m:r>
              </m:e>
            </m:d>
          </m:e>
        </m:d>
      </m:oMath>
      <w:r>
        <w:t xml:space="preserve">, with</w:t>
      </w:r>
      <w:r>
        <w:t xml:space="preserve"> </w:t>
      </w:r>
      <m:oMath>
        <m:r>
          <m:t>P</m:t>
        </m:r>
        <m:d>
          <m:dPr>
            <m:begChr m:val="("/>
            <m:sepChr m:val=""/>
            <m:endChr m:val=")"/>
            <m:grow/>
          </m:dPr>
          <m:e>
            <m:r>
              <m:t>a</m:t>
            </m:r>
          </m:e>
        </m:d>
        <m:r>
          <m:rPr>
            <m:sty m:val="p"/>
          </m:rPr>
          <m:t>=</m:t>
        </m:r>
        <m:r>
          <m:rPr>
            <m:sty m:val="p"/>
          </m:rPr>
          <m:t>∞</m:t>
        </m:r>
      </m:oMath>
      <w:r>
        <w:t xml:space="preserve"> </w:t>
      </w:r>
      <w:r>
        <w:t xml:space="preserve">where no period is set, as </w:t>
      </w:r>
      <w:hyperlink w:anchor="sec_4_7" w:history="1">
        <w:r>
          <w:rPr>
            <w:rStyle w:val="Hyperlink"/>
          </w:rPr>
          <w:t xml:space="preserve">Section 4.7</w:t>
        </w:r>
      </w:hyperlink>
      <w:r>
        <w:t xml:space="preserve"> defines it. Proposition 2’s construction and proof are unchanged: C2 and C3 still hold because</w:t>
      </w:r>
      <w:r>
        <w:t xml:space="preserve"> </w:t>
      </w:r>
      <m:oMath>
        <m:sSup>
          <m:e>
            <m:r>
              <m:t>t</m:t>
            </m:r>
          </m:e>
          <m:sup>
            <m:r>
              <m:t>I</m:t>
            </m:r>
          </m:sup>
        </m:sSup>
        <m:d>
          <m:dPr>
            <m:begChr m:val="("/>
            <m:sepChr m:val=""/>
            <m:endChr m:val=")"/>
            <m:grow/>
          </m:dPr>
          <m:e>
            <m:r>
              <m:t>a</m:t>
            </m:r>
          </m:e>
        </m:d>
      </m:oMath>
      <w:r>
        <w:t xml:space="preserve"> </w:t>
      </w:r>
      <w:r>
        <w:t xml:space="preserve">can only move earlier, and C1 holds because nothing in its argument depends on which trigger fixed</w:t>
      </w:r>
      <w:r>
        <w:t xml:space="preserve"> </w:t>
      </w:r>
      <m:oMath>
        <m:sSup>
          <m:e>
            <m:r>
              <m:t>t</m:t>
            </m:r>
          </m:e>
          <m:sup>
            <m:r>
              <m:t>I</m:t>
            </m:r>
          </m:sup>
        </m:sSup>
        <m:d>
          <m:dPr>
            <m:begChr m:val="("/>
            <m:sepChr m:val=""/>
            <m:endChr m:val=")"/>
            <m:grow/>
          </m:dPr>
          <m:e>
            <m:r>
              <m:t>a</m:t>
            </m:r>
          </m:e>
        </m:d>
      </m:oMath>
      <w:r>
        <w:t xml:space="preserve">. The artefact runs with</w:t>
      </w:r>
      <w:r>
        <w:t xml:space="preserve"> </w:t>
      </w:r>
      <m:oMath>
        <m:r>
          <m:t>P</m:t>
        </m:r>
        <m:d>
          <m:dPr>
            <m:begChr m:val="("/>
            <m:sepChr m:val=""/>
            <m:endChr m:val=")"/>
            <m:grow/>
          </m:dPr>
          <m:e>
            <m:r>
              <m:t>a</m:t>
            </m:r>
          </m:e>
        </m:d>
        <m:r>
          <m:rPr>
            <m:sty m:val="p"/>
          </m:rPr>
          <m:t>=</m:t>
        </m:r>
        <m:r>
          <m:rPr>
            <m:sty m:val="p"/>
          </m:rPr>
          <m:t>∞</m:t>
        </m:r>
      </m:oMath>
      <w:r>
        <w:t xml:space="preserve">, so every figure in </w:t>
      </w:r>
      <w:hyperlink w:anchor="ch_5" w:history="1">
        <w:r>
          <w:rPr>
            <w:rStyle w:val="Hyperlink"/>
          </w:rPr>
          <w:t xml:space="preserve">Chapter 5</w:t>
        </w:r>
      </w:hyperlink>
      <w:r>
        <w:t xml:space="preserve"> is the case without proactive invalidation.</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erasure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2026b, </w:t>
      </w:r>
      <w:hyperlink w:anchor="tbl_5_2" w:history="1">
        <w:r>
          <w:rPr>
            <w:rStyle w:val="Hyperlink"/>
          </w:rPr>
          <w:t xml:space="preserve">Table 5.2</w:t>
        </w:r>
      </w:hyperlink>
      <w:r>
        <w:t xml:space="preserve">,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w:t>
      </w:r>
      <w:r>
        <w:t xml:space="preserve"> </w:t>
      </w:r>
      <m:oMath>
        <m:r>
          <m:rPr>
            <m:sty m:val="p"/>
          </m:rPr>
          <m:t>C</m:t>
        </m:r>
        <m:r>
          <m:rPr>
            <m:sty m:val="p"/>
          </m:rPr>
          <m:t>o</m:t>
        </m:r>
        <m:r>
          <m:rPr>
            <m:sty m:val="p"/>
          </m:rPr>
          <m:t>m</m:t>
        </m:r>
        <m:r>
          <m:rPr>
            <m:sty m:val="p"/>
          </m:rPr>
          <m:t>m</m:t>
        </m:r>
        <m:r>
          <m:rPr>
            <m:sty m:val="p"/>
          </m:rPr>
          <m:t>i</m:t>
        </m:r>
        <m:r>
          <m:rPr>
            <m:sty m:val="p"/>
          </m:rPr>
          <m:t>t</m:t>
        </m:r>
        <m:d>
          <m:dPr>
            <m:begChr m:val="("/>
            <m:sepChr m:val=""/>
            <m:endChr m:val=")"/>
            <m:grow/>
          </m:dPr>
          <m:e>
            <m:r>
              <m:t>p</m:t>
            </m:r>
            <m:d>
              <m:dPr>
                <m:begChr m:val="("/>
                <m:sepChr m:val=""/>
                <m:endChr m:val=")"/>
                <m:grow/>
              </m:dPr>
              <m:e>
                <m:r>
                  <m:t>a</m:t>
                </m:r>
              </m:e>
            </m:d>
            <m:r>
              <m:rPr>
                <m:sty m:val="p"/>
              </m:rPr>
              <m:t>,</m:t>
            </m:r>
            <m:r>
              <m:t>r</m:t>
            </m:r>
            <m:d>
              <m:dPr>
                <m:begChr m:val="("/>
                <m:sepChr m:val=""/>
                <m:endChr m:val=")"/>
                <m:grow/>
              </m:dPr>
              <m:e>
                <m:r>
                  <m:t>a</m:t>
                </m:r>
              </m:e>
            </m:d>
          </m:e>
        </m:d>
      </m:oMath>
      <w:r>
        <w:t xml:space="preserve"> </w:t>
      </w:r>
      <w:r>
        <w:t xml:space="preserve">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Where a deployment wants the commitment to stay checkable after invalidation, the opening can be handed at write time to a party entitled to the payload, such as the data subject or the patient’s home National Contact Point; the audit store itself never holds one after</w:t>
      </w:r>
      <w:r>
        <w:t xml:space="preserve"> </w:t>
      </w:r>
      <m:oMath>
        <m:sSup>
          <m:e>
            <m:r>
              <m:t>t</m:t>
            </m:r>
          </m:e>
          <m:sup>
            <m:r>
              <m:t>I</m:t>
            </m:r>
          </m:sup>
        </m:sSup>
        <m:d>
          <m:dPr>
            <m:begChr m:val="("/>
            <m:sepChr m:val=""/>
            <m:endChr m:val=")"/>
            <m:grow/>
          </m:dPr>
          <m:e>
            <m:r>
              <m:t>a</m:t>
            </m:r>
          </m:e>
        </m:d>
      </m:oMath>
      <w:r>
        <w:t xml:space="preserve">. Without such a party, the commitment fixes after invalidation only that some payload was bound at write time and has not since been substituted.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hash of the destroyed key’s identifier: not of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erasing: the accessor fields, the creation month, the commitment to the payload and a salted commitment to the subject fields, never the payload and never the subject fields themselves. The salt of the subject-field commitment is held with the subject fields and destroyed when they are removed, so the link to the patient, which a cross-border record keeps for the whole floor, is as tamper-evident as the accessor fields while it exists and confirms nothing once it is gone.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 Redactable and chameleon-hash designs,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resolve the same tension the other way, by letting a key holder rewrite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Some payload was bound to that event at write time and has not since been substituted, which follows from</w:t>
      </w:r>
      <w:r>
        <w:t xml:space="preserve"> </w:t>
      </w:r>
      <m:oMath>
        <m:r>
          <m:t>c</m:t>
        </m:r>
        <m:d>
          <m:dPr>
            <m:begChr m:val="("/>
            <m:sepChr m:val=""/>
            <m:endChr m:val=")"/>
            <m:grow/>
          </m:dPr>
          <m:e>
            <m:r>
              <m:t>a</m:t>
            </m:r>
          </m:e>
        </m:d>
      </m:oMath>
      <w:r>
        <w:t xml:space="preserve"> </w:t>
      </w:r>
      <w:r>
        <w:t xml:space="preserve">and its inclusion in the log; which payload it was can be checked only by a party that kept an opening (</w:t>
      </w:r>
      <w:r>
        <w:rPr>
          <w:iCs/>
          <w:i/>
        </w:rPr>
        <w:t xml:space="preserve">Commitment</w:t>
      </w:r>
      <w:r>
        <w:t xml:space="preserve">, above).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The patient link is retained there through the floor, for the reason </w:t>
      </w:r>
      <w:hyperlink w:anchor="sec_4_2" w:history="1">
        <w:r>
          <w:rPr>
            <w:rStyle w:val="Hyperlink"/>
          </w:rPr>
          <w:t xml:space="preserve">Section 4.2</w:t>
        </w:r>
      </w:hyperlink>
      <w:r>
        <w:t xml:space="preserve"> gives, and removed at the terminal transition.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71"/>
    <w:bookmarkStart w:id="72" w:name="residue-analysis"/>
    <w:p>
      <w:pPr>
        <w:pStyle w:val="Heading2"/>
      </w:pPr>
      <w:bookmarkStart w:id="1141" w:name="sec_4_9"/>
      <w:r>
        <w:t xml:space="preserve">4.9 Residue Analysis</w:t>
      </w:r>
      <w:bookmarkEnd w:id="1141"/>
    </w:p>
    <w:p>
      <w:pPr>
        <w:pStyle w:val="FirstParagraph"/>
      </w:pPr>
      <w:r>
        <w:t xml:space="preserve">A mechanism that erases by destroying keys is only as good as what it leaves behind. 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72"/>
    <w:bookmarkStart w:id="73" w:name="rival-designs-and-proposition-4"/>
    <w:p>
      <w:pPr>
        <w:pStyle w:val="Heading2"/>
      </w:pPr>
      <w:bookmarkStart w:id="1142" w:name="sec_4_10"/>
      <w:r>
        <w:t xml:space="preserve">4.10 Rival Designs and Proposition 4</w:t>
      </w:r>
      <w:bookmarkEnd w:id="1142"/>
    </w:p>
    <w:p>
      <w:pPr>
        <w:pStyle w:val="FirstParagraph"/>
      </w:pPr>
      <w:r>
        <w:t xml:space="preserve">If a simpler design solved the problem, this mechanism would be unnecessary. Six alternative designs are therefore tested against it.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2026b, </w:t>
      </w:r>
      <w:hyperlink w:anchor="tbl_5_4" w:history="1">
        <w:r>
          <w:rPr>
            <w:rStyle w:val="Hyperlink"/>
          </w:rPr>
          <w:t xml:space="preserve">Table 5.4</w:t>
        </w:r>
      </w:hyperlink>
      <w:r>
        <w:t xml:space="preserve">,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That failure is by definition, since condition (ii) requires a commitment, so the real question is what the commitment adds. Before invalidation an auditor can open it against the payload and detect the substitution of one record’s content for another’s. After invalidation it can be opened only by a party that kept an opening (</w:t>
      </w:r>
      <w:hyperlink w:anchor="sec_4_8" w:history="1">
        <w:r>
          <w:rPr>
            <w:rStyle w:val="Hyperlink"/>
          </w:rPr>
          <w:t xml:space="preserve">Section 4.8</w:t>
        </w:r>
      </w:hyperlink>
      <w:r>
        <w:t xml:space="preserve">), and otherwise fixes only that some payload was bound at write time. The advantage over this rival is therefore real but bounded: it lies chiefly in the logged, attributed invalidation entry and in the tamper-evident binding of the access record, and only partly in the commitment.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as a legal premise rather than a mathematical consequence,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7" w:history="1">
        <w:r>
          <w:rPr>
            <w:rStyle w:val="Hyperlink"/>
          </w:rPr>
          <w:t xml:space="preserve">Section 4.7</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3"/>
    <w:bookmarkStart w:id="74" w:name="X51924fffb4499c77bcb597712556eecab7674b1"/>
    <w:p>
      <w:pPr>
        <w:pStyle w:val="Heading2"/>
      </w:pPr>
      <w:bookmarkStart w:id="1143" w:name="sec_4_11"/>
      <w:r>
        <w:t xml:space="preserve">4.11 Integration with the Norwegian Infrastructure</w:t>
      </w:r>
      <w:bookmarkEnd w:id="1143"/>
    </w:p>
    <w:p>
      <w:pPr>
        <w:pStyle w:val="FirstParagraph"/>
      </w:pPr>
      <w:r>
        <w:t xml:space="preserve">A mechanism is only as useful as the point at which it can be installed. This one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2026b,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November 2024 draft is specific on logging (SPUHiN, 2024; requirement numbers as in the draft). Tamper-proof, identifiable logs of access to the environment are mandatory</w:t>
      </w:r>
      <w:r>
        <w:t xml:space="preserve"> </w:t>
      </w:r>
      <w:r>
        <w:t xml:space="preserve">“</w:t>
      </w:r>
      <w:r>
        <w:t xml:space="preserve">for at least one year</w:t>
      </w:r>
      <w:r>
        <w:t xml:space="preserve">”</w:t>
      </w:r>
      <w:r>
        <w:t xml:space="preserve"> </w:t>
      </w:r>
      <w:r>
        <w:t xml:space="preserve">(P13). Logs of when files are extracted and by whom are mandatory, kept for one year (P24). Logs of activities inside the environment are recommended (P14). A defined termination procedure is mandatory (P31), and its implementation examples include the handling of back-ups and log files. That is the one-year floor of Article 73(1)(e) in national form. None of the requirements inspected says how those logs are to be reconciled with deletion.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2026b).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2026b) where it applies.</w:t>
      </w:r>
    </w:p>
    <w:p>
      <w:pPr>
        <w:pStyle w:val="TableCaption"/>
      </w:pPr>
      <w:bookmarkStart w:id="1090" w:name="tbl_4_1"/>
      <w:r>
        <w:rPr>
          <w:b/>
          <w:color w:val="1F3864"/>
        </w:rPr>
        <w:t xml:space="preserve">Table 4.1.</w:t>
      </w:r>
      <w:r>
        <w:t xml:space="preserve"> Requirements traced to the mechanism</w:t>
      </w:r>
      <w:bookmarkEnd w:id="1090"/>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against alteration of an entry or of the patient link (all three tamper tests fail</w:t>
            </w:r>
            <w:r>
              <w:rPr>
                <w:sz w:val="20"/>
                <w:szCs w:val="20"/>
              </w:rPr>
              <w:t xml:space="preserve"> </w:t>
            </w:r>
            <m:oMath>
              <m:sSup>
                <m:e>
                  <m:r>
                    <m:t>V</m:t>
                  </m:r>
                </m:e>
                <m:sup>
                  <m:r>
                    <m:t>I</m:t>
                  </m:r>
                  <m:r>
                    <m:t>I</m:t>
                  </m:r>
                </m:sup>
              </m:sSup>
            </m:oMath>
            <w:r>
              <w:rPr>
                <w:sz w:val="20"/>
                <w:szCs w:val="20"/>
              </w:rPr>
              <w:t xml:space="preserve">); a rewritten log is detected only with published roots and consistency proofs, specified and not implemented (</w:t>
            </w:r>
            <w:hyperlink w:anchor="sec_4_9" w:history="1">
              <w:r>
                <w:rPr>
                  <w:rStyle w:val="Hyperlink"/>
                  <w:sz w:val="20"/>
                  <w:szCs w:val="20"/>
                </w:rPr>
                <w:t xml:space="preserve">§4.9</w:t>
              </w:r>
            </w:hyperlink>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Key deletion may serve erasure where physical deletion is not possible; threat model documented</w:t>
            </w:r>
          </w:p>
        </w:tc>
        <w:tc>
          <w:tcPr/>
          <w:p>
            <w:pPr>
              <w:pStyle w:val="Compact"/>
              <w:jc w:val="left"/>
            </w:pPr>
            <w:r>
              <w:rPr>
                <w:sz w:val="20"/>
                <w:szCs w:val="20"/>
              </w:rPr>
              <w:t xml:space="preserve">EDPB Guidelines 02/2025 v2.0; Aikebaier (2026) on the threat model</w:t>
            </w:r>
          </w:p>
        </w:tc>
        <w:tc>
          <w:tcPr/>
          <w:p>
            <w:pPr>
              <w:pStyle w:val="Compact"/>
              <w:jc w:val="left"/>
            </w:pPr>
            <w:r>
              <w:rPr>
                <w:sz w:val="20"/>
                <w:szCs w:val="20"/>
              </w:rPr>
              <w:t xml:space="preserve">Per-record keys under a key-encrypting key; trust assumptions stated</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Hierarchy met in the optional module; hardware custody and the threat model by specification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Tamper-proof, identifiable logs of access to the SPE, at least one year (mandatory); of file extraction, one year (mandatory); of activities (recommended)</w:t>
            </w:r>
          </w:p>
        </w:tc>
        <w:tc>
          <w:tcPr/>
          <w:p>
            <w:pPr>
              <w:pStyle w:val="Compact"/>
              <w:jc w:val="left"/>
            </w:pPr>
            <w:r>
              <w:rPr>
                <w:sz w:val="20"/>
                <w:szCs w:val="20"/>
              </w:rPr>
              <w:t xml:space="preserve">SPUHiN (2024), draft, P13, P24, P14</w:t>
            </w:r>
          </w:p>
        </w:tc>
        <w:tc>
          <w:tcPr/>
          <w:p>
            <w:pPr>
              <w:pStyle w:val="Compact"/>
              <w:jc w:val="left"/>
            </w:pPr>
            <w:r>
              <w:rPr>
                <w:sz w:val="20"/>
                <w:szCs w:val="20"/>
              </w:rPr>
              <w:t xml:space="preserve">Accessor fields kept identifiable for the floor; every access event in the append-only Merkle log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8" w:history="1">
              <w:r>
                <w:rPr>
                  <w:rStyle w:val="Hyperlink"/>
                  <w:sz w:val="20"/>
                  <w:szCs w:val="20"/>
                </w:rPr>
                <w:t xml:space="preserve">§4.8</w:t>
              </w:r>
            </w:hyperlink>
            <w:r>
              <w:rPr>
                <w:sz w:val="20"/>
                <w:szCs w:val="20"/>
              </w:rPr>
              <w:t xml:space="preserve">;</w:t>
            </w:r>
            <w:r>
              <w:rPr>
                <w:sz w:val="20"/>
                <w:szCs w:val="20"/>
              </w:rPr>
              <w:t xml:space="preserve"> </w:t>
            </w:r>
            <w:r>
              <w:rPr>
                <w:rStyle w:val="VerbatimChar"/>
                <w:sz w:val="20"/>
                <w:szCs w:val="20"/>
              </w:rPr>
              <w:t xml:space="preserve">MerkleLog</w:t>
            </w:r>
          </w:p>
        </w:tc>
        <w:tc>
          <w:tcPr/>
          <w:p>
            <w:pPr>
              <w:pStyle w:val="Compact"/>
              <w:jc w:val="left"/>
            </w:pPr>
            <w:r>
              <w:rPr>
                <w:sz w:val="20"/>
                <w:szCs w:val="20"/>
              </w:rPr>
              <w:t xml:space="preserve">Access logs met in the artefact (</w:t>
            </w:r>
            <m:oMath>
              <m:r>
                <m:t>F</m:t>
              </m:r>
              <m:r>
                <m:rPr>
                  <m:sty m:val="p"/>
                </m:rPr>
                <m:t>=</m:t>
              </m:r>
              <m:r>
                <m:t>12</m:t>
              </m:r>
            </m:oMath>
            <w:r>
              <w:rPr>
                <w:sz w:val="20"/>
                <w:szCs w:val="20"/>
              </w:rPr>
              <w:t xml:space="preserve">; all three tamper tests fail</w:t>
            </w:r>
            <w:r>
              <w:rPr>
                <w:sz w:val="20"/>
                <w:szCs w:val="20"/>
              </w:rPr>
              <w:t xml:space="preserve"> </w:t>
            </w:r>
            <m:oMath>
              <m:sSup>
                <m:e>
                  <m:r>
                    <m:t>V</m:t>
                  </m:r>
                </m:e>
                <m:sup>
                  <m:r>
                    <m:t>I</m:t>
                  </m:r>
                  <m:r>
                    <m:t>I</m:t>
                  </m:r>
                </m:sup>
              </m:sSup>
            </m:oMath>
            <w:r>
              <w:rPr>
                <w:sz w:val="20"/>
                <w:szCs w:val="20"/>
              </w:rPr>
              <w:t xml:space="preserve">); extraction and activity logs covered by the same mechanism, not modelled separately</w:t>
            </w:r>
          </w:p>
        </w:tc>
      </w:tr>
      <w:tr>
        <w:trPr>
          <w:cantSplit/>
        </w:trPr>
        <w:tc>
          <w:tcPr/>
          <w:p>
            <w:pPr>
              <w:pStyle w:val="Compact"/>
              <w:jc w:val="left"/>
            </w:pPr>
            <w:r>
              <w:rPr>
                <w:sz w:val="20"/>
                <w:szCs w:val="20"/>
              </w:rPr>
              <w:t xml:space="preserve">Defined termination procedure (mandatory); implementation examples include back-ups and log files</w:t>
            </w:r>
          </w:p>
        </w:tc>
        <w:tc>
          <w:tcPr/>
          <w:p>
            <w:pPr>
              <w:pStyle w:val="Compact"/>
              <w:jc w:val="left"/>
            </w:pPr>
            <w:r>
              <w:rPr>
                <w:sz w:val="20"/>
                <w:szCs w:val="20"/>
              </w:rPr>
              <w:t xml:space="preserve">SPUHiN (2024), draft, P31</w:t>
            </w:r>
          </w:p>
        </w:tc>
        <w:tc>
          <w:tcPr/>
          <w:p>
            <w:pPr>
              <w:pStyle w:val="Compact"/>
              <w:jc w:val="left"/>
            </w:pPr>
            <w:r>
              <w:rPr>
                <w:sz w:val="20"/>
                <w:szCs w:val="20"/>
              </w:rPr>
              <w:t xml:space="preserve">Supplies the rule for the log files: invalidation at the ceiling, terminal transition after the floor</w:t>
            </w:r>
          </w:p>
        </w:tc>
        <w:tc>
          <w:tcPr/>
          <w:p>
            <w:pPr>
              <w:pStyle w:val="Compact"/>
              <w:jc w:val="left"/>
            </w:pPr>
            <w:hyperlink w:anchor="sec_4_8" w:history="1">
              <w:r>
                <w:rPr>
                  <w:rStyle w:val="Hyperlink"/>
                  <w:sz w:val="20"/>
                  <w:szCs w:val="20"/>
                </w:rPr>
                <w:t xml:space="preserve">§4.8</w:t>
              </w:r>
            </w:hyperlink>
          </w:p>
        </w:tc>
        <w:tc>
          <w:tcPr/>
          <w:p>
            <w:pPr>
              <w:pStyle w:val="Compact"/>
              <w:jc w:val="left"/>
            </w:pPr>
            <w:r>
              <w:rPr>
                <w:sz w:val="20"/>
                <w:szCs w:val="20"/>
              </w:rPr>
              <w:t xml:space="preserve">Met by specification; the terminal transition is not implemented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4"/>
    <w:bookmarkStart w:id="75" w:name="summary"/>
    <w:p>
      <w:pPr>
        <w:pStyle w:val="Heading2"/>
      </w:pPr>
      <w:bookmarkStart w:id="1144" w:name="sec_4_12"/>
      <w:r>
        <w:t xml:space="preserve">4.12 Summary</w:t>
      </w:r>
      <w:bookmarkEnd w:id="1144"/>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 The terminal transition, the per-entry nonce, proactive invalidation, consistency proofs and the accumulator layer are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For Secure Processing Environment records the result assumes that auditing does not need the payload; Corollary 2.3 states what follows if it needs part of it.</w:t>
      </w:r>
    </w:p>
    <w:p>
      <w:pPr>
        <w:pStyle w:val="BodyText"/>
      </w:pPr>
      <w:r>
        <w:t xml:space="preserve">The mechanism’s residue is pseudonymised rather than anonymous by the strict Norwegian standard, it is defensible under the erasure test the European Data Protection Board has articulated and, on Aikebaier’s (2026) reading,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Propositions 1 and 2 executably, over synthetic records generated as described in Chapter 3.</w:t>
      </w:r>
    </w:p>
    <w:bookmarkEnd w:id="75"/>
    <w:bookmarkEnd w:id="76"/>
    <w:bookmarkStart w:id="88" w:name="chapter-5.-demonstration"/>
    <w:p>
      <w:pPr>
        <w:pStyle w:val="Heading1"/>
      </w:pPr>
      <w:bookmarkStart w:id="1145" w:name="ch_5"/>
      <w:r>
        <w:t xml:space="preserve">Chapter 5. Demonstration</w:t>
      </w:r>
      <w:bookmarkEnd w:id="1145"/>
    </w:p>
    <w:p>
      <w:pPr>
        <w:pStyle w:val="FirstParagraph"/>
      </w:pPr>
      <w:r>
        <w:rPr>
          <w:iCs/>
          <w:i/>
        </w:rPr>
        <w:t xml:space="preserve">Every figure reported in this chapter was produced by the code listed in Appendix A, executed under seed 20260915, with one code version throughout.</w:t>
      </w:r>
    </w:p>
    <w:bookmarkStart w:id="77" w:name="purpose-and-claim"/>
    <w:p>
      <w:pPr>
        <w:pStyle w:val="Heading2"/>
      </w:pPr>
      <w:bookmarkStart w:id="1146" w:name="sec_5_1"/>
      <w:r>
        <w:t xml:space="preserve">5.1 Purpose and Claim</w:t>
      </w:r>
      <w:bookmarkEnd w:id="1146"/>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 4 is analytic and is not executed here; </w:t>
      </w:r>
      <w:hyperlink w:anchor="sec_5_4" w:history="1">
        <w:r>
          <w:rPr>
            <w:rStyle w:val="Hyperlink"/>
          </w:rPr>
          <w:t xml:space="preserve">Section 5.4</w:t>
        </w:r>
      </w:hyperlink>
      <w:r>
        <w:t xml:space="preserve"> computes the condition of Proposition 3 and </w:t>
      </w:r>
      <w:hyperlink w:anchor="sec_5_5" w:history="1">
        <w:r>
          <w:rPr>
            <w:rStyle w:val="Hyperlink"/>
          </w:rPr>
          <w:t xml:space="preserve">Section 5.5</w:t>
        </w:r>
      </w:hyperlink>
      <w:r>
        <w:t xml:space="preserve"> checks it.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 a number the generator determines (</w:t>
      </w:r>
      <w:hyperlink w:anchor="sec_5_4" w:history="1">
        <w:r>
          <w:rPr>
            <w:rStyle w:val="Hyperlink"/>
          </w:rPr>
          <w:t xml:space="preserve">Section 5.4</w:t>
        </w:r>
      </w:hyperlink>
      <w:r>
        <w:t xml:space="preserve">).</w:t>
      </w:r>
    </w:p>
    <w:bookmarkEnd w:id="77"/>
    <w:bookmarkStart w:id="81" w:name="implementation"/>
    <w:p>
      <w:pPr>
        <w:pStyle w:val="Heading2"/>
      </w:pPr>
      <w:bookmarkStart w:id="1147" w:name="sec_5_2"/>
      <w:r>
        <w:t xml:space="preserve">5.2 Implementation</w:t>
      </w:r>
      <w:bookmarkEnd w:id="1147"/>
    </w:p>
    <w:p>
      <w:pPr>
        <w:pStyle w:val="FirstParagraph"/>
      </w:pPr>
      <w:r>
        <w:t xml:space="preserve">The checker is a single Python module of 551 lines including documentation, the independent cross-check and the audit-log integrity check, of which 430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a cryptographic library.</w:t>
      </w:r>
    </w:p>
    <w:p>
      <w:pPr>
        <w:pStyle w:val="BodyText"/>
      </w:pPr>
      <w:r>
        <w:t xml:space="preserve">Six further modules accompany it, none of which alters anything the checker reports. Their line counts, and the full source of each, are given in Appendix A. Figure 5.1 maps the modules and the path a record takes through them.</w:t>
      </w:r>
    </w:p>
    <w:p>
      <w:pPr>
        <w:pStyle w:val="CaptionedFigure"/>
      </w:pPr>
      <w:r>
        <w:drawing>
          <wp:inline>
            <wp:extent cx="5753100" cy="3515353"/>
            <wp:effectExtent b="0" l="0" r="0" t="0"/>
            <wp:docPr descr="Figure 5.1. The artefact’s modules and data path. Records enter from the generator or one of the optional layers, are invalidated on schedule, and are checked under both semantics; the optional cryptographic module and the bounded SMT check sit beside the checker and report separately." title="" id="79" name="Picture"/>
            <a:graphic>
              <a:graphicData uri="http://schemas.openxmlformats.org/drawingml/2006/picture">
                <pic:pic>
                  <pic:nvPicPr>
                    <pic:cNvPr descr="figures/fig5_1_trf_artefact.png" id="80" name="Picture"/>
                    <pic:cNvPicPr>
                      <a:picLocks noChangeArrowheads="1" noChangeAspect="1"/>
                    </pic:cNvPicPr>
                  </pic:nvPicPr>
                  <pic:blipFill>
                    <a:blip r:embed="rId78"/>
                    <a:stretch>
                      <a:fillRect/>
                    </a:stretch>
                  </pic:blipFill>
                  <pic:spPr bwMode="auto">
                    <a:xfrm>
                      <a:off x="0" y="0"/>
                      <a:ext cx="5753100" cy="3515353"/>
                    </a:xfrm>
                    <a:prstGeom prst="rect">
                      <a:avLst/>
                    </a:prstGeom>
                    <a:noFill/>
                    <a:ln w="9525">
                      <a:noFill/>
                      <a:headEnd/>
                      <a:tailEnd/>
                    </a:ln>
                  </pic:spPr>
                </pic:pic>
              </a:graphicData>
            </a:graphic>
          </wp:inline>
        </w:drawing>
      </w:r>
    </w:p>
    <w:p>
      <w:pPr>
        <w:pStyle w:val="ImageCaption"/>
      </w:pPr>
      <w:r>
        <w:t xml:space="preserve">Figure 5.1. The artefact’s modules and data path. Records enter from the generator or one of the optional layers, are invalidated on schedule, and are checked under both semantics; the optional cryptographic module and the bounded SMT check sit beside the checker and report separately.</w:t>
      </w:r>
    </w:p>
    <w:p>
      <w:pPr>
        <w:pStyle w:val="TableCaption"/>
      </w:pPr>
      <w:bookmarkStart w:id="1091" w:name="tbl_5_1"/>
      <w:r>
        <w:rPr>
          <w:b/>
          <w:color w:val="1F3864"/>
        </w:rPr>
        <w:t xml:space="preserve">Table 5.1.</w:t>
      </w:r>
      <w:r>
        <w:t xml:space="preserve"> The artefact as published</w:t>
      </w:r>
      <w:bookmarkEnd w:id="109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551</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r>
              <w:rPr>
                <w:sz w:val="20"/>
                <w:szCs w:val="20"/>
              </w:rPr>
              <w:t xml:space="preserve">,</w:t>
            </w:r>
            <w:r>
              <w:rPr>
                <w:sz w:val="20"/>
                <w:szCs w:val="20"/>
              </w:rPr>
              <w:t xml:space="preserve"> </w:t>
            </w:r>
            <w:r>
              <w:rPr>
                <w:rStyle w:val="VerbatimChar"/>
                <w:sz w:val="20"/>
                <w:szCs w:val="20"/>
              </w:rPr>
              <w:t xml:space="preserve">ui.py</w:t>
            </w:r>
          </w:p>
        </w:tc>
        <w:tc>
          <w:tcPr/>
          <w:p>
            <w:pPr>
              <w:pStyle w:val="Compact"/>
              <w:jc w:val="left"/>
            </w:pPr>
            <w:r>
              <w:rPr>
                <w:sz w:val="20"/>
                <w:szCs w:val="20"/>
              </w:rPr>
              <w:t xml:space="preserve">825 + 133</w:t>
            </w:r>
          </w:p>
        </w:tc>
        <w:tc>
          <w:tcPr/>
          <w:p>
            <w:pPr>
              <w:pStyle w:val="Compact"/>
              <w:jc w:val="left"/>
            </w:pPr>
            <w:r>
              <w:rPr>
                <w:sz w:val="20"/>
                <w:szCs w:val="20"/>
              </w:rPr>
              <w:t xml:space="preserve">Eight-page viewer over the artefact, with the live architecture diagrams of Figures 4.1 and 5.1;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153</w:t>
            </w:r>
          </w:p>
        </w:tc>
        <w:tc>
          <w:tcPr/>
          <w:p>
            <w:pPr>
              <w:pStyle w:val="Compact"/>
              <w:jc w:val="left"/>
            </w:pPr>
            <w:r>
              <w:rPr>
                <w:sz w:val="20"/>
                <w:szCs w:val="20"/>
              </w:rPr>
              <w:t xml:space="preserve">Optional: bounded SMT check of Propositions 1–3 (needs</w:t>
            </w:r>
            <w:r>
              <w:rPr>
                <w:sz w:val="20"/>
                <w:szCs w:val="20"/>
              </w:rPr>
              <w:t xml:space="preserve"> </w:t>
            </w:r>
            <w:r>
              <w:rPr>
                <w:rStyle w:val="VerbatimChar"/>
                <w:sz w:val="20"/>
                <w:szCs w:val="20"/>
              </w:rPr>
              <w:t xml:space="preserve">z3-solver</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Seed 20260915 is fixed and reported; the run is deterministic and reproduces identically.</w:t>
      </w:r>
    </w:p>
    <w:p>
      <w:pPr>
        <w:pStyle w:val="TableCaption"/>
      </w:pPr>
      <w:bookmarkStart w:id="1092" w:name="tbl_5_2"/>
      <w:r>
        <w:rPr>
          <w:b/>
          <w:color w:val="1F3864"/>
        </w:rPr>
        <w:t xml:space="preserve">Table 5.2.</w:t>
      </w:r>
      <w:r>
        <w:t xml:space="preserve"> Generation parameters (complete)</w:t>
      </w:r>
      <w:bookmarkEnd w:id="109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(eHDSI baseline as reported; illustrative)</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 Synthea at commit</w:t>
      </w:r>
      <w:r>
        <w:t xml:space="preserve"> </w:t>
      </w:r>
      <w:r>
        <w:rPr>
          <w:rStyle w:val="VerbatimChar"/>
        </w:rPr>
        <w:t xml:space="preserve">d9d07a6</w:t>
      </w:r>
      <w:r>
        <w:t xml:space="preserve"> </w:t>
      </w:r>
      <w:r>
        <w:t xml:space="preserve">(</w:t>
      </w:r>
      <w:r>
        <w:rPr>
          <w:rStyle w:val="VerbatimChar"/>
        </w:rPr>
        <w:t xml:space="preserve">java -jar synthea.jar -s 20260915 -cs 20260915 -r 20260916 -p 100</w:t>
      </w:r>
      <w:r>
        <w:t xml:space="preserve">) 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1,002 bytes. These resources stand in for payload bytes of realistic size and structure; they are not what</w:t>
      </w:r>
      <w:r>
        <w:t xml:space="preserve"> </w:t>
      </w:r>
      <m:oMath>
        <m:r>
          <m:t>p</m:t>
        </m:r>
        <m:d>
          <m:dPr>
            <m:begChr m:val="("/>
            <m:sepChr m:val=""/>
            <m:endChr m:val=")"/>
            <m:grow/>
          </m:dPr>
          <m:e>
            <m:r>
              <m:t>a</m:t>
            </m:r>
          </m:e>
        </m:d>
      </m:oMath>
      <w:r>
        <w:t xml:space="preserve"> </w:t>
      </w:r>
      <w:r>
        <w:t xml:space="preserve">is in either record class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w:t>
      </w:r>
      <w:hyperlink w:anchor="sec_5_8" w:history="1">
        <w:r>
          <w:rPr>
            <w:rStyle w:val="Hyperlink"/>
          </w:rPr>
          <w:t xml:space="preserve">Section 5.8</w:t>
        </w:r>
      </w:hyperlink>
      <w:r>
        <w:t xml:space="preserve"> uses them only to test that no figure depends on payload content.</w:t>
      </w:r>
    </w:p>
    <w:bookmarkEnd w:id="81"/>
    <w:bookmarkStart w:id="82" w:name="results-under-semantics-i"/>
    <w:p>
      <w:pPr>
        <w:pStyle w:val="Heading2"/>
      </w:pPr>
      <w:bookmarkStart w:id="1148" w:name="sec_5_3"/>
      <w:r>
        <w:t xml:space="preserve">5.3 Results under Semantics I</w:t>
      </w:r>
      <w:bookmarkEnd w:id="1148"/>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93" w:name="tbl_5_3"/>
      <w:r>
        <w:rPr>
          <w:b/>
          <w:color w:val="1F3864"/>
        </w:rPr>
        <w:t xml:space="preserve">Table 5.3.</w:t>
      </w:r>
      <w:r>
        <w:t xml:space="preserve"> Violations under Semantics I (seed 20260915, n = 200)</w:t>
      </w:r>
      <w:bookmarkEnd w:id="109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w:t>
      </w:r>
      <w:r>
        <w:t xml:space="preserve"> </w:t>
      </w:r>
      <w:r>
        <w:rPr>
          <w:iCs/>
          <w:i/>
        </w:rPr>
        <w:t xml:space="preserve">lower</w:t>
      </w:r>
      <w:r>
        <w:t xml:space="preserve"> </w:t>
      </w:r>
      <w:r>
        <w:t xml:space="preserve">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w:t>
      </w:r>
      <w:hyperlink w:anchor="sec_5_4" w:history="1">
        <w:r>
          <w:rPr>
            <w:rStyle w:val="Hyperlink"/>
          </w:rPr>
          <w:t xml:space="preserve">Section 5.4</w:t>
        </w:r>
      </w:hyperlink>
      <w:r>
        <w:t xml:space="preserve"> isolates the structural ones.</w:t>
      </w:r>
    </w:p>
    <w:bookmarkEnd w:id="82"/>
    <w:bookmarkStart w:id="83" w:name="Xa78c7cc063bc28a699e62b8492f8426c0d63645"/>
    <w:p>
      <w:pPr>
        <w:pStyle w:val="Heading2"/>
      </w:pPr>
      <w:bookmarkStart w:id="1149" w:name="sec_5_4"/>
      <w:r>
        <w:t xml:space="preserve">5.4 Corollary 1.2: Infeasibility Without an Erasure Request</w:t>
      </w:r>
      <w:bookmarkEnd w:id="1149"/>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it would not remove the erasure-driven ones.</w:t>
      </w:r>
    </w:p>
    <w:p>
      <w:pPr>
        <w:pStyle w:val="BodyText"/>
      </w:pPr>
      <w:r>
        <w:t xml:space="preserve">The fifty per cent figure follows from the generator.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and permit lengths were drawn uniformly from one to twelve months, so half fall at or below six. Article 68(12) allows permits of up to ten years; with the remaining duration drawn uniformly over a five-year permit, about one log in ten would fall in the window. The frequency is in any case secondary to a structural fact: an entry written in the last six months of a permit always has a floor that outlasts the ceiling, so every permit used in its final six months produces colliding entries, whatever the distribution of permit lengths. A longer horizon lowers the rate as</w:t>
      </w:r>
      <w:r>
        <w:t xml:space="preserve"> </w:t>
      </w:r>
      <m:oMath>
        <m:r>
          <m:t>6</m:t>
        </m:r>
        <m:r>
          <m:rPr>
            <m:sty m:val="p"/>
          </m:rPr>
          <m:t>/</m:t>
        </m:r>
        <m:sSub>
          <m:e>
            <m:r>
              <m:t>π</m:t>
            </m:r>
          </m:e>
          <m:sub>
            <m:r>
              <m:rPr>
                <m:sty m:val="p"/>
              </m:rPr>
              <m:t>max</m:t>
            </m:r>
          </m:sub>
        </m:sSub>
      </m:oMath>
      <w:r>
        <w:t xml:space="preserve"> </w:t>
      </w:r>
      <w:r>
        <w:t xml:space="preserve">without removing the collision, which Proposition 1 establishes independently of any distribution.</w:t>
      </w:r>
    </w:p>
    <w:bookmarkEnd w:id="83"/>
    <w:bookmarkStart w:id="84" w:name="independent-cross-check"/>
    <w:p>
      <w:pPr>
        <w:pStyle w:val="Heading2"/>
      </w:pPr>
      <w:bookmarkStart w:id="1150" w:name="sec_5_5"/>
      <w:r>
        <w:t xml:space="preserve">5.5 Independent Cross-Check</w:t>
      </w:r>
      <w:bookmarkEnd w:id="1150"/>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TableCaption"/>
      </w:pPr>
      <w:bookmarkStart w:id="1094"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9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checker’s demonstration where a parameter was altered for tractability.</w:t>
      </w:r>
    </w:p>
    <w:p>
      <w:pPr>
        <w:pStyle w:val="BodyText"/>
      </w:pPr>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w:t>
      </w:r>
      <w:hyperlink w:anchor="ch_5" w:history="1">
        <w:r>
          <w:rPr>
            <w:rStyle w:val="Hyperlink"/>
          </w:rPr>
          <w:t xml:space="preserve">Chapter 5</w:t>
        </w:r>
      </w:hyperlink>
      <w:r>
        <w:t xml:space="preserve"> relies on (a record with no deadline inside its window is feasible), the constructive trajectory of Proposition 2 with the accountability state of Semantics II encoded (accessor fields, commitment, invalidation entry, subject link and its removal entry),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w:t>
      </w:r>
      <w:hyperlink w:anchor="sec_4_4" w:history="1">
        <w:r>
          <w:rPr>
            <w:rStyle w:val="Hyperlink"/>
          </w:rPr>
          <w:t xml:space="preserve">Section 4.4</w:t>
        </w:r>
      </w:hyperlink>
      <w:r>
        <w:t xml:space="preserve">, so it checks that the propositions follow from the constraints as encoded, not that the constraints translate the law, and it is bounded rather than general.</w:t>
      </w:r>
    </w:p>
    <w:bookmarkEnd w:id="84"/>
    <w:bookmarkStart w:id="85" w:name="witness-at-the-extended-response-period"/>
    <w:p>
      <w:pPr>
        <w:pStyle w:val="Heading2"/>
      </w:pPr>
      <w:bookmarkStart w:id="1151" w:name="sec_5_6"/>
      <w:r>
        <w:t xml:space="preserve">5.6 Witness at the Extended Response Period</w:t>
      </w:r>
      <w:bookmarkEnd w:id="1151"/>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95"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9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5"/>
    <w:bookmarkStart w:id="86" w:name="results-under-semantics-ii"/>
    <w:p>
      <w:pPr>
        <w:pStyle w:val="Heading2"/>
      </w:pPr>
      <w:bookmarkStart w:id="1152" w:name="sec_5_7"/>
      <w:r>
        <w:t xml:space="preserve">5.7 Results under Semantics II</w:t>
      </w:r>
      <w:bookmarkEnd w:id="1152"/>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w:t>
      </w:r>
      <w:r>
        <w:t xml:space="preserve">(the artefact runs with</w:t>
      </w:r>
      <w:r>
        <w:t xml:space="preserve"> </w:t>
      </w:r>
      <m:oMath>
        <m:r>
          <m:t>P</m:t>
        </m:r>
        <m:r>
          <m:rPr>
            <m:sty m:val="p"/>
          </m:rPr>
          <m:t>=</m:t>
        </m:r>
        <m:r>
          <m:rPr>
            <m:sty m:val="p"/>
          </m:rPr>
          <m:t>∞</m:t>
        </m:r>
      </m:oMath>
      <w:r>
        <w:t xml:space="preser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destroy the salt with it, append an invalidation entry recording the month, the legal ground, and the authorising actor, and retain metadata and commitment unchanged.</w:t>
      </w:r>
    </w:p>
    <w:p>
      <w:pPr>
        <w:pStyle w:val="TableCaption"/>
      </w:pPr>
      <w:bookmarkStart w:id="1096" w:name="tbl_5_6"/>
      <w:r>
        <w:rPr>
          <w:b/>
          <w:color w:val="1F3864"/>
        </w:rPr>
        <w:t xml:space="preserve">Table 5.6.</w:t>
      </w:r>
      <w:r>
        <w:t xml:space="preserve"> Results under Semantics II (same 200 records, same seed)</w:t>
      </w:r>
      <w:bookmarkEnd w:id="109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a cross-border record keeps the link through the floor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commitment survives, fixing that some payload was bound at write time, though after invalidation no one without a retained opening can check which. The invalidation is itself a logged, grounded, attributed event rather than a silent absence. And the payload is unreadable, at month nineteen as at month sixteen. An auditor examining this record learns what the accountability purpose is argued to require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while the payload is unreadable.</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and so does altering the patient link of a cross-border record that still holds it, record 3, because the link no longer opens the salted commitment its log leaf carries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restoring them makes it hold again (Appendix A, A.16). Before that commitment was added, a changed link went undetected, which is why the third test exists. The Semantics II result of </w:t>
      </w:r>
      <w:hyperlink w:anchor="tbl_5_6" w:history="1">
        <w:r>
          <w:rPr>
            <w:rStyle w:val="Hyperlink"/>
          </w:rPr>
          <w:t xml:space="preserve">Table 5.6</w:t>
        </w:r>
      </w:hyperlink>
      <w:r>
        <w:t xml:space="preserve"> therefore rests on a check that can fail, which a test of the fields’ presence alone could not.</w:t>
      </w:r>
    </w:p>
    <w:bookmarkEnd w:id="86"/>
    <w:bookmarkStart w:id="87" w:name="X118c29104845627cee32a0e9a3002454d83401c"/>
    <w:p>
      <w:pPr>
        <w:pStyle w:val="Heading2"/>
      </w:pPr>
      <w:bookmarkStart w:id="1153" w:name="sec_5_8"/>
      <w:r>
        <w:t xml:space="preserve">5.8 What the Demonstration Establishes, and What It Does Not</w:t>
      </w:r>
      <w:bookmarkEnd w:id="1153"/>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and Propositions 1–3 survive a bounded SMT check over every parameter combination within its bounds.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1,002 with the full cohort (Appendix A, A.17). All two hundred commitments change, confirming that the payloads genuinely differ.</w:t>
      </w:r>
    </w:p>
    <w:p>
      <w:pPr>
        <w:pStyle w:val="TableCaption"/>
      </w:pPr>
      <w:bookmarkStart w:id="1097" w:name="tbl_5_7"/>
      <w:r>
        <w:rPr>
          <w:b/>
          <w:color w:val="1F3864"/>
        </w:rPr>
        <w:t xml:space="preserve">Table 5.7.</w:t>
      </w:r>
      <w:r>
        <w:t xml:space="preserve"> Constructed against Synthea-generated payloads (same seed, same timings)</w:t>
      </w:r>
      <w:bookmarkEnd w:id="109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1,002,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87"/>
    <w:bookmarkEnd w:id="88"/>
    <w:bookmarkStart w:id="100" w:name="chapter-6.-discussion"/>
    <w:p>
      <w:pPr>
        <w:pStyle w:val="Heading1"/>
      </w:pPr>
      <w:bookmarkStart w:id="1154" w:name="ch_6"/>
      <w:r>
        <w:t xml:space="preserve">Chapter 6. Discussion</w:t>
      </w:r>
      <w:bookmarkEnd w:id="1154"/>
    </w:p>
    <w:bookmarkStart w:id="89" w:name="what-the-thesis-establishes"/>
    <w:p>
      <w:pPr>
        <w:pStyle w:val="Heading2"/>
      </w:pPr>
      <w:bookmarkStart w:id="1155" w:name="sec_6_1"/>
      <w:r>
        <w:t xml:space="preserve">6.1 What the Thesis Establishes</w:t>
      </w:r>
      <w:bookmarkEnd w:id="1155"/>
    </w:p>
    <w:p>
      <w:pPr>
        <w:pStyle w:val="FirstParagraph"/>
      </w:pPr>
      <w:r>
        <w:t xml:space="preserve">Read one way, three obligations cannot be met together. Read another, they can. 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proves both results; </w:t>
      </w:r>
      <w:hyperlink w:anchor="ch_5" w:history="1">
        <w:r>
          <w:rPr>
            <w:rStyle w:val="Hyperlink"/>
          </w:rPr>
          <w:t xml:space="preserve">Chapter 5</w:t>
        </w:r>
      </w:hyperlink>
      <w:r>
        <w:t xml:space="preserve">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Cryptographic invalidation is therefore necessary where a data subject’s request meets a retention floor, and in the cross-border pathway that is every request arriving inside the floor, because the IHE patient-discovery profile requires the patient’s identifying query to be recorded in the audit message.</w:t>
      </w:r>
    </w:p>
    <w:p>
      <w:pPr>
        <w:pStyle w:val="BodyText"/>
      </w:pPr>
      <w:r>
        <w:t xml:space="preserve">A conditional extension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witnesses of this collision in the model; how many depends on the permit lengths the generator draws, and the count is not an estimate of real frequency (</w:t>
      </w:r>
      <w:hyperlink w:anchor="ch_5" w:history="1">
        <w:r>
          <w:rPr>
            <w:rStyle w:val="Hyperlink"/>
          </w:rPr>
          <w:t xml:space="preserve">Chapter 5</w:t>
        </w:r>
      </w:hyperlink>
      <w:r>
        <w:t xml:space="preserve">, </w:t>
      </w:r>
      <w:hyperlink w:anchor="sec_5_4" w:history="1">
        <w:r>
          <w:rPr>
            <w:rStyle w:val="Hyperlink"/>
          </w:rPr>
          <w:t xml:space="preserve">Section 5.4</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and the checker does not implement; nor does it implement the per-entry nonce that keeps surviving leaf hashes from confirming guesses, proactive invalidation, or the consistency proofs between successive log roots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89"/>
    <w:bookmarkStart w:id="90" w:name="the-authority-problem"/>
    <w:p>
      <w:pPr>
        <w:pStyle w:val="Heading2"/>
      </w:pPr>
      <w:bookmarkStart w:id="1156" w:name="sec_6_2"/>
      <w:r>
        <w:t xml:space="preserve">6.2 The Authority Problem</w:t>
      </w:r>
      <w:bookmarkEnd w:id="1156"/>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2026b, </w:t>
      </w:r>
      <w:hyperlink w:anchor="tbl_5_2" w:history="1">
        <w:r>
          <w:rPr>
            <w:rStyle w:val="Hyperlink"/>
          </w:rPr>
          <w:t xml:space="preserve">Table 5.2</w:t>
        </w:r>
      </w:hyperlink>
      <w:r>
        <w:t xml:space="preserve">, OPR-6, p. 43), and it records that further guidance is needed on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as does the conditional branch of Corollary 2.3, and nothing else in the thesis does. The same request, addressed to the authorities responsible for EHDS incorporation, could reasonably carry this one alongside it.</w:t>
      </w:r>
    </w:p>
    <w:bookmarkEnd w:id="90"/>
    <w:bookmarkStart w:id="91" w:name="Xded207afce20f277dc3fb975fe95ea550887e42"/>
    <w:p>
      <w:pPr>
        <w:pStyle w:val="Heading2"/>
      </w:pPr>
      <w:bookmarkStart w:id="1157" w:name="sec_6_3"/>
      <w:r>
        <w:t xml:space="preserve">6.3 Key Destruction and the Limits of Assurance</w:t>
      </w:r>
      <w:bookmarkEnd w:id="1157"/>
    </w:p>
    <w:p>
      <w:pPr>
        <w:pStyle w:val="FirstParagraph"/>
      </w:pPr>
      <w:r>
        <w:t xml:space="preserve">Nobody can watch a key being destroyed. That is the second objection,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hash of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and no tamper-evident binding of the deleted record, so an auditor cannot establish</w:t>
      </w:r>
      <w:r>
        <w:t xml:space="preserve"> </w:t>
      </w:r>
      <w:r>
        <w:rPr>
          <w:iCs/>
          <w:i/>
        </w:rPr>
        <w:t xml:space="preserve">what</w:t>
      </w:r>
      <w:r>
        <w:t xml:space="preserve"> </w:t>
      </w:r>
      <w:r>
        <w:t xml:space="preserve">was destroyed. Under this mechanism too an auditor cannot read what was destroyed; what the commitment and the log add is that the record of the access and of its invalidation cannot be rewritten without detection. The mechanism does not solve the assurance problem. It does improve on every available alternative with respect to it.</w:t>
      </w:r>
    </w:p>
    <w:bookmarkEnd w:id="91"/>
    <w:bookmarkStart w:id="92" w:name="the-cost-objection"/>
    <w:p>
      <w:pPr>
        <w:pStyle w:val="Heading2"/>
      </w:pPr>
      <w:bookmarkStart w:id="1158" w:name="sec_6_4"/>
      <w:r>
        <w:t xml:space="preserve">6.4 The Cost Objection</w:t>
      </w:r>
      <w:bookmarkEnd w:id="1158"/>
    </w:p>
    <w:p>
      <w:pPr>
        <w:pStyle w:val="FirstParagraph"/>
      </w:pPr>
      <w:r>
        <w:t xml:space="preserve">Per-record keys cost something, and the question is whether the cost is worth paying. 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requires per-record key granularity,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2"/>
    <w:bookmarkStart w:id="93" w:name="scalability"/>
    <w:p>
      <w:pPr>
        <w:pStyle w:val="Heading2"/>
      </w:pPr>
      <w:bookmarkStart w:id="1159" w:name="sec_6_5"/>
      <w:r>
        <w:t xml:space="preserve">6.5 Scalability</w:t>
      </w:r>
      <w:bookmarkEnd w:id="1159"/>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3"/>
    <w:bookmarkStart w:id="94" w:name="X44fba077a1d6c8b053ceb66fb0b4946e89febc8"/>
    <w:p>
      <w:pPr>
        <w:pStyle w:val="Heading2"/>
      </w:pPr>
      <w:bookmarkStart w:id="1160" w:name="sec_6_6"/>
      <w:r>
        <w:t xml:space="preserve">6.6 Evaluation Design and the Role of Stakeholder Assessment</w:t>
      </w:r>
      <w:bookmarkEnd w:id="1160"/>
    </w:p>
    <w:p>
      <w:pPr>
        <w:pStyle w:val="FirstParagraph"/>
      </w:pPr>
      <w:r>
        <w:t xml:space="preserve">A model can be right and still be refused by the people who would have to run it. 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94"/>
    <w:bookmarkStart w:id="95" w:name="Xb09e9d760b9049b450198be4ab64b306a64bdc7"/>
    <w:p>
      <w:pPr>
        <w:pStyle w:val="Heading2"/>
      </w:pPr>
      <w:bookmarkStart w:id="1161" w:name="sec_6_7"/>
      <w:r>
        <w:t xml:space="preserve">6.7 Synthetic Data and the Limits of the Demonstration</w:t>
      </w:r>
      <w:bookmarkEnd w:id="1161"/>
    </w:p>
    <w:p>
      <w:pPr>
        <w:pStyle w:val="FirstParagraph"/>
      </w:pPr>
      <w:r>
        <w:t xml:space="preserve">The patients in this thesis do not exist, and no result depends on who they are. 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the exhaustive cross-check and the bounded SMT check reduce the probability that an error in the proofs has gone unnoticed; they do not eliminate it, and none of them can show that the constraints translate the law.</w:t>
      </w:r>
    </w:p>
    <w:bookmarkEnd w:id="95"/>
    <w:bookmarkStart w:id="96" w:name="implications-for-practice-and-policy"/>
    <w:p>
      <w:pPr>
        <w:pStyle w:val="Heading2"/>
      </w:pPr>
      <w:bookmarkStart w:id="1162" w:name="sec_6_8"/>
      <w:r>
        <w:t xml:space="preserve">6.8 Implications for Practice and Policy</w:t>
      </w:r>
      <w:bookmarkEnd w:id="1162"/>
    </w:p>
    <w:p>
      <w:pPr>
        <w:pStyle w:val="FirstParagraph"/>
      </w:pPr>
      <w:r>
        <w:t xml:space="preserve">The EHDS provisions that create the collision in Secure Processing Environments do not apply until 26 March 2029, and that is the opportunity. 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in Secure Processing Environments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and the 2024 draft makes identifiable access logs mandatory for at least one year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96"/>
    <w:bookmarkStart w:id="97" w:name="theoretical-implications"/>
    <w:p>
      <w:pPr>
        <w:pStyle w:val="Heading2"/>
      </w:pPr>
      <w:bookmarkStart w:id="1163" w:name="sec_6_9"/>
      <w:r>
        <w:t xml:space="preserve">6.9 Theoretical Implications</w:t>
      </w:r>
      <w:bookmarkEnd w:id="1163"/>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p>
      <w:pPr>
        <w:pStyle w:val="BodyText"/>
      </w:pPr>
      <w:r>
        <w:t xml:space="preserve">For the logistics discipline in which this thesis sits, the result carries over in a specific form. Any regulated consignment record held against a retention floor while a destruction or deletion duty runs from an external event, such as a release, a recall or the end of a contract, is a two-clock object of the kind Proposition 3 describes, and the diagnostic question of </w:t>
      </w:r>
      <w:hyperlink w:anchor="sec_6_10" w:history="1">
        <w:r>
          <w:rPr>
            <w:rStyle w:val="Hyperlink"/>
          </w:rPr>
          <w:t xml:space="preserve">Section 6.10</w:t>
        </w:r>
      </w:hyperlink>
      <w:r>
        <w:t xml:space="preserve"> applies to it unchanged. The customs case of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keeps the two clocks apart by letting them act on different objects; the audit trail is the case in which they must be separated inside a single record.</w:t>
      </w:r>
    </w:p>
    <w:bookmarkEnd w:id="97"/>
    <w:bookmarkStart w:id="98" w:name="Xf98bccb8ca371ce0fd1679988a5911c6b05ad19"/>
    <w:p>
      <w:pPr>
        <w:pStyle w:val="Heading2"/>
      </w:pPr>
      <w:bookmarkStart w:id="1164" w:name="sec_6_10"/>
      <w:r>
        <w:t xml:space="preserve">6.10 Where the Ceiling Is Anchored: a Cross-Sector Test</w:t>
      </w:r>
      <w:bookmarkEnd w:id="1164"/>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8"/>
    <w:bookmarkStart w:id="99" w:name="summary-1"/>
    <w:p>
      <w:pPr>
        <w:pStyle w:val="Heading2"/>
      </w:pPr>
      <w:bookmarkStart w:id="1165" w:name="sec_6_11"/>
      <w:r>
        <w:t xml:space="preserve">6.11 Summary</w:t>
      </w:r>
      <w:bookmarkEnd w:id="1165"/>
    </w:p>
    <w:p>
      <w:pPr>
        <w:pStyle w:val="FirstParagraph"/>
      </w:pPr>
      <w:r>
        <w:t xml:space="preserve">The thesis establishes four things. Audit-retention floors, the right to erasure and the deletion ceiling conflict only under an assumption about verifiability, and not because of the obligations themselves. On the broad reading of Article 68(12) and for logs kept at patient-record granularity, the conflict arises inside the European Health Data Space Regulation with no data subject acting. A ceiling collides with a floor exactly when Proposition 3 says. And relocation escapes the ceiling but not the right (Proposition 4). It exhibits the mechanism that dissolves the conflict and checks Propositions 1 and 2 executably, with a separately written cross-check and a bounded SMT 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 These limitations are stated once,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none of them was claimed, so none of them reduces what was, and a contribution that states its boundaries can be checked at them.</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w:t>
      </w:r>
      <w:hyperlink w:anchor="ch_7" w:history="1">
        <w:r>
          <w:rPr>
            <w:rStyle w:val="Hyperlink"/>
          </w:rPr>
          <w:t xml:space="preserve">Chapter 7</w:t>
        </w:r>
      </w:hyperlink>
      <w:r>
        <w:t xml:space="preserve"> draws the conclusions and states the work that follows.</w:t>
      </w:r>
    </w:p>
    <w:bookmarkEnd w:id="99"/>
    <w:bookmarkEnd w:id="100"/>
    <w:bookmarkStart w:id="107" w:name="chapter-7.-conclusion"/>
    <w:p>
      <w:pPr>
        <w:pStyle w:val="Heading1"/>
      </w:pPr>
      <w:bookmarkStart w:id="1166" w:name="ch_7"/>
      <w:r>
        <w:t xml:space="preserve">Chapter 7. Conclusion</w:t>
      </w:r>
      <w:bookmarkEnd w:id="1166"/>
    </w:p>
    <w:bookmarkStart w:id="101" w:name="the-problem-and-the-answer"/>
    <w:p>
      <w:pPr>
        <w:pStyle w:val="Heading2"/>
      </w:pPr>
      <w:bookmarkStart w:id="1167" w:name="sec_7_1"/>
      <w:r>
        <w:t xml:space="preserve">7.1 The Problem and the Answer</w:t>
      </w:r>
      <w:bookmarkEnd w:id="1167"/>
    </w:p>
    <w:p>
      <w:pPr>
        <w:pStyle w:val="FirstParagraph"/>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2026b,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can collide with a retention floor only if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while cross-border records keep it, for at least the period the person’s right to learn who accessed their data requires and, on the deployment binding, for the rest of the floor.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 that transition, the per-entry nonce, proactive invalidation, consistency proofs and the accumulator layer are specified, not implemented.</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bookmarkEnd w:id="101"/>
    <w:bookmarkStart w:id="102" w:name="contributions"/>
    <w:p>
      <w:pPr>
        <w:pStyle w:val="Heading2"/>
      </w:pPr>
      <w:bookmarkStart w:id="1168" w:name="sec_7_2"/>
      <w:r>
        <w:t xml:space="preserve">7.2 Contributions</w:t>
      </w:r>
      <w:bookmarkEnd w:id="1168"/>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illustrated on a statute outside health (an instance generated by the thesis’s own code, which checks the code rather than independently confirming the proposition); Proposition 4 shows why relocation answers the ceiling and not the right. Both were checked over two hundred generated records, with violations under the first semantics and none under the second (their number is set by the generator), a separately written exhaustive search confirmed that under the first semantics no assignment of payload accessibility succeeds in the cases it covers, and a bounded SMT check found no counterexample to Propositions 1–3 within its bounds.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102"/>
    <w:bookmarkStart w:id="103" w:name="what-the-thesis-does-not-establish"/>
    <w:p>
      <w:pPr>
        <w:pStyle w:val="Heading2"/>
      </w:pPr>
      <w:bookmarkStart w:id="1169" w:name="sec_7_3"/>
      <w:r>
        <w:t xml:space="preserve">7.3 What the Thesis Does Not Establish</w:t>
      </w:r>
      <w:bookmarkEnd w:id="1169"/>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3"/>
    <w:bookmarkStart w:id="104" w:name="the-two-open-questions-of-authority"/>
    <w:p>
      <w:pPr>
        <w:pStyle w:val="Heading2"/>
      </w:pPr>
      <w:bookmarkStart w:id="1170" w:name="sec_7_4"/>
      <w:r>
        <w:t xml:space="preserve">7.4 The Two Open Questions of Authority</w:t>
      </w:r>
      <w:bookmarkEnd w:id="1170"/>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as does the conditional branch of Corollary 2.3;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 The enquiry to Datatilsynet on the GDPR-side questions has been sent, and its response is pending at the time of submission.</w:t>
      </w:r>
    </w:p>
    <w:bookmarkEnd w:id="104"/>
    <w:bookmarkStart w:id="105" w:name="future-work"/>
    <w:p>
      <w:pPr>
        <w:pStyle w:val="Heading2"/>
      </w:pPr>
      <w:bookmarkStart w:id="1171" w:name="sec_7_5"/>
      <w:r>
        <w:t xml:space="preserve">7.5 Future Work</w:t>
      </w:r>
      <w:bookmarkEnd w:id="1171"/>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would show the auditor the subject’s cross-border care history. The controller keeps the link to those records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problem is disclosing it to a third party in order to prove completeness. Proving completeness of invalidation without revealing the invalidated set is a zero-knowledge problem, and it corresponds to the fourth of the five open problems identified by Aikebaier (2026), composition with zero-knowledge selective disclosure. This is where succinct arguments may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suggests it may be necessary here, though alternatives are not excluded.</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5"/>
    <w:bookmarkStart w:id="106" w:name="closing"/>
    <w:p>
      <w:pPr>
        <w:pStyle w:val="Heading2"/>
      </w:pPr>
      <w:bookmarkStart w:id="1172" w:name="sec_7_6"/>
      <w:r>
        <w:t xml:space="preserve">7.6 Closing</w:t>
      </w:r>
      <w:bookmarkEnd w:id="1172"/>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bookmarkEnd w:id="106"/>
    <w:bookmarkEnd w:id="107"/>
    <w:bookmarkStart w:id="108" w:name="references"/>
    <w:p>
      <w:pPr>
        <w:pStyle w:val="Heading1"/>
      </w:pPr>
      <w:bookmarkStart w:id="1173" w:name="h_References"/>
      <w:r>
        <w:t xml:space="preserve">References</w:t>
      </w:r>
      <w:bookmarkEnd w:id="1173"/>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Ateniese, G., Chou, D. H., de Medeiros, B., &amp; Tsudik, G. (2005). Sanitizable signatures. In S. de Capitani di Vimercati, P. Syverson, &amp; D. Gollmann (Eds.),</w:t>
      </w:r>
      <w:r>
        <w:t xml:space="preserve"> </w:t>
      </w:r>
      <w:r>
        <w:rPr>
          <w:iCs/>
          <w:i/>
        </w:rPr>
        <w:t xml:space="preserve">Computer Security – ESORICS 2005</w:t>
      </w:r>
      <w:r>
        <w:t xml:space="preserve"> </w:t>
      </w:r>
      <w:r>
        <w:t xml:space="preserve">(LNCS 3679, pp. 159–177). Springer. https://doi.org/10.1007/11555827_10</w:t>
      </w:r>
    </w:p>
    <w:p>
      <w:pPr>
        <w:pStyle w:val="Bibliography"/>
      </w:pPr>
      <w:r>
        <w:t xml:space="preserve">Ateniese, G., Magri, B., Venturi, D., &amp; Andrade, E. R. (2017). Redactable blockchain – or – rewriting history in Bitcoin and friends. In</w:t>
      </w:r>
      <w:r>
        <w:t xml:space="preserve"> </w:t>
      </w:r>
      <w:r>
        <w:rPr>
          <w:iCs/>
          <w:i/>
        </w:rPr>
        <w:t xml:space="preserve">2017 IEEE European Symposium on Security and Privacy (EuroS&amp;P)</w:t>
      </w:r>
      <w:r>
        <w:t xml:space="preserve"> </w:t>
      </w:r>
      <w:r>
        <w:t xml:space="preserve">(pp. 111–126). IEEE. https://doi.org/10.1109/EuroSP.2017.37</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Bourtoule, L., Chandrasekaran, V., Choquette-Choo, C. A., Jia, H., Travers, A., Zhang, B., Lie, D., &amp; Papernot, N. (2021). Machine unlearning. In</w:t>
      </w:r>
      <w:r>
        <w:t xml:space="preserve"> </w:t>
      </w:r>
      <w:r>
        <w:rPr>
          <w:iCs/>
          <w:i/>
        </w:rPr>
        <w:t xml:space="preserve">2021 IEEE Symposium on Security and Privacy (SP)</w:t>
      </w:r>
      <w:r>
        <w:t xml:space="preserve"> </w:t>
      </w:r>
      <w:r>
        <w:t xml:space="preserve">(pp. 141–159). IEEE. https://doi.org/10.1109/SP40001.2021.00019</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Cao, Y., &amp; Yang, J. (2015). Towards making systems forget with machine unlearning. In</w:t>
      </w:r>
      <w:r>
        <w:t xml:space="preserve"> </w:t>
      </w:r>
      <w:r>
        <w:rPr>
          <w:iCs/>
          <w:i/>
        </w:rPr>
        <w:t xml:space="preserve">2015 IEEE Symposium on Security and Privacy</w:t>
      </w:r>
      <w:r>
        <w:t xml:space="preserve"> </w:t>
      </w:r>
      <w:r>
        <w:t xml:space="preserve">(pp. 463–480). IEEE. https://doi.org/10.1109/SP.2015.35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Council of Supply Chain Management Professionals. (n.d.).</w:t>
      </w:r>
      <w:r>
        <w:t xml:space="preserve"> </w:t>
      </w:r>
      <w:r>
        <w:rPr>
          <w:iCs/>
          <w:i/>
        </w:rPr>
        <w:t xml:space="preserve">Frequently asked questions</w:t>
      </w:r>
      <w:r>
        <w:t xml:space="preserve"> </w:t>
      </w:r>
      <w:r>
        <w:t xml:space="preserve">[Includes the CSCMP definition of logistics management]. Retrieved 5 October 2026, from https://cscmp.org/CSCMP/CSCMP/Develop/Starting_Your_Career/Frequently_Asked_Questions.aspx</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Derler, D., Samelin, K., Slamanig, D., &amp; Striecks, C. (2019). Fine-grained and controlled rewriting in blockchains: Chameleon-hashing gone attribute-based. In</w:t>
      </w:r>
      <w:r>
        <w:t xml:space="preserve"> </w:t>
      </w:r>
      <w:r>
        <w:rPr>
          <w:iCs/>
          <w:i/>
        </w:rPr>
        <w:t xml:space="preserve">Network and Distributed System Security Symposium (NDSS 2019)</w:t>
      </w:r>
      <w:r>
        <w:t xml:space="preserve">. Internet Society. https://doi.org/10.14722/ndss.2019.23066</w:t>
      </w:r>
    </w:p>
    <w:p>
      <w:pPr>
        <w:pStyle w:val="Bibliography"/>
      </w:pPr>
      <w:r>
        <w:t xml:space="preserve">Deuber, D., Magri, B., &amp; Thyagarajan, S. A. K. (2019). Redactable blockchain in the permissionless setting. In</w:t>
      </w:r>
      <w:r>
        <w:t xml:space="preserve"> </w:t>
      </w:r>
      <w:r>
        <w:rPr>
          <w:iCs/>
          <w:i/>
        </w:rPr>
        <w:t xml:space="preserve">2019 IEEE Symposium on Security and Privacy (SP)</w:t>
      </w:r>
      <w:r>
        <w:t xml:space="preserve"> </w:t>
      </w:r>
      <w:r>
        <w:t xml:space="preserve">(pp. 124–138). IEEE. https://doi.org/10.1109/SP.2019.00039</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Elhub. (2026).</w:t>
      </w:r>
      <w:r>
        <w:t xml:space="preserve"> </w:t>
      </w:r>
      <w:r>
        <w:rPr>
          <w:iCs/>
          <w:i/>
        </w:rPr>
        <w:t xml:space="preserve">Elhubs personvernerklæring</w:t>
      </w:r>
      <w:r>
        <w:t xml:space="preserve"> </w:t>
      </w:r>
      <w:r>
        <w:t xml:space="preserve">[Elhub’s privacy statement; last updated 31 March 2026]. Elhub AS. Retrieved 5 October 2026, from https://elhub.no/personvern-og-sikkerhet/elhubs-personvernerklaering</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(n.d.-a).</w:t>
      </w:r>
      <w:r>
        <w:t xml:space="preserve"> </w:t>
      </w:r>
      <w:r>
        <w:rPr>
          <w:iCs/>
          <w:i/>
        </w:rPr>
        <w:t xml:space="preserve">Priser</w:t>
      </w:r>
      <w:r>
        <w:t xml:space="preserve"> </w:t>
      </w:r>
      <w:r>
        <w:t xml:space="preserve">[Prices]. helsedata.no. Retrieved 6 October 2026, from https://helsedata.no/no/priser/</w:t>
      </w:r>
    </w:p>
    <w:p>
      <w:pPr>
        <w:pStyle w:val="Bibliography"/>
      </w:pPr>
      <w:r>
        <w:t xml:space="preserve">Helsedataservice. (n.d.-b).</w:t>
      </w:r>
      <w:r>
        <w:t xml:space="preserve"> </w:t>
      </w:r>
      <w:r>
        <w:rPr>
          <w:iCs/>
          <w:i/>
        </w:rPr>
        <w:t xml:space="preserve">Vedtak hos Helsedataservice</w:t>
      </w:r>
      <w:r>
        <w:t xml:space="preserve"> </w:t>
      </w:r>
      <w:r>
        <w:t xml:space="preserve">[Decisions at Helsedataservice]. helsedata.no. Retrieved 6 October 2026, from https://helsedata.no/no/vedtak-hos-hds/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International Energy Agency. (2025).</w:t>
      </w:r>
      <w:r>
        <w:t xml:space="preserve"> </w:t>
      </w:r>
      <w:r>
        <w:rPr>
          <w:iCs/>
          <w:i/>
        </w:rPr>
        <w:t xml:space="preserve">Energy and AI</w:t>
      </w:r>
      <w:r>
        <w:t xml:space="preserve"> </w:t>
      </w:r>
      <w:r>
        <w:t xml:space="preserve">[Executive summary]. IEA. Retrieved 5 October 2026, from https://www.iea.org/reports/energy-and-ai/executive-summary</w:t>
      </w:r>
    </w:p>
    <w:p>
      <w:pPr>
        <w:pStyle w:val="Bibliography"/>
      </w:pPr>
      <w:r>
        <w:t xml:space="preserve">Johnson, R., Molnar, D., Song, D., &amp; Wagner, D. (2002). Homomorphic signature schemes. In B. Preneel (Ed.),</w:t>
      </w:r>
      <w:r>
        <w:t xml:space="preserve"> </w:t>
      </w:r>
      <w:r>
        <w:rPr>
          <w:iCs/>
          <w:i/>
        </w:rPr>
        <w:t xml:space="preserve">Topics in Cryptology – CT-RSA 2002</w:t>
      </w:r>
      <w:r>
        <w:t xml:space="preserve"> </w:t>
      </w:r>
      <w:r>
        <w:t xml:space="preserve">(LNCS 2271, pp. 244–262). Springer. https://doi.org/10.1007/3-540-45760-7_17</w:t>
      </w:r>
    </w:p>
    <w:p>
      <w:pPr>
        <w:pStyle w:val="Bibliography"/>
      </w:pPr>
      <w:r>
        <w:t xml:space="preserve">Krawczyk, H., &amp; Rabin, T. (1998).</w:t>
      </w:r>
      <w:r>
        <w:t xml:space="preserve"> </w:t>
      </w:r>
      <w:r>
        <w:rPr>
          <w:iCs/>
          <w:i/>
        </w:rPr>
        <w:t xml:space="preserve">Chameleon hashing and signatures</w:t>
      </w:r>
      <w:r>
        <w:t xml:space="preserve"> </w:t>
      </w:r>
      <w:r>
        <w:t xml:space="preserve">(Cryptology ePrint Archive, Paper 1998/010; full version of the NDSS 2000 paper). https://eprint.iacr.org/1998/010</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March, S. T., &amp; Smith, G. F. (1995). Design and natural science research on information technology.</w:t>
      </w:r>
      <w:r>
        <w:t xml:space="preserve"> </w:t>
      </w:r>
      <w:r>
        <w:rPr>
          <w:iCs/>
          <w:i/>
        </w:rPr>
        <w:t xml:space="preserve">Decision Support Systems</w:t>
      </w:r>
      <w:r>
        <w:t xml:space="preserve">,</w:t>
      </w:r>
      <w:r>
        <w:t xml:space="preserve"> </w:t>
      </w:r>
      <w:r>
        <w:rPr>
          <w:iCs/>
          <w:i/>
        </w:rPr>
        <w:t xml:space="preserve">15</w:t>
      </w:r>
      <w:r>
        <w:t xml:space="preserve">(4), 251–266. https://doi.org/10.1016/0167-9236(94)00041-2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Nahmias, S. (1982). Perishable inventory theory: A review.</w:t>
      </w:r>
      <w:r>
        <w:t xml:space="preserve"> </w:t>
      </w:r>
      <w:r>
        <w:rPr>
          <w:iCs/>
          <w:i/>
        </w:rPr>
        <w:t xml:space="preserve">Operations Research, 30</w:t>
      </w:r>
      <w:r>
        <w:t xml:space="preserve">(4), 680–708. https://doi.org/10.1287/opre.30.4.680</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OpenNCP Project. (2017).</w:t>
      </w:r>
      <w:r>
        <w:t xml:space="preserve"> </w:t>
      </w:r>
      <w:r>
        <w:rPr>
          <w:iCs/>
          <w:i/>
        </w:rPr>
        <w:t xml:space="preserve">OpenNCP</w:t>
      </w:r>
      <w:r>
        <w:t xml:space="preserve"> </w:t>
      </w:r>
      <w:r>
        <w:t xml:space="preserve">[Computer software; GitHub mirror of the epSOS/eHDSI source, commit c8a82d8, 21 April 2017]. GitHub. https://github.com/khypponen/openncp</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[Consolidated text as last amended by LOV-2026-06-19-49, in force 1 October 2026; § 17 unamended; read 5 October 2026]. Norwegian Ministry of Justice and Public Security. https://lovdata.no/lov/2010-05-28-16</w:t>
      </w:r>
    </w:p>
    <w:p>
      <w:pPr>
        <w:pStyle w:val="Bibliography"/>
      </w:pPr>
      <w:r>
        <w:t xml:space="preserve">Politou, E., Casino, F., Alepis, E., &amp; Patsakis, C. (2021). Blockchain mutability: Challenges and proposed solutions.</w:t>
      </w:r>
      <w:r>
        <w:t xml:space="preserve"> </w:t>
      </w:r>
      <w:r>
        <w:rPr>
          <w:iCs/>
          <w:i/>
        </w:rPr>
        <w:t xml:space="preserve">IEEE Transactions on Emerging Topics in Computing, 9</w:t>
      </w:r>
      <w:r>
        <w:t xml:space="preserve">(4), 1972–1986. https://doi.org/10.1109/TETC.2019.2949510</w:t>
      </w:r>
    </w:p>
    <w:p>
      <w:pPr>
        <w:pStyle w:val="Bibliography"/>
      </w:pPr>
      <w:r>
        <w:t xml:space="preserve">Rak, R. (2024). Anonymisation, pseudonymisation and secure processing environments relating to the secondary use of electronic health data in the European Health Data Space (EHDS).</w:t>
      </w:r>
      <w:r>
        <w:t xml:space="preserve"> </w:t>
      </w:r>
      <w:r>
        <w:rPr>
          <w:iCs/>
          <w:i/>
        </w:rPr>
        <w:t xml:space="preserve">European Journal of Risk Regulation</w:t>
      </w:r>
      <w:r>
        <w:t xml:space="preserve">,</w:t>
      </w:r>
      <w:r>
        <w:t xml:space="preserve"> </w:t>
      </w:r>
      <w:r>
        <w:rPr>
          <w:iCs/>
          <w:i/>
        </w:rPr>
        <w:t xml:space="preserve">15</w:t>
      </w:r>
      <w:r>
        <w:t xml:space="preserve">(4), 928–938. https://doi.org/10.1017/err.2024.67</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Sundhedsdatastyrelsen. (2026).</w:t>
      </w:r>
      <w:r>
        <w:t xml:space="preserve"> </w:t>
      </w:r>
      <w:r>
        <w:rPr>
          <w:iCs/>
          <w:i/>
        </w:rPr>
        <w:t xml:space="preserve">ehdsi</w:t>
      </w:r>
      <w:r>
        <w:t xml:space="preserve"> </w:t>
      </w:r>
      <w:r>
        <w:t xml:space="preserve">[Computer software; Danish NCPeH deployment of OpenNCP 9.1.0, commit 61094e6, 28 September 2026]. GitHub. https://github.com/Sundhedsdatastyrelsen/ehdsi</w:t>
      </w:r>
    </w:p>
    <w:p>
      <w:pPr>
        <w:pStyle w:val="Bibliography"/>
      </w:pPr>
      <w:r>
        <w:t xml:space="preserve">TEHDAS2. (2026a).</w:t>
      </w:r>
      <w:r>
        <w:t xml:space="preserve"> </w:t>
      </w:r>
      <w:r>
        <w:rPr>
          <w:iCs/>
          <w:i/>
        </w:rPr>
        <w:t xml:space="preserve">Guideline for Health Data Access Bodies on the procedures and formats for data access</w:t>
      </w:r>
      <w:r>
        <w:t xml:space="preserve"> </w:t>
      </w:r>
      <w:r>
        <w:t xml:space="preserve">(D6.3, Version 2.0, final deliverable, 24 February 2026). TEHDAS2 Joint Action. https://doi.org/10.5281/zenodo.20199187</w:t>
      </w:r>
    </w:p>
    <w:p>
      <w:pPr>
        <w:pStyle w:val="Bibliography"/>
      </w:pPr>
      <w:r>
        <w:t xml:space="preserve">TEHDAS2. (2026b).</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bookmarkEnd w:id="108"/>
    <w:bookmarkStart w:id="135" w:name="Xf671d6a047e29416c79aabf8b10d80280f04f69"/>
    <w:p>
      <w:pPr>
        <w:pStyle w:val="Heading1"/>
      </w:pPr>
      <w:bookmarkStart w:id="1174" w:name="app_A"/>
      <w:r>
        <w:t xml:space="preserve">Appendix A. Code Artefacts and Reproduction Record</w:t>
      </w:r>
      <w:bookmarkEnd w:id="1174"/>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 revised 3–6 October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repository is the citable artefact. It contains seven Python modules, the eight-bundle Synthea subset the realism layer reads, a recorded console run for every command, and this appendix. The live application is a convenience for readers who prefer not to clone and run: it executes the same unmodified source, and its Thesis run page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has eight pages.</w:t>
      </w:r>
      <w:r>
        <w:t xml:space="preserve"> </w:t>
      </w:r>
      <w:r>
        <w:rPr>
          <w:iCs/>
          <w:i/>
        </w:rPr>
        <w:t xml:space="preserve">Witness a record</w:t>
      </w:r>
      <w:r>
        <w:t xml:space="preserve"> </w:t>
      </w:r>
      <w:r>
        <w:t xml:space="preserve">draws one record of the thesis population through its months, showing where Semantics I contradicts itself and where Semantics II holds, and lights the components of Figure 4.1 that act in each month.</w:t>
      </w:r>
      <w:r>
        <w:t xml:space="preserve"> </w:t>
      </w:r>
      <w:r>
        <w:rPr>
          <w:iCs/>
          <w:i/>
        </w:rPr>
        <w:t xml:space="preserve">How it is built</w:t>
      </w:r>
      <w:r>
        <w:t xml:space="preserve"> </w:t>
      </w:r>
      <w:r>
        <w:t xml:space="preserve">embeds Figures 4.1 and 5.1 as interactive diagrams.</w:t>
      </w:r>
      <w:r>
        <w:t xml:space="preserve"> </w:t>
      </w:r>
      <w:r>
        <w:rPr>
          <w:iCs/>
          <w:i/>
        </w:rPr>
        <w:t xml:space="preserve">Thesis run</w:t>
      </w:r>
      <w:r>
        <w:t xml:space="preserve"> </w:t>
      </w:r>
      <w:r>
        <w:t xml:space="preserve">reproduces </w:t>
      </w:r>
      <w:hyperlink w:anchor="tbl_5_3" w:history="1">
        <w:r>
          <w:rPr>
            <w:rStyle w:val="Hyperlink"/>
          </w:rPr>
          <w:t xml:space="preserve">Tables 5.3</w:t>
        </w:r>
      </w:hyperlink>
      <w:r>
        <w:t xml:space="preserve"> and 5.6 and shows the audit-log integrity check and all three tamper tests of </w:t>
      </w:r>
      <w:hyperlink w:anchor="sec_5_7" w:history="1">
        <w:r>
          <w:rPr>
            <w:rStyle w:val="Hyperlink"/>
          </w:rPr>
          <w:t xml:space="preserve">Section 5.7</w:t>
        </w:r>
      </w:hyperlink>
      <w:r>
        <w:t xml:space="preserve">.</w:t>
      </w:r>
      <w:r>
        <w:t xml:space="preserve"> </w:t>
      </w:r>
      <w:r>
        <w:rPr>
          <w:iCs/>
          <w:i/>
        </w:rPr>
        <w:t xml:space="preserve">Where the ceiling is anchored</w:t>
      </w:r>
      <w:r>
        <w:t xml:space="preserve"> </w:t>
      </w:r>
      <w:r>
        <w:t xml:space="preserve">evaluates the condition of Proposition 3 for any floor and ceiling, with Article 68(12) and politiregisterloven § 17 as presets.</w:t>
      </w:r>
      <w:r>
        <w:t xml:space="preserve"> </w:t>
      </w:r>
      <w:r>
        <w:rPr>
          <w:iCs/>
          <w:i/>
        </w:rPr>
        <w:t xml:space="preserve">Robustness and cross-checks</w:t>
      </w:r>
      <w:r>
        <w:t xml:space="preserve"> </w:t>
      </w:r>
      <w:r>
        <w:t xml:space="preserve">runs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w:t>
      </w:r>
      <w:r>
        <w:t xml:space="preserve"> </w:t>
      </w:r>
      <w:r>
        <w:rPr>
          <w:iCs/>
          <w:i/>
        </w:rPr>
        <w:t xml:space="preserve">Synthea realism</w:t>
      </w:r>
      <w:r>
        <w:t xml:space="preserve"> </w:t>
      </w:r>
      <w:r>
        <w:t xml:space="preserve">reproduces </w:t>
      </w:r>
      <w:hyperlink w:anchor="tbl_5_7" w:history="1">
        <w:r>
          <w:rPr>
            <w:rStyle w:val="Hyperlink"/>
          </w:rPr>
          <w:t xml:space="preserve">Table 5.7</w:t>
        </w:r>
      </w:hyperlink>
      <w:r>
        <w:t xml:space="preserve">.</w:t>
      </w:r>
      <w:r>
        <w:t xml:space="preserve"> </w:t>
      </w:r>
      <w:r>
        <w:rPr>
          <w:iCs/>
          <w:i/>
        </w:rPr>
        <w:t xml:space="preserve">Norwegian context</w:t>
      </w:r>
      <w:r>
        <w:t xml:space="preserve"> </w:t>
      </w:r>
      <w:r>
        <w:t xml:space="preserve">runs the illustrative Norwegian modules, and</w:t>
      </w:r>
      <w:r>
        <w:t xml:space="preserve"> </w:t>
      </w:r>
      <w:r>
        <w:rPr>
          <w:iCs/>
          <w:i/>
        </w:rPr>
        <w:t xml:space="preserve">Explore</w:t>
      </w:r>
      <w:r>
        <w:t xml:space="preserve"> </w:t>
      </w:r>
      <w:r>
        <w:t xml:space="preserve">varies population parameters as a teaching aid; neither reports a thesis figure.</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551</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r>
              <w:rPr>
                <w:sz w:val="20"/>
                <w:szCs w:val="20"/>
              </w:rPr>
              <w:t xml:space="preserve">,</w:t>
            </w:r>
            <w:r>
              <w:rPr>
                <w:sz w:val="20"/>
                <w:szCs w:val="20"/>
              </w:rPr>
              <w:t xml:space="preserve"> </w:t>
            </w:r>
            <w:r>
              <w:rPr>
                <w:rStyle w:val="VerbatimChar"/>
                <w:sz w:val="20"/>
                <w:szCs w:val="20"/>
              </w:rPr>
              <w:t xml:space="preserve">ui.py</w:t>
            </w:r>
          </w:p>
        </w:tc>
        <w:tc>
          <w:tcPr/>
          <w:p>
            <w:pPr>
              <w:pStyle w:val="Compact"/>
              <w:jc w:val="left"/>
            </w:pPr>
            <w:r>
              <w:rPr>
                <w:sz w:val="20"/>
                <w:szCs w:val="20"/>
              </w:rPr>
              <w:t xml:space="preserve">Eight-page demonstration viewer with live architecture diagrams (Figures 4.1 and 5.1), never a source of results</w:t>
            </w:r>
          </w:p>
        </w:tc>
        <w:tc>
          <w:tcPr/>
          <w:p>
            <w:pPr>
              <w:pStyle w:val="Compact"/>
              <w:jc w:val="left"/>
            </w:pPr>
            <w:r>
              <w:rPr>
                <w:sz w:val="20"/>
                <w:szCs w:val="20"/>
              </w:rPr>
              <w:t xml:space="preserve">825 + 133</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Optional: bounded SMT check of Propositions 1–3 with the Z3 solver; needs the</w:t>
            </w:r>
            <w:r>
              <w:rPr>
                <w:sz w:val="20"/>
                <w:szCs w:val="20"/>
              </w:rPr>
              <w:t xml:space="preserve"> </w:t>
            </w:r>
            <w:r>
              <w:rPr>
                <w:rStyle w:val="VerbatimChar"/>
                <w:sz w:val="20"/>
                <w:szCs w:val="20"/>
              </w:rPr>
              <w:t xml:space="preserve">z3-solver</w:t>
            </w:r>
            <w:r>
              <w:rPr>
                <w:sz w:val="20"/>
                <w:szCs w:val="20"/>
              </w:rPr>
              <w:t xml:space="preserve"> </w:t>
            </w:r>
            <w:r>
              <w:rPr>
                <w:sz w:val="20"/>
                <w:szCs w:val="20"/>
              </w:rPr>
              <w:t xml:space="preserve">package</w:t>
            </w:r>
          </w:p>
        </w:tc>
        <w:tc>
          <w:tcPr/>
          <w:p>
            <w:pPr>
              <w:pStyle w:val="Compact"/>
              <w:jc w:val="left"/>
            </w:pPr>
            <w:r>
              <w:rPr>
                <w:sz w:val="20"/>
                <w:szCs w:val="20"/>
              </w:rPr>
              <w:t xml:space="preserve">153</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streamlit&gt;=1.50</w:t>
            </w:r>
            <w:r>
              <w:rPr>
                <w:sz w:val="20"/>
                <w:szCs w:val="20"/>
              </w:rPr>
              <w:t xml:space="preserve">,</w:t>
            </w:r>
            <w:r>
              <w:rPr>
                <w:sz w:val="20"/>
                <w:szCs w:val="20"/>
              </w:rPr>
              <w:t xml:space="preserve"> </w:t>
            </w:r>
            <w:r>
              <w:rPr>
                <w:rStyle w:val="VerbatimChar"/>
                <w:sz w:val="20"/>
                <w:szCs w:val="20"/>
              </w:rPr>
              <w:t xml:space="preserve">cryptography&gt;=42</w:t>
            </w:r>
            <w:r>
              <w:rPr>
                <w:sz w:val="20"/>
                <w:szCs w:val="20"/>
              </w:rPr>
              <w:t xml:space="preserve">; the checker itself needs nothing</w:t>
            </w:r>
          </w:p>
        </w:tc>
        <w:tc>
          <w:tcPr/>
          <w:p>
            <w:pPr>
              <w:pStyle w:val="Compact"/>
              <w:jc w:val="left"/>
            </w:pPr>
            <w:r>
              <w:rPr>
                <w:sz w:val="20"/>
                <w:szCs w:val="20"/>
              </w:rPr>
              <w:t xml:space="preserve">2</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10"/>
    <w:bookmarkStart w:id="111"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cryptography for crypto_envelope.py and z3-solver for z3_check.py, both optional</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12"/>
    <w:bookmarkStart w:id="113"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r>
        <w:br/>
      </w:r>
      <w:r>
        <w:rPr>
          <w:rStyle w:val="FunctionTok"/>
        </w:rPr>
        <w:t xml:space="preserve">unzip</w:t>
      </w:r>
      <w:r>
        <w:rPr>
          <w:rStyle w:val="NormalTok"/>
        </w:rPr>
        <w:t xml:space="preserve"> </w:t>
      </w:r>
      <w:r>
        <w:rPr>
          <w:rStyle w:val="AttributeTok"/>
        </w:rPr>
        <w:t xml:space="preserve">-p</w:t>
      </w:r>
      <w:r>
        <w:rPr>
          <w:rStyle w:val="NormalTok"/>
        </w:rPr>
        <w:t xml:space="preserve"> synthea.jar version.txt   </w:t>
      </w:r>
      <w:r>
        <w:rPr>
          <w:rStyle w:val="CommentTok"/>
        </w:rPr>
        <w:t xml:space="preserve"># must print d9d07a6</w:t>
      </w:r>
      <w:r>
        <w:br/>
      </w:r>
      <w:r>
        <w:rPr>
          <w:rStyle w:val="FunctionTok"/>
        </w:rPr>
        <w:t xml:space="preserve">sha256sum</w:t>
      </w:r>
      <w:r>
        <w:rPr>
          <w:rStyle w:val="NormalTok"/>
        </w:rPr>
        <w:t xml:space="preserve"> synthea.jar              </w:t>
      </w:r>
      <w:r>
        <w:rPr>
          <w:rStyle w:val="CommentTok"/>
        </w:rPr>
        <w:t xml:space="preserve"># 018ad7f04f7aacb995804d7d4781c76d5fc714f7f23257ba50daa9eefae224ac on 6 Oct 2026</w:t>
      </w:r>
    </w:p>
    <w:p>
      <w:pPr>
        <w:pStyle w:val="FirstParagraph"/>
      </w:pPr>
      <w:r>
        <w:rPr>
          <w:rStyle w:val="VerbatimChar"/>
        </w:rPr>
        <w:t xml:space="preserve">master-branch-latest</w:t>
      </w:r>
      <w:r>
        <w:t xml:space="preserve"> </w:t>
      </w:r>
      <w:r>
        <w:t xml:space="preserve">is a moving release. The cohort was generated with Synthea commit</w:t>
      </w:r>
      <w:r>
        <w:t xml:space="preserve"> </w:t>
      </w:r>
      <w:r>
        <w:rPr>
          <w:rStyle w:val="VerbatimChar"/>
        </w:rPr>
        <w:t xml:space="preserve">d9d07a6eef91ee5144293b42ab64224d84d124f8</w:t>
      </w:r>
      <w:r>
        <w:t xml:space="preserve">, the version every bundle records; if the jar’s</w:t>
      </w:r>
      <w:r>
        <w:t xml:space="preserve"> </w:t>
      </w:r>
      <w:r>
        <w:rPr>
          <w:rStyle w:val="VerbatimChar"/>
        </w:rPr>
        <w:t xml:space="preserve">version.txt</w:t>
      </w:r>
      <w:r>
        <w:t xml:space="preserve"> </w:t>
      </w:r>
      <w:r>
        <w:t xml:space="preserve">prints anything else, build that commit from source.</w:t>
      </w:r>
    </w:p>
    <w:p>
      <w:pPr>
        <w:pStyle w:val="BodyText"/>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-r</w:t>
      </w:r>
      <w:r>
        <w:rPr>
          <w:rStyle w:val="NormalTok"/>
        </w:rPr>
        <w:t xml:space="preserve"> 20260916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w:t>
      </w:r>
      <w:r>
        <w:t xml:space="preserve"> </w:t>
      </w:r>
      <w:r>
        <w:rPr>
          <w:rStyle w:val="VerbatimChar"/>
        </w:rPr>
        <w:t xml:space="preserve">-r</w:t>
      </w:r>
      <w:r>
        <w:t xml:space="preserve"> </w:t>
      </w:r>
      <w:r>
        <w:t xml:space="preserve">fixes the reference date. Synthea anchors the simulated timeline to the clock time of the run, so a regeneration reproduces the patients and their clinical events but not byte-identical files: regenerated on 6 October 2026, seven of the eight committed patients reappeared with the same events and timestamps shifted by a constant time of day, and every measure of </w:t>
      </w:r>
      <w:hyperlink w:anchor="tbl_5_7" w:history="1">
        <w:r>
          <w:rPr>
            <w:rStyle w:val="Hyperlink"/>
          </w:rPr>
          <w:t xml:space="preserve">Table 5.7</w:t>
        </w:r>
      </w:hyperlink>
      <w:r>
        <w:t xml:space="preserve"> was unchanged.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every recorded run in docs/. A difference means a file changed, not that the result changed.</w:t>
      </w:r>
    </w:p>
    <w:bookmarkEnd w:id="113"/>
    <w:bookmarkStart w:id="116" w:name="a.6-what-the-code-does"/>
    <w:p>
      <w:pPr>
        <w:pStyle w:val="Heading2"/>
      </w:pPr>
      <w:r>
        <w:t xml:space="preserve">A.6 What the code does</w:t>
      </w:r>
    </w:p>
    <w:bookmarkStart w:id="114"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Four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the artefact running with no payload retention period;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three tamper tests, an altered accessor field and an altered invalidation ground of record 100 and an altered patient link of record 3, under each of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1,002 with the full cohort; see A.17). The model reads timing and accessibility, never payload content; running the comparison rather than asserting the invariance lets a reader see the claim tested against inputs that demonstrably changed.</w:t>
      </w:r>
    </w:p>
    <w:bookmarkEnd w:id="115"/>
    <w:bookmarkEnd w:id="116"/>
    <w:bookmarkStart w:id="117"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1,002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17"/>
    <w:bookmarkStart w:id="118"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all three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18"/>
    <w:bookmarkStart w:id="119"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19"/>
    <w:bookmarkStart w:id="120"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551.</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Beyond the constraint check itself:</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each log leaf also holds a salted commitment to the patient link, so a changed link no longer</w:t>
      </w:r>
      <w:r>
        <w:br/>
      </w:r>
      <w:r>
        <w:rPr>
          <w:rStyle w:val="CommentTok"/>
        </w:rPr>
        <w:t xml:space="preserve">    opens it, while the leaf still never holds the subject fields themselves</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w:t>
      </w:r>
      <w:r>
        <w:br/>
      </w:r>
      <w:r>
        <w:rPr>
          <w:rStyle w:val="CommentTok"/>
        </w:rPr>
        <w:t xml:space="preserve">  - make_salt() derives salts from the record id for reproducibility; --random-salts draws them</w:t>
      </w:r>
      <w:r>
        <w:br/>
      </w:r>
      <w:r>
        <w:rPr>
          <w:rStyle w:val="CommentTok"/>
        </w:rPr>
        <w:t xml:space="preserve">    from os.urandom, as a deployment must</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baseline as reported; illustrative (Ch4 s4.3)</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w:t>
      </w:r>
      <w:r>
        <w:rPr>
          <w:rStyle w:val="StringTok"/>
        </w:rPr>
        <w:t xml:space="preserve">"c_subj"</w:t>
      </w:r>
      <w:r>
        <w:rPr>
          <w:rStyle w:val="NormalTok"/>
        </w:rPr>
        <w:t xml:space="preserve">: rec.c_subj},</w:t>
      </w:r>
      <w:r>
        <w:br/>
      </w:r>
      <w:r>
        <w:rPr>
          <w:rStyle w:val="NormalTok"/>
        </w:rPr>
        <w:t xml:space="preserve">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the link, while it is held</w:t>
      </w:r>
      <w:r>
        <w:br/>
      </w:r>
      <w:r>
        <w:rPr>
          <w:rStyle w:val="NormalTok"/>
        </w:rPr>
        <w:t xml:space="preserve">        link </w:t>
      </w:r>
      <w:r>
        <w:rPr>
          <w:rStyle w:val="OperatorTok"/>
        </w:rPr>
        <w:t xml:space="preserve">=</w:t>
      </w:r>
      <w:r>
        <w:rPr>
          <w:rStyle w:val="NormalTok"/>
        </w:rPr>
        <w:t xml:space="preserve"> _entry({f: rec.m.get(f)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if</w:t>
      </w:r>
      <w:r>
        <w:rPr>
          <w:rStyle w:val="NormalTok"/>
        </w:rPr>
        <w:t xml:space="preserve"> rec.subj_salt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commit(link, rec.subj_salt) </w:t>
      </w:r>
      <w:r>
        <w:rPr>
          <w:rStyle w:val="OperatorTok"/>
        </w:rPr>
        <w:t xml:space="preserve">!=</w:t>
      </w:r>
      <w:r>
        <w:rPr>
          <w:rStyle w:val="NormalTok"/>
        </w:rPr>
        <w:t xml:space="preserve"> rec.c_subj:</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"patient link does not open its logged commitment (altered)"</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CommentTok"/>
        </w:rPr>
        <w:t xml:space="preserve"># salted commitment to the patient link, logged with the accessor fields (Ch4 s4.8)</w:t>
      </w:r>
      <w:r>
        <w:br/>
      </w:r>
      <w:r>
        <w:rPr>
          <w:rStyle w:val="NormalTok"/>
        </w:rPr>
        <w:t xml:space="preserve">        </w:t>
      </w:r>
      <w:r>
        <w:rPr>
          <w:rStyle w:val="VariableTok"/>
        </w:rPr>
        <w:t xml:space="preserve">self</w:t>
      </w:r>
      <w:r>
        <w:rPr>
          <w:rStyle w:val="NormalTok"/>
        </w:rPr>
        <w:t xml:space="preserve">.subj_salt </w:t>
      </w:r>
      <w:r>
        <w:rPr>
          <w:rStyle w:val="OperatorTok"/>
        </w:rPr>
        <w:t xml:space="preserve">=</w:t>
      </w:r>
      <w:r>
        <w:rPr>
          <w:rStyle w:val="NormalTok"/>
        </w:rPr>
        <w:t xml:space="preserve"> make_salt(rid </w:t>
      </w:r>
      <w:r>
        <w:rPr>
          <w:rStyle w:val="OperatorTok"/>
        </w:rPr>
        <w:t xml:space="preserve">+</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VariableTok"/>
        </w:rPr>
        <w:t xml:space="preserve">self</w:t>
      </w:r>
      <w:r>
        <w:rPr>
          <w:rStyle w:val="NormalTok"/>
        </w:rPr>
        <w:t xml:space="preserve">.c_subj </w:t>
      </w:r>
      <w:r>
        <w:rPr>
          <w:rStyle w:val="OperatorTok"/>
        </w:rPr>
        <w:t xml:space="preserve">=</w:t>
      </w:r>
      <w:r>
        <w:rPr>
          <w:rStyle w:val="NormalTok"/>
        </w:rPr>
        <w:t xml:space="preserve"> commit(_entry({f: </w:t>
      </w:r>
      <w:r>
        <w:rPr>
          <w:rStyle w:val="VariableTok"/>
        </w:rPr>
        <w:t xml:space="preserve">self</w:t>
      </w:r>
      <w:r>
        <w:rPr>
          <w:rStyle w:val="NormalTok"/>
        </w:rPr>
        <w:t xml:space="preserve">.m[f]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VariableTok"/>
        </w:rPr>
        <w:t xml:space="preserve">self</w:t>
      </w:r>
      <w:r>
        <w:rPr>
          <w:rStyle w:val="NormalTok"/>
        </w:rPr>
        <w:t xml:space="preserve">.subj_salt)</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rec.subj_salt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the link's salt goes with the link</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xb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mmentTok"/>
        </w:rPr>
        <w:t xml:space="preserve"># a cross-border record keeps its link</w:t>
      </w:r>
      <w:r>
        <w:br/>
      </w:r>
      <w:r>
        <w:rPr>
          <w:rStyle w:val="NormalTok"/>
        </w:rPr>
        <w:t xml:space="preserve">    saved_p </w:t>
      </w:r>
      <w:r>
        <w:rPr>
          <w:rStyle w:val="OperatorTok"/>
        </w:rPr>
        <w:t xml:space="preserve">=</w:t>
      </w:r>
      <w:r>
        <w:rPr>
          <w:rStyle w:val="NormalTok"/>
        </w:rPr>
        <w:t xml:space="preserve"> xb.m[</w:t>
      </w:r>
      <w:r>
        <w:rPr>
          <w:rStyle w:val="StringTok"/>
        </w:rPr>
        <w:t xml:space="preserve">"patient_pseudonym"</w:t>
      </w:r>
      <w:r>
        <w:rPr>
          <w:rStyle w:val="NormalTok"/>
        </w:rPr>
        <w:t xml:space="preserve">]</w:t>
      </w:r>
      <w:r>
        <w:br/>
      </w:r>
      <w:r>
        <w:rPr>
          <w:rStyle w:val="NormalTok"/>
        </w:rPr>
        <w:t xml:space="preserve">    xb.m[</w:t>
      </w:r>
      <w:r>
        <w:rPr>
          <w:rStyle w:val="StringTok"/>
        </w:rPr>
        <w:t xml:space="preserve">"patient_pseudonym"</w:t>
      </w:r>
      <w:r>
        <w:rPr>
          <w:rStyle w:val="NormalTok"/>
        </w:rPr>
        <w:t xml:space="preserve">] </w:t>
      </w:r>
      <w:r>
        <w:rPr>
          <w:rStyle w:val="OperatorTok"/>
        </w:rPr>
        <w:t xml:space="preserve">=</w:t>
      </w:r>
      <w:r>
        <w:rPr>
          <w:rStyle w:val="NormalTok"/>
        </w:rPr>
        <w:t xml:space="preserve"> </w:t>
      </w:r>
      <w:r>
        <w:rPr>
          <w:rStyle w:val="StringTok"/>
        </w:rPr>
        <w:t xml:space="preserve">"PSN-9999"</w:t>
      </w:r>
      <w:r>
        <w:rPr>
          <w:rStyle w:val="NormalTok"/>
        </w:rPr>
        <w:t xml:space="preserve">                    </w:t>
      </w:r>
      <w:r>
        <w:rPr>
          <w:rStyle w:val="CommentTok"/>
        </w:rPr>
        <w:t xml:space="preserve"># tamper with the patient link</w:t>
      </w:r>
      <w:r>
        <w:br/>
      </w:r>
      <w:r>
        <w:rPr>
          <w:rStyle w:val="NormalTok"/>
        </w:rPr>
        <w:t xml:space="preserve">    ok_p, why_p </w:t>
      </w:r>
      <w:r>
        <w:rPr>
          <w:rStyle w:val="OperatorTok"/>
        </w:rPr>
        <w:t xml:space="preserve">=</w:t>
      </w:r>
      <w:r>
        <w:rPr>
          <w:rStyle w:val="NormalTok"/>
        </w:rPr>
        <w:t xml:space="preserve"> V_II(xb, xb.t_a)</w:t>
      </w:r>
      <w:r>
        <w:br/>
      </w:r>
      <w:r>
        <w:rPr>
          <w:rStyle w:val="NormalTok"/>
        </w:rPr>
        <w:t xml:space="preserve">    xb.m[</w:t>
      </w:r>
      <w:r>
        <w:rPr>
          <w:rStyle w:val="StringTok"/>
        </w:rPr>
        <w:t xml:space="preserve">"patient_pseudonym"</w:t>
      </w:r>
      <w:r>
        <w:rPr>
          <w:rStyle w:val="NormalTok"/>
        </w:rPr>
        <w:t xml:space="preserve">] </w:t>
      </w:r>
      <w:r>
        <w:rPr>
          <w:rStyle w:val="OperatorTok"/>
        </w:rPr>
        <w:t xml:space="preserve">=</w:t>
      </w:r>
      <w:r>
        <w:rPr>
          <w:rStyle w:val="NormalTok"/>
        </w:rPr>
        <w:t xml:space="preserve"> saved_p</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xb</w:t>
      </w:r>
      <w:r>
        <w:rPr>
          <w:rStyle w:val="SpecialCharTok"/>
        </w:rPr>
        <w:t xml:space="preserve">.</w:t>
      </w:r>
      <w:r>
        <w:rPr>
          <w:rStyle w:val="NormalTok"/>
        </w:rPr>
        <w:t xml:space="preserve">rid</w:t>
      </w:r>
      <w:r>
        <w:rPr>
          <w:rStyle w:val="SpecialCharTok"/>
        </w:rPr>
        <w:t xml:space="preserve">}</w:t>
      </w:r>
      <w:r>
        <w:rPr>
          <w:rStyle w:val="SpecialStringTok"/>
        </w:rPr>
        <w:t xml:space="preserve"> link altered  : V_II=</w:t>
      </w:r>
      <w:r>
        <w:rPr>
          <w:rStyle w:val="SpecialCharTok"/>
        </w:rPr>
        <w:t xml:space="preserve">{</w:t>
      </w:r>
      <w:r>
        <w:rPr>
          <w:rStyle w:val="NormalTok"/>
        </w:rPr>
        <w:t xml:space="preserve">ok_p</w:t>
      </w:r>
      <w:r>
        <w:rPr>
          <w:rStyle w:val="SpecialCharTok"/>
        </w:rPr>
        <w:t xml:space="preserve">}</w:t>
      </w:r>
      <w:r>
        <w:rPr>
          <w:rStyle w:val="SpecialStringTok"/>
        </w:rPr>
        <w:t xml:space="preserve">  (</w:t>
      </w:r>
      <w:r>
        <w:rPr>
          <w:rStyle w:val="SpecialCharTok"/>
        </w:rPr>
        <w:t xml:space="preserve">{</w:t>
      </w:r>
      <w:r>
        <w:rPr>
          <w:rStyle w:val="NormalTok"/>
        </w:rPr>
        <w:t xml:space="preserve">why_p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all three  : V_II=</w:t>
      </w:r>
      <w:r>
        <w:rPr>
          <w:rStyle w:val="SpecialCharTok"/>
        </w:rPr>
        <w:t xml:space="preserve">{</w:t>
      </w:r>
      <w:r>
        <w:rPr>
          <w:rStyle w:val="NormalTok"/>
        </w:rPr>
        <w:t xml:space="preserve">V_II(demo, demo.t_a)[</w:t>
      </w:r>
      <w:r>
        <w:rPr>
          <w:rStyle w:val="DecValTok"/>
        </w:rPr>
        <w:t xml:space="preserve">0</w:t>
      </w:r>
      <w:r>
        <w:rPr>
          <w:rStyle w:val="NormalTok"/>
        </w:rPr>
        <w:t xml:space="preserve">] </w:t>
      </w:r>
      <w:r>
        <w:rPr>
          <w:rStyle w:val="KeywordTok"/>
        </w:rPr>
        <w:t xml:space="preserve">and</w:t>
      </w:r>
      <w:r>
        <w:rPr>
          <w:rStyle w:val="NormalTok"/>
        </w:rPr>
        <w:t xml:space="preserve"> V_II(xb, xb.t_a)[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22"/>
    <w:bookmarkStart w:id="123"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3"/>
    <w:bookmarkStart w:id="124" w:name="Xf95b3c51e7ce07a60a76ed04c1d09e76a0e1bdc"/>
    <w:p>
      <w:pPr>
        <w:pStyle w:val="Heading2"/>
      </w:pPr>
      <w:r>
        <w:t xml:space="preserve">A.14 The demonstration viewer:</w:t>
      </w:r>
      <w:r>
        <w:t xml:space="preserve"> </w:t>
      </w:r>
      <w:r>
        <w:rPr>
          <w:rStyle w:val="VerbatimChar"/>
        </w:rPr>
        <w:t xml:space="preserve">app.py</w:t>
      </w:r>
      <w:r>
        <w:t xml:space="preserve"> </w:t>
      </w:r>
      <w:r>
        <w:t xml:space="preserve">and</w:t>
      </w:r>
      <w:r>
        <w:t xml:space="preserve"> </w:t>
      </w:r>
      <w:r>
        <w:rPr>
          <w:rStyle w:val="VerbatimChar"/>
        </w:rPr>
        <w:t xml:space="preserve">ui.py</w:t>
      </w:r>
    </w:p>
    <w:p>
      <w:pPr>
        <w:pStyle w:val="FirstParagraph"/>
      </w:pPr>
      <w:r>
        <w:t xml:space="preserve">Not reproduced here, because the viewer is never a source of results: every figure it displays comes from executing one of the modules listed in this appendix, unmodified.</w:t>
      </w:r>
      <w:r>
        <w:t xml:space="preserve"> </w:t>
      </w:r>
      <w:r>
        <w:rPr>
          <w:rStyle w:val="VerbatimChar"/>
        </w:rPr>
        <w:t xml:space="preserve">app.py</w:t>
      </w:r>
      <w:r>
        <w:t xml:space="preserve"> </w:t>
      </w:r>
      <w:r>
        <w:t xml:space="preserve">(825 lines) holds the pages and the self-checks;</w:t>
      </w:r>
      <w:r>
        <w:t xml:space="preserve"> </w:t>
      </w:r>
      <w:r>
        <w:rPr>
          <w:rStyle w:val="VerbatimChar"/>
        </w:rPr>
        <w:t xml:space="preserve">ui.py</w:t>
      </w:r>
      <w:r>
        <w:t xml:space="preserve"> </w:t>
      </w:r>
      <w:r>
        <w:t xml:space="preserve">(133 lines) holds only presentation: the theme, the record life strip and the embedding of the two Archify diagrams. The Thesis run page asserts the reported figures and shows a failure notice rather than results if the run disagrees with Chapter 5. Both files are in the repository (https://github.com/Astheno-sphere/TRF).</w:t>
      </w:r>
    </w:p>
    <w:bookmarkEnd w:id="124"/>
    <w:bookmarkStart w:id="125"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5"/>
    <w:bookmarkStart w:id="126"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5.4 and 5.6 appears here, with the δ = 1 row of </w:t>
      </w:r>
      <w:hyperlink w:anchor="tbl_5_5" w:history="1">
        <w:r>
          <w:rPr>
            <w:rStyle w:val="Hyperlink"/>
          </w:rPr>
          <w:t xml:space="preserve">Table 5.5</w:t>
        </w:r>
      </w:hyperlink>
      <w:r>
        <w:t xml:space="preserve">; its δ = 3 row is in A.18.</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a91c07936a4eb9752b58c6483ca93d7d...</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tamper test, rid=3 link altered  : V_II=False  (patient link does not open its logged commitment (altered))</w:t>
      </w:r>
      <w:r>
        <w:br/>
      </w:r>
      <w:r>
        <w:rPr>
          <w:rStyle w:val="VerbatimChar"/>
        </w:rPr>
        <w:t xml:space="preserve">after restoring all three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6"/>
    <w:bookmarkStart w:id="127" w:name="X48e3d2dd8ce91f999789c66e0e3195e2a9ca03a"/>
    <w:p>
      <w:pPr>
        <w:pStyle w:val="Heading2"/>
      </w:pPr>
      <w:r>
        <w:t xml:space="preserve">A.17 Console output of the payload-provenance comparison, full cohort</w:t>
      </w:r>
    </w:p>
    <w:p>
      <w:pPr>
        <w:pStyle w:val="FirstParagraph"/>
      </w:pPr>
      <w:r>
        <w:t xml:space="preserve">Produced by command 4 against the 98-bundle cohort regenerated on 6 October 2026 with the pinned jar (commands 2 and 3) and the final code. It is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 at a mean payload of 1,002 bytes; the September cohort it replaces gave the same six measures at 1,006 bytes. Reproducing it requires regenerating the cohort with command 3, because the full cohort is about 315 MB and is not committed.</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constructed=43  synthea=1002</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7"/>
    <w:bookmarkStart w:id="128"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a91c07936a4eb9752b58c6483ca93d7d...</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tamper test, rid=3 link altered  : V_II=False  (patient link does not open its logged commitment (altered))</w:t>
      </w:r>
      <w:r>
        <w:br/>
      </w:r>
      <w:r>
        <w:rPr>
          <w:rStyle w:val="VerbatimChar"/>
        </w:rPr>
        <w:t xml:space="preserve">after restoring all three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28"/>
    <w:bookmarkStart w:id="129"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29"/>
    <w:bookmarkStart w:id="130"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30"/>
    <w:bookmarkStart w:id="131"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1,002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31"/>
    <w:bookmarkStart w:id="132"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32"/>
    <w:bookmarkStart w:id="133" w:name="a.23-source-listing-z3_check.py"/>
    <w:p>
      <w:pPr>
        <w:pStyle w:val="Heading2"/>
      </w:pPr>
      <w:r>
        <w:t xml:space="preserve">A.23 Source listing:</w:t>
      </w:r>
      <w:r>
        <w:t xml:space="preserve"> </w:t>
      </w:r>
      <w:r>
        <w:rPr>
          <w:rStyle w:val="VerbatimChar"/>
        </w:rPr>
        <w:t xml:space="preserve">z3_check.py</w:t>
      </w:r>
    </w:p>
    <w:p>
      <w:pPr>
        <w:pStyle w:val="FirstParagraph"/>
      </w:pPr>
      <w:r>
        <w:t xml:space="preserve">Optional module. It poses each of Propositions 1–3 to the Z3 SMT solver as a request for a counterexample within stated bounds, and checks that deliberately wrong versions of Proposition 3 are refuted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It reports no thesis figure from the generated population.</w:t>
      </w:r>
    </w:p>
    <w:p>
      <w:pPr>
        <w:pStyle w:val="SourceCode"/>
      </w:pPr>
      <w:r>
        <w:rPr>
          <w:rStyle w:val="CommentTok"/>
        </w:rPr>
        <w:t xml:space="preserve">"""</w:t>
      </w:r>
      <w:r>
        <w:br/>
      </w:r>
      <w:r>
        <w:rPr>
          <w:rStyle w:val="CommentTok"/>
        </w:rPr>
        <w:t xml:space="preserve">Bounded SMT check of Propositions 1-3 (optional module)</w:t>
      </w:r>
      <w:r>
        <w:br/>
      </w:r>
      <w:r>
        <w:rPr>
          <w:rStyle w:val="CommentTok"/>
        </w:rPr>
        <w:t xml:space="preserve">========================================================</w:t>
      </w:r>
      <w:r>
        <w:br/>
      </w:r>
      <w:r>
        <w:rPr>
          <w:rStyle w:val="CommentTok"/>
        </w:rPr>
        <w:t xml:space="preserve">An independent check of the TRF Model's propositions in a different formalism from the</w:t>
      </w:r>
      <w:r>
        <w:br/>
      </w:r>
      <w:r>
        <w:rPr>
          <w:rStyle w:val="CommentTok"/>
        </w:rPr>
        <w:t xml:space="preserve">checker. trf_checker.py evaluates 200 generated records; this module asks the Z3 SMT solver</w:t>
      </w:r>
      <w:r>
        <w:br/>
      </w:r>
      <w:r>
        <w:rPr>
          <w:rStyle w:val="CommentTok"/>
        </w:rPr>
        <w:t xml:space="preserve">whether ANY record, with ANY parameter values inside the stated bounds, contradicts a</w:t>
      </w:r>
      <w:r>
        <w:br/>
      </w:r>
      <w:r>
        <w:rPr>
          <w:rStyle w:val="CommentTok"/>
        </w:rPr>
        <w:t xml:space="preserve">proposition. Every check is posed as "find a counterexample"; the expected answer is</w:t>
      </w:r>
      <w:r>
        <w:br/>
      </w:r>
      <w:r>
        <w:rPr>
          <w:rStyle w:val="CommentTok"/>
        </w:rPr>
        <w:t xml:space="preserve">"unsat" (no counterexample exists within the bounds).</w:t>
      </w:r>
      <w:r>
        <w:br/>
      </w:r>
      <w:r>
        <w:br/>
      </w:r>
      <w:r>
        <w:rPr>
          <w:rStyle w:val="CommentTok"/>
        </w:rPr>
        <w:t xml:space="preserve">Model (Chapter 4, Sections 4.3-4.6), one record, months t = 0..H:</w:t>
      </w:r>
      <w:r>
        <w:br/>
      </w:r>
      <w:r>
        <w:rPr>
          <w:rStyle w:val="CommentTok"/>
        </w:rPr>
        <w:t xml:space="preserve">  alpha_t        payload accessible at month t (free Boolean per month)</w:t>
      </w:r>
      <w:r>
        <w:br/>
      </w:r>
      <w:r>
        <w:rPr>
          <w:rStyle w:val="CommentTok"/>
        </w:rPr>
        <w:t xml:space="preserve">  C1 floor       alpha_t for t in [t_a, t_a + F]                       (Semantics I: V = alpha)</w:t>
      </w:r>
      <w:r>
        <w:br/>
      </w:r>
      <w:r>
        <w:rPr>
          <w:rStyle w:val="CommentTok"/>
        </w:rPr>
        <w:t xml:space="preserve">  C2 right       not alpha_t for t &gt;= t_r + delta, if a request arrives</w:t>
      </w:r>
      <w:r>
        <w:br/>
      </w:r>
      <w:r>
        <w:rPr>
          <w:rStyle w:val="CommentTok"/>
        </w:rPr>
        <w:t xml:space="preserve">  C3 ceiling     not alpha_t for t &gt;= e + L, if a ceiling applies (e: its anchor event)</w:t>
      </w:r>
      <w:r>
        <w:br/>
      </w:r>
      <w:r>
        <w:rPr>
          <w:rStyle w:val="CommentTok"/>
        </w:rPr>
        <w:t xml:space="preserve">Semantics II (Proposition 2) adds the accountability state per month: m_acc kept, c kept,</w:t>
      </w:r>
      <w:r>
        <w:br/>
      </w:r>
      <w:r>
        <w:rPr>
          <w:rStyle w:val="CommentTok"/>
        </w:rPr>
        <w:t xml:space="preserve">an invalidation entry iota present, the subject link beta readable, and a subject-link</w:t>
      </w:r>
      <w:r>
        <w:br/>
      </w:r>
      <w:r>
        <w:rPr>
          <w:rStyle w:val="CommentTok"/>
        </w:rPr>
        <w:t xml:space="preserve">entry iota_subj present. V_II = m_acc and c and (alpha or iota) and (beta or iota_subj),</w:t>
      </w:r>
      <w:r>
        <w:br/>
      </w:r>
      <w:r>
        <w:rPr>
          <w:rStyle w:val="CommentTok"/>
        </w:rPr>
        <w:t xml:space="preserve">and C3 also requires beta = 0 from the ceiling where it reaches the subject fields.</w:t>
      </w:r>
      <w:r>
        <w:br/>
      </w:r>
      <w:r>
        <w:br/>
      </w:r>
      <w:r>
        <w:rPr>
          <w:rStyle w:val="CommentTok"/>
        </w:rPr>
        <w:t xml:space="preserve">Bounds: t_a in [0, 12], F in [1, 120] (so the 120-month cross-border floor is covered),</w:t>
      </w:r>
      <w:r>
        <w:br/>
      </w:r>
      <w:r>
        <w:rPr>
          <w:rStyle w:val="CommentTok"/>
        </w:rPr>
        <w:t xml:space="preserve">delta in [1, 3], request month and anchor event in [t_a, H], L in [1, 120], H = 140.</w:t>
      </w:r>
      <w:r>
        <w:br/>
      </w:r>
      <w:r>
        <w:rPr>
          <w:rStyle w:val="CommentTok"/>
        </w:rPr>
        <w:t xml:space="preserve">This is a bounded check: it covers every combination within the bounds, not all integers.</w:t>
      </w:r>
      <w:r>
        <w:br/>
      </w:r>
      <w:r>
        <w:rPr>
          <w:rStyle w:val="CommentTok"/>
        </w:rPr>
        <w:t xml:space="preserve">It checks that the propositions follow from the constraints as encoded here; like the</w:t>
      </w:r>
      <w:r>
        <w:br/>
      </w:r>
      <w:r>
        <w:rPr>
          <w:rStyle w:val="CommentTok"/>
        </w:rPr>
        <w:t xml:space="preserve">checker, it does not check that the constraints translate the law (Section 4.2 does that).</w:t>
      </w:r>
      <w:r>
        <w:br/>
      </w:r>
      <w:r>
        <w:br/>
      </w:r>
      <w:r>
        <w:rPr>
          <w:rStyle w:val="CommentTok"/>
        </w:rPr>
        <w:t xml:space="preserve">Run:  pip install z3-solver   then   python3 z3_check.py</w:t>
      </w:r>
      <w:r>
        <w:br/>
      </w:r>
      <w:r>
        <w:rPr>
          <w:rStyle w:val="CommentTok"/>
        </w:rPr>
        <w:t xml:space="preserve">"""</w:t>
      </w:r>
      <w:r>
        <w:br/>
      </w:r>
      <w:r>
        <w:br/>
      </w:r>
      <w:r>
        <w:rPr>
          <w:rStyle w:val="ImportTok"/>
        </w:rPr>
        <w:t xml:space="preserve">from</w:t>
      </w:r>
      <w:r>
        <w:rPr>
          <w:rStyle w:val="NormalTok"/>
        </w:rPr>
        <w:t xml:space="preserve"> z3 </w:t>
      </w:r>
      <w:r>
        <w:rPr>
          <w:rStyle w:val="ImportTok"/>
        </w:rPr>
        <w:t xml:space="preserve">import</w:t>
      </w:r>
      <w:r>
        <w:rPr>
          <w:rStyle w:val="NormalTok"/>
        </w:rPr>
        <w:t xml:space="preserve"> And, Bool, If, Implies, Int, Not, Or, Solver, sat, unsat</w:t>
      </w:r>
      <w:r>
        <w:br/>
      </w:r>
      <w:r>
        <w:br/>
      </w:r>
      <w:r>
        <w:rPr>
          <w:rStyle w:val="NormalTok"/>
        </w:rPr>
        <w:t xml:space="preserve">H </w:t>
      </w:r>
      <w:r>
        <w:rPr>
          <w:rStyle w:val="OperatorTok"/>
        </w:rPr>
        <w:t xml:space="preserve">=</w:t>
      </w:r>
      <w:r>
        <w:rPr>
          <w:rStyle w:val="NormalTok"/>
        </w:rPr>
        <w:t xml:space="preserve"> </w:t>
      </w:r>
      <w:r>
        <w:rPr>
          <w:rStyle w:val="DecValTok"/>
        </w:rPr>
        <w:t xml:space="preserve">140</w:t>
      </w:r>
      <w:r>
        <w:br/>
      </w:r>
      <w:r>
        <w:rPr>
          <w:rStyle w:val="NormalTok"/>
        </w:rPr>
        <w:t xml:space="preserve">T </w:t>
      </w:r>
      <w:r>
        <w:rPr>
          <w:rStyle w:val="OperatorTok"/>
        </w:rPr>
        <w:t xml:space="preserve">=</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record():</w:t>
      </w:r>
      <w:r>
        <w:br/>
      </w:r>
      <w:r>
        <w:rPr>
          <w:rStyle w:val="NormalTok"/>
        </w:rPr>
        <w:t xml:space="preserve">    </w:t>
      </w:r>
      <w:r>
        <w:rPr>
          <w:rStyle w:val="CommentTok"/>
        </w:rPr>
        <w:t xml:space="preserve">"""Symbolic parameters and constraints common to every check."""</w:t>
      </w:r>
      <w:r>
        <w:br/>
      </w:r>
      <w:r>
        <w:rPr>
          <w:rStyle w:val="NormalTok"/>
        </w:rPr>
        <w:t xml:space="preserve">    ta, F, d </w:t>
      </w:r>
      <w:r>
        <w:rPr>
          <w:rStyle w:val="OperatorTok"/>
        </w:rPr>
        <w:t xml:space="preserve">=</w:t>
      </w:r>
      <w:r>
        <w:rPr>
          <w:rStyle w:val="NormalTok"/>
        </w:rPr>
        <w:t xml:space="preserve"> Int(</w:t>
      </w:r>
      <w:r>
        <w:rPr>
          <w:rStyle w:val="StringTok"/>
        </w:rPr>
        <w:t xml:space="preserve">"t_a"</w:t>
      </w:r>
      <w:r>
        <w:rPr>
          <w:rStyle w:val="NormalTok"/>
        </w:rPr>
        <w:t xml:space="preserve">), Int(</w:t>
      </w:r>
      <w:r>
        <w:rPr>
          <w:rStyle w:val="StringTok"/>
        </w:rPr>
        <w:t xml:space="preserve">"F"</w:t>
      </w:r>
      <w:r>
        <w:rPr>
          <w:rStyle w:val="NormalTok"/>
        </w:rPr>
        <w:t xml:space="preserve">), Int(</w:t>
      </w:r>
      <w:r>
        <w:rPr>
          <w:rStyle w:val="StringTok"/>
        </w:rPr>
        <w:t xml:space="preserve">"delta"</w:t>
      </w:r>
      <w:r>
        <w:rPr>
          <w:rStyle w:val="NormalTok"/>
        </w:rPr>
        <w:t xml:space="preserve">)</w:t>
      </w:r>
      <w:r>
        <w:br/>
      </w:r>
      <w:r>
        <w:rPr>
          <w:rStyle w:val="NormalTok"/>
        </w:rPr>
        <w:t xml:space="preserve">    tr, e, L </w:t>
      </w:r>
      <w:r>
        <w:rPr>
          <w:rStyle w:val="OperatorTok"/>
        </w:rPr>
        <w:t xml:space="preserve">=</w:t>
      </w:r>
      <w:r>
        <w:rPr>
          <w:rStyle w:val="NormalTok"/>
        </w:rPr>
        <w:t xml:space="preserve"> Int(</w:t>
      </w:r>
      <w:r>
        <w:rPr>
          <w:rStyle w:val="StringTok"/>
        </w:rPr>
        <w:t xml:space="preserve">"t_r"</w:t>
      </w:r>
      <w:r>
        <w:rPr>
          <w:rStyle w:val="NormalTok"/>
        </w:rPr>
        <w:t xml:space="preserve">), Int(</w:t>
      </w:r>
      <w:r>
        <w:rPr>
          <w:rStyle w:val="StringTok"/>
        </w:rPr>
        <w:t xml:space="preserve">"e"</w:t>
      </w:r>
      <w:r>
        <w:rPr>
          <w:rStyle w:val="NormalTok"/>
        </w:rPr>
        <w:t xml:space="preserve">), Int(</w:t>
      </w:r>
      <w:r>
        <w:rPr>
          <w:rStyle w:val="StringTok"/>
        </w:rPr>
        <w:t xml:space="preserve">"L"</w:t>
      </w:r>
      <w:r>
        <w:rPr>
          <w:rStyle w:val="NormalTok"/>
        </w:rPr>
        <w:t xml:space="preserve">)</w:t>
      </w:r>
      <w:r>
        <w:br/>
      </w:r>
      <w:r>
        <w:rPr>
          <w:rStyle w:val="NormalTok"/>
        </w:rPr>
        <w:t xml:space="preserve">    req, ceil </w:t>
      </w:r>
      <w:r>
        <w:rPr>
          <w:rStyle w:val="OperatorTok"/>
        </w:rPr>
        <w:t xml:space="preserve">=</w:t>
      </w:r>
      <w:r>
        <w:rPr>
          <w:rStyle w:val="NormalTok"/>
        </w:rPr>
        <w:t xml:space="preserve"> Bool(</w:t>
      </w:r>
      <w:r>
        <w:rPr>
          <w:rStyle w:val="StringTok"/>
        </w:rPr>
        <w:t xml:space="preserve">"request"</w:t>
      </w:r>
      <w:r>
        <w:rPr>
          <w:rStyle w:val="NormalTok"/>
        </w:rPr>
        <w:t xml:space="preserve">), Bool(</w:t>
      </w:r>
      <w:r>
        <w:rPr>
          <w:rStyle w:val="StringTok"/>
        </w:rPr>
        <w:t xml:space="preserve">"ceiling"</w:t>
      </w:r>
      <w:r>
        <w:rPr>
          <w:rStyle w:val="NormalTok"/>
        </w:rPr>
        <w:t xml:space="preserve">)</w:t>
      </w:r>
      <w:r>
        <w:br/>
      </w:r>
      <w:r>
        <w:rPr>
          <w:rStyle w:val="NormalTok"/>
        </w:rPr>
        <w:t xml:space="preserve">    alpha </w:t>
      </w:r>
      <w:r>
        <w:rPr>
          <w:rStyle w:val="OperatorTok"/>
        </w:rPr>
        <w:t xml:space="preserve">=</w:t>
      </w:r>
      <w:r>
        <w:rPr>
          <w:rStyle w:val="NormalTok"/>
        </w:rPr>
        <w:t xml:space="preserve"> [Bool(</w:t>
      </w:r>
      <w:r>
        <w:rPr>
          <w:rStyle w:val="SpecialStringTok"/>
        </w:rPr>
        <w:t xml:space="preserve">f"alpha_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bounds </w:t>
      </w:r>
      <w:r>
        <w:rPr>
          <w:rStyle w:val="OperatorTok"/>
        </w:rPr>
        <w:t xml:space="preserve">=</w:t>
      </w:r>
      <w:r>
        <w:rPr>
          <w:rStyle w:val="NormalTok"/>
        </w:rPr>
        <w:t xml:space="preserve"> And(ta </w:t>
      </w:r>
      <w:r>
        <w:rPr>
          <w:rStyle w:val="OperatorTok"/>
        </w:rPr>
        <w:t xml:space="preserve">&gt;=</w:t>
      </w:r>
      <w:r>
        <w:rPr>
          <w:rStyle w:val="NormalTok"/>
        </w:rPr>
        <w:t xml:space="preserve"> </w:t>
      </w:r>
      <w:r>
        <w:rPr>
          <w:rStyle w:val="DecValTok"/>
        </w:rPr>
        <w:t xml:space="preserve">0</w:t>
      </w:r>
      <w:r>
        <w:rPr>
          <w:rStyle w:val="NormalTok"/>
        </w:rPr>
        <w:t xml:space="preserve">, ta </w:t>
      </w:r>
      <w:r>
        <w:rPr>
          <w:rStyle w:val="OperatorTok"/>
        </w:rPr>
        <w:t xml:space="preserve">&lt;=</w:t>
      </w:r>
      <w:r>
        <w:rPr>
          <w:rStyle w:val="NormalTok"/>
        </w:rPr>
        <w:t xml:space="preserve"> </w:t>
      </w:r>
      <w:r>
        <w:rPr>
          <w:rStyle w:val="DecValTok"/>
        </w:rPr>
        <w:t xml:space="preserve">12</w:t>
      </w:r>
      <w:r>
        <w:rPr>
          <w:rStyle w:val="NormalTok"/>
        </w:rPr>
        <w:t xml:space="preserve">, F </w:t>
      </w:r>
      <w:r>
        <w:rPr>
          <w:rStyle w:val="OperatorTok"/>
        </w:rPr>
        <w:t xml:space="preserve">&gt;=</w:t>
      </w:r>
      <w:r>
        <w:rPr>
          <w:rStyle w:val="NormalTok"/>
        </w:rPr>
        <w:t xml:space="preserve"> </w:t>
      </w:r>
      <w:r>
        <w:rPr>
          <w:rStyle w:val="DecValTok"/>
        </w:rPr>
        <w:t xml:space="preserve">1</w:t>
      </w:r>
      <w:r>
        <w:rPr>
          <w:rStyle w:val="NormalTok"/>
        </w:rPr>
        <w:t xml:space="preserve">, F </w:t>
      </w:r>
      <w:r>
        <w:rPr>
          <w:rStyle w:val="OperatorTok"/>
        </w:rPr>
        <w:t xml:space="preserve">&lt;=</w:t>
      </w:r>
      <w:r>
        <w:rPr>
          <w:rStyle w:val="NormalTok"/>
        </w:rPr>
        <w:t xml:space="preserve"> </w:t>
      </w:r>
      <w:r>
        <w:rPr>
          <w:rStyle w:val="DecValTok"/>
        </w:rPr>
        <w:t xml:space="preserve">120</w:t>
      </w:r>
      <w:r>
        <w:rPr>
          <w:rStyle w:val="NormalTok"/>
        </w:rPr>
        <w:t xml:space="preserve">, d </w:t>
      </w:r>
      <w:r>
        <w:rPr>
          <w:rStyle w:val="OperatorTok"/>
        </w:rPr>
        <w:t xml:space="preserve">&gt;=</w:t>
      </w:r>
      <w:r>
        <w:rPr>
          <w:rStyle w:val="NormalTok"/>
        </w:rPr>
        <w:t xml:space="preserve"> </w:t>
      </w:r>
      <w:r>
        <w:rPr>
          <w:rStyle w:val="DecValTok"/>
        </w:rPr>
        <w:t xml:space="preserve">1</w:t>
      </w:r>
      <w:r>
        <w:rPr>
          <w:rStyle w:val="NormalTok"/>
        </w:rPr>
        <w:t xml:space="preserve">, 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tr </w:t>
      </w:r>
      <w:r>
        <w:rPr>
          <w:rStyle w:val="OperatorTok"/>
        </w:rPr>
        <w:t xml:space="preserve">&gt;=</w:t>
      </w:r>
      <w:r>
        <w:rPr>
          <w:rStyle w:val="NormalTok"/>
        </w:rPr>
        <w:t xml:space="preserve"> ta, tr </w:t>
      </w:r>
      <w:r>
        <w:rPr>
          <w:rStyle w:val="OperatorTok"/>
        </w:rPr>
        <w:t xml:space="preserve">&lt;=</w:t>
      </w:r>
      <w:r>
        <w:rPr>
          <w:rStyle w:val="NormalTok"/>
        </w:rPr>
        <w:t xml:space="preserve"> H, e </w:t>
      </w:r>
      <w:r>
        <w:rPr>
          <w:rStyle w:val="OperatorTok"/>
        </w:rPr>
        <w:t xml:space="preserve">&gt;=</w:t>
      </w:r>
      <w:r>
        <w:rPr>
          <w:rStyle w:val="NormalTok"/>
        </w:rPr>
        <w:t xml:space="preserve"> ta, e </w:t>
      </w:r>
      <w:r>
        <w:rPr>
          <w:rStyle w:val="OperatorTok"/>
        </w:rPr>
        <w:t xml:space="preserve">&lt;=</w:t>
      </w:r>
      <w:r>
        <w:rPr>
          <w:rStyle w:val="NormalTok"/>
        </w:rPr>
        <w:t xml:space="preserve"> H, L </w:t>
      </w:r>
      <w:r>
        <w:rPr>
          <w:rStyle w:val="OperatorTok"/>
        </w:rPr>
        <w:t xml:space="preserve">&gt;=</w:t>
      </w:r>
      <w:r>
        <w:rPr>
          <w:rStyle w:val="NormalTok"/>
        </w:rPr>
        <w:t xml:space="preserve"> </w:t>
      </w:r>
      <w:r>
        <w:rPr>
          <w:rStyle w:val="DecValTok"/>
        </w:rPr>
        <w:t xml:space="preserve">1</w:t>
      </w:r>
      <w:r>
        <w:rPr>
          <w:rStyle w:val="NormalTok"/>
        </w:rPr>
        <w:t xml:space="preserve">, L </w:t>
      </w:r>
      <w:r>
        <w:rPr>
          <w:rStyle w:val="OperatorTok"/>
        </w:rPr>
        <w:t xml:space="preserve">&lt;=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ControlFlowTok"/>
        </w:rPr>
        <w:t xml:space="preserve">return</w:t>
      </w:r>
      <w:r>
        <w:rPr>
          <w:rStyle w:val="NormalTok"/>
        </w:rPr>
        <w:t xml:space="preserve"> ta, F, d, tr, e, L, req, ceil, alpha, bounds</w:t>
      </w:r>
      <w:r>
        <w:br/>
      </w:r>
      <w:r>
        <w:br/>
      </w:r>
      <w:r>
        <w:br/>
      </w:r>
      <w:r>
        <w:rPr>
          <w:rStyle w:val="KeywordTok"/>
        </w:rPr>
        <w:t xml:space="preserve">def</w:t>
      </w:r>
      <w:r>
        <w:rPr>
          <w:rStyle w:val="NormalTok"/>
        </w:rPr>
        <w:t xml:space="preserve"> C1(alpha, ta, F):</w:t>
      </w:r>
      <w:r>
        <w:br/>
      </w:r>
      <w:r>
        <w:rPr>
          <w:rStyle w:val="NormalTok"/>
        </w:rPr>
        <w:t xml:space="preserve">    </w:t>
      </w:r>
      <w:r>
        <w:rPr>
          <w:rStyle w:val="ControlFlowTok"/>
        </w:rPr>
        <w:t xml:space="preserve">return</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C2(alpha, req, tr, d):</w:t>
      </w:r>
      <w:r>
        <w:br/>
      </w:r>
      <w:r>
        <w:rPr>
          <w:rStyle w:val="NormalTok"/>
        </w:rPr>
        <w:t xml:space="preserve">    </w:t>
      </w:r>
      <w:r>
        <w:rPr>
          <w:rStyle w:val="ControlFlowTok"/>
        </w:rPr>
        <w:t xml:space="preserve">return</w:t>
      </w:r>
      <w:r>
        <w:rPr>
          <w:rStyle w:val="NormalTok"/>
        </w:rPr>
        <w:t xml:space="preserve"> And([Implies(And(req, t </w:t>
      </w:r>
      <w:r>
        <w:rPr>
          <w:rStyle w:val="OperatorTok"/>
        </w:rPr>
        <w:t xml:space="preserve">&gt;=</w:t>
      </w:r>
      <w:r>
        <w:rPr>
          <w:rStyle w:val="NormalTok"/>
        </w:rPr>
        <w:t xml:space="preserve"> tr </w:t>
      </w:r>
      <w:r>
        <w:rPr>
          <w:rStyle w:val="OperatorTok"/>
        </w:rPr>
        <w:t xml:space="preserve">+</w:t>
      </w:r>
      <w:r>
        <w:rPr>
          <w:rStyle w:val="NormalTok"/>
        </w:rPr>
        <w:t xml:space="preserve"> d),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C3(alpha, ceil, e, L):</w:t>
      </w:r>
      <w:r>
        <w:br/>
      </w:r>
      <w:r>
        <w:rPr>
          <w:rStyle w:val="NormalTok"/>
        </w:rPr>
        <w:t xml:space="preserve">    </w:t>
      </w:r>
      <w:r>
        <w:rPr>
          <w:rStyle w:val="ControlFlowTok"/>
        </w:rPr>
        <w:t xml:space="preserve">return</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check(name, formula):</w:t>
      </w:r>
      <w:r>
        <w:br/>
      </w:r>
      <w:r>
        <w:rPr>
          <w:rStyle w:val="NormalTok"/>
        </w:rPr>
        <w:t xml:space="preserve">    s </w:t>
      </w:r>
      <w:r>
        <w:rPr>
          <w:rStyle w:val="OperatorTok"/>
        </w:rPr>
        <w:t xml:space="preserve">=</w:t>
      </w:r>
      <w:r>
        <w:rPr>
          <w:rStyle w:val="NormalTok"/>
        </w:rPr>
        <w:t xml:space="preserve"> Solver()</w:t>
      </w:r>
      <w:r>
        <w:br/>
      </w:r>
      <w:r>
        <w:rPr>
          <w:rStyle w:val="NormalTok"/>
        </w:rPr>
        <w:t xml:space="preserve">    s.add(formula)</w:t>
      </w:r>
      <w:r>
        <w:br/>
      </w:r>
      <w:r>
        <w:rPr>
          <w:rStyle w:val="NormalTok"/>
        </w:rPr>
        <w:t xml:space="preserve">    r </w:t>
      </w:r>
      <w:r>
        <w:rPr>
          <w:rStyle w:val="OperatorTok"/>
        </w:rPr>
        <w:t xml:space="preserve">=</w:t>
      </w:r>
      <w:r>
        <w:rPr>
          <w:rStyle w:val="NormalTok"/>
        </w:rPr>
        <w:t xml:space="preserve"> s.check()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:&lt;74}</w:t>
      </w:r>
      <w:r>
        <w:rPr>
          <w:rStyle w:val="SpecialStringTok"/>
        </w:rPr>
        <w:t xml:space="preserve"> </w:t>
      </w:r>
      <w:r>
        <w:rPr>
          <w:rStyle w:val="SpecialCharTok"/>
        </w:rPr>
        <w:t xml:space="preserve">{</w:t>
      </w:r>
      <w:r>
        <w:rPr>
          <w:rStyle w:val="StringTok"/>
        </w:rPr>
        <w:t xml:space="preserve">'unsat (no counterexample)'</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unsat </w:t>
      </w:r>
      <w:r>
        <w:rPr>
          <w:rStyle w:val="ControlFlowTok"/>
        </w:rPr>
        <w:t xml:space="preserve">else</w:t>
      </w:r>
      <w:r>
        <w:rPr>
          <w:rStyle w:val="NormalTok"/>
        </w:rPr>
        <w:t xml:space="preserve"> </w:t>
      </w:r>
      <w:r>
        <w:rPr>
          <w:rStyle w:val="StringTok"/>
        </w:rPr>
        <w:t xml:space="preserve">'SAT: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(s.model())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unsat</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SMT CHECK OF PROPOSITIONS 1-3 (Z3)"</w:t>
      </w:r>
      <w:r>
        <w:rPr>
          <w:rStyle w:val="NormalTok"/>
        </w:rPr>
        <w:t xml:space="preserve">.center(</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f"bounds: t_a 0..12, F 1..120, delta 1..3, t_r and e in [t_a, </w:t>
      </w:r>
      <w:r>
        <w:rPr>
          <w:rStyle w:val="SpecialCharTok"/>
        </w:rPr>
        <w:t xml:space="preserve">{</w:t>
      </w:r>
      <w:r>
        <w:rPr>
          <w:rStyle w:val="NormalTok"/>
        </w:rPr>
        <w:t xml:space="preserve">H</w:t>
      </w:r>
      <w:r>
        <w:rPr>
          <w:rStyle w:val="SpecialCharTok"/>
        </w:rPr>
        <w:t xml:space="preserve">}</w:t>
      </w:r>
      <w:r>
        <w:rPr>
          <w:rStyle w:val="SpecialStringTok"/>
        </w:rPr>
        <w:t xml:space="preserve">], L 1..120, horizon </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w:t>
      </w:r>
      <w:r>
        <w:br/>
      </w:r>
      <w:r>
        <w:rPr>
          <w:rStyle w:val="NormalTok"/>
        </w:rPr>
        <w:t xml:space="preserve">    ok </w:t>
      </w:r>
      <w:r>
        <w:rPr>
          <w:rStyle w:val="OperatorTok"/>
        </w:rPr>
        <w:t xml:space="preserve">=</w:t>
      </w:r>
      <w:r>
        <w:rPr>
          <w:rStyle w:val="NormalTok"/>
        </w:rPr>
        <w:t xml:space="preserve"> []</w:t>
      </w:r>
      <w:r>
        <w:br/>
      </w:r>
      <w:r>
        <w:rPr>
          <w:rStyle w:val="NormalTok"/>
        </w:rPr>
        <w:t xml:space="preserve">    ta, F, d, tr, e, L, req, ceil, alpha, B </w:t>
      </w:r>
      <w:r>
        <w:rPr>
          <w:rStyle w:val="OperatorTok"/>
        </w:rPr>
        <w:t xml:space="preserve">=</w:t>
      </w:r>
      <w:r>
        <w:rPr>
          <w:rStyle w:val="NormalTok"/>
        </w:rPr>
        <w:t xml:space="preserve"> record()</w:t>
      </w:r>
      <w:r>
        <w:br/>
      </w:r>
      <w:r>
        <w:br/>
      </w:r>
      <w:r>
        <w:rPr>
          <w:rStyle w:val="NormalTok"/>
        </w:rPr>
        <w:t xml:space="preserve">    </w:t>
      </w:r>
      <w:r>
        <w:rPr>
          <w:rStyle w:val="CommentTok"/>
        </w:rPr>
        <w:t xml:space="preserve"># Proposition 1, infeasibility direction: if a deadline falls inside the window,</w:t>
      </w:r>
      <w:r>
        <w:br/>
      </w:r>
      <w:r>
        <w:rPr>
          <w:rStyle w:val="NormalTok"/>
        </w:rPr>
        <w:t xml:space="preserve">    </w:t>
      </w:r>
      <w:r>
        <w:rPr>
          <w:rStyle w:val="CommentTok"/>
        </w:rPr>
        <w:t xml:space="preserve"># no accessibility trajectory satisfies C1, C2 and C3 under Semantics I.</w:t>
      </w:r>
      <w:r>
        <w:br/>
      </w:r>
      <w:r>
        <w:rPr>
          <w:rStyle w:val="NormalTok"/>
        </w:rPr>
        <w:t xml:space="preserve">    inside </w:t>
      </w:r>
      <w:r>
        <w:rPr>
          <w:rStyle w:val="OperatorTok"/>
        </w:rPr>
        <w:t xml:space="preserve">=</w:t>
      </w:r>
      <w:r>
        <w:rPr>
          <w:rStyle w:val="NormalTok"/>
        </w:rPr>
        <w:t xml:space="preserve"> Or(And(req, tr </w:t>
      </w:r>
      <w:r>
        <w:rPr>
          <w:rStyle w:val="OperatorTok"/>
        </w:rPr>
        <w:t xml:space="preserve">+</w:t>
      </w:r>
      <w:r>
        <w:rPr>
          <w:rStyle w:val="NormalTok"/>
        </w:rPr>
        <w:t xml:space="preserve"> d </w:t>
      </w:r>
      <w:r>
        <w:rPr>
          <w:rStyle w:val="OperatorTok"/>
        </w:rPr>
        <w:t xml:space="preserve">&lt;=</w:t>
      </w:r>
      <w:r>
        <w:rPr>
          <w:rStyle w:val="NormalTok"/>
        </w:rPr>
        <w:t xml:space="preserve"> ta </w:t>
      </w:r>
      <w:r>
        <w:rPr>
          <w:rStyle w:val="OperatorTok"/>
        </w:rPr>
        <w:t xml:space="preserve">+</w:t>
      </w:r>
      <w:r>
        <w:rPr>
          <w:rStyle w:val="NormalTok"/>
        </w:rPr>
        <w:t xml:space="preserve"> F), And(ceil,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w:t>
      </w:r>
      <w:r>
        <w:br/>
      </w:r>
      <w:r>
        <w:rPr>
          <w:rStyle w:val="NormalTok"/>
        </w:rPr>
        <w:t xml:space="preserve">    ok.append(check(</w:t>
      </w:r>
      <w:r>
        <w:rPr>
          <w:rStyle w:val="StringTok"/>
        </w:rPr>
        <w:t xml:space="preserve">"P1  deadline inside window =&gt; no trajectory satisfies C1-C3 (Sem I)"</w:t>
      </w:r>
      <w:r>
        <w:rPr>
          <w:rStyle w:val="NormalTok"/>
        </w:rPr>
        <w:t xml:space="preserve">,</w:t>
      </w:r>
      <w:r>
        <w:br/>
      </w:r>
      <w:r>
        <w:rPr>
          <w:rStyle w:val="NormalTok"/>
        </w:rPr>
        <w:t xml:space="preserve">                    And(B, inside, C1(alpha, ta, F), C2(alpha, req, tr, d), C3(alpha, ceil, e, L))))</w:t>
      </w:r>
      <w:r>
        <w:br/>
      </w:r>
      <w:r>
        <w:br/>
      </w:r>
      <w:r>
        <w:rPr>
          <w:rStyle w:val="NormalTok"/>
        </w:rPr>
        <w:t xml:space="preserve">    </w:t>
      </w:r>
      <w:r>
        <w:rPr>
          <w:rStyle w:val="CommentTok"/>
        </w:rPr>
        <w:t xml:space="preserve"># Proposition 1, boundary: if no deadline falls inside the window, the trajectory</w:t>
      </w:r>
      <w:r>
        <w:br/>
      </w:r>
      <w:r>
        <w:rPr>
          <w:rStyle w:val="NormalTok"/>
        </w:rPr>
        <w:t xml:space="preserve">    </w:t>
      </w:r>
      <w:r>
        <w:rPr>
          <w:rStyle w:val="CommentTok"/>
        </w:rPr>
        <w:t xml:space="preserve"># "accessible until the earliest deadline" satisfies all three. Counterexample = it fails.</w:t>
      </w:r>
      <w:r>
        <w:br/>
      </w:r>
      <w:r>
        <w:rPr>
          <w:rStyle w:val="NormalTok"/>
        </w:rPr>
        <w:t xml:space="preserve">    dl </w:t>
      </w:r>
      <w:r>
        <w:rPr>
          <w:rStyle w:val="OperatorTok"/>
        </w:rPr>
        <w:t xml:space="preserve">=</w:t>
      </w:r>
      <w:r>
        <w:rPr>
          <w:rStyle w:val="NormalTok"/>
        </w:rPr>
        <w:t xml:space="preserve"> If(req, If(ceil, If(tr </w:t>
      </w:r>
      <w:r>
        <w:rPr>
          <w:rStyle w:val="OperatorTok"/>
        </w:rPr>
        <w:t xml:space="preserve">+</w:t>
      </w:r>
      <w:r>
        <w:rPr>
          <w:rStyle w:val="NormalTok"/>
        </w:rPr>
        <w:t xml:space="preserve"> d </w:t>
      </w:r>
      <w:r>
        <w:rPr>
          <w:rStyle w:val="OperatorTok"/>
        </w:rPr>
        <w:t xml:space="preserve">&lt;</w:t>
      </w:r>
      <w:r>
        <w:rPr>
          <w:rStyle w:val="NormalTok"/>
        </w:rPr>
        <w:t xml:space="preserve"> e </w:t>
      </w:r>
      <w:r>
        <w:rPr>
          <w:rStyle w:val="OperatorTok"/>
        </w:rPr>
        <w:t xml:space="preserve">+</w:t>
      </w:r>
      <w:r>
        <w:rPr>
          <w:rStyle w:val="NormalTok"/>
        </w:rPr>
        <w:t xml:space="preserve"> L, tr </w:t>
      </w:r>
      <w:r>
        <w:rPr>
          <w:rStyle w:val="OperatorTok"/>
        </w:rPr>
        <w:t xml:space="preserve">+</w:t>
      </w:r>
      <w:r>
        <w:rPr>
          <w:rStyle w:val="NormalTok"/>
        </w:rPr>
        <w:t xml:space="preserve"> d, e </w:t>
      </w:r>
      <w:r>
        <w:rPr>
          <w:rStyle w:val="OperatorTok"/>
        </w:rPr>
        <w:t xml:space="preserve">+</w:t>
      </w:r>
      <w:r>
        <w:rPr>
          <w:rStyle w:val="NormalTok"/>
        </w:rPr>
        <w:t xml:space="preserve"> L), tr </w:t>
      </w:r>
      <w:r>
        <w:rPr>
          <w:rStyle w:val="OperatorTok"/>
        </w:rPr>
        <w:t xml:space="preserve">+</w:t>
      </w:r>
      <w:r>
        <w:rPr>
          <w:rStyle w:val="NormalTok"/>
        </w:rPr>
        <w:t xml:space="preserve"> d), If(ceil, e </w:t>
      </w:r>
      <w:r>
        <w:rPr>
          <w:rStyle w:val="OperatorTok"/>
        </w:rPr>
        <w:t xml:space="preserve">+</w:t>
      </w:r>
      <w:r>
        <w:rPr>
          <w:rStyle w:val="NormalTok"/>
        </w:rPr>
        <w:t xml:space="preserve"> L,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witness </w:t>
      </w:r>
      <w:r>
        <w:rPr>
          <w:rStyle w:val="OperatorTok"/>
        </w:rPr>
        <w:t xml:space="preserve">=</w:t>
      </w:r>
      <w:r>
        <w:rPr>
          <w:rStyle w:val="NormalTok"/>
        </w:rPr>
        <w:t xml:space="preserve"> [t </w:t>
      </w:r>
      <w:r>
        <w:rPr>
          <w:rStyle w:val="OperatorTok"/>
        </w:rPr>
        <w:t xml:space="preserve">&lt;</w:t>
      </w:r>
      <w:r>
        <w:rPr>
          <w:rStyle w:val="NormalTok"/>
        </w:rPr>
        <w:t xml:space="preserve"> dl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"P1  no deadline inside window =&gt; witness trajectory satisfies C1-C3"</w:t>
      </w:r>
      <w:r>
        <w:rPr>
          <w:rStyle w:val="NormalTok"/>
        </w:rPr>
        <w:t xml:space="preserve">,</w:t>
      </w:r>
      <w:r>
        <w:br/>
      </w:r>
      <w:r>
        <w:rPr>
          <w:rStyle w:val="NormalTok"/>
        </w:rPr>
        <w:t xml:space="preserve">                    And(B, Not(inside),</w:t>
      </w:r>
      <w:r>
        <w:br/>
      </w:r>
      <w:r>
        <w:rPr>
          <w:rStyle w:val="NormalTok"/>
        </w:rPr>
        <w:t xml:space="preserve">                        Not(And(C1(witness, ta, F), C2(witness, req, tr, d), C3(witness, ceil, e, L))))))</w:t>
      </w:r>
      <w:r>
        <w:br/>
      </w:r>
      <w:r>
        <w:br/>
      </w:r>
      <w:r>
        <w:rPr>
          <w:rStyle w:val="NormalTok"/>
        </w:rPr>
        <w:t xml:space="preserve">    </w:t>
      </w:r>
      <w:r>
        <w:rPr>
          <w:rStyle w:val="CommentTok"/>
        </w:rPr>
        <w:t xml:space="preserve"># Proposition 2: under Semantics II the constructive trajectory satisfies C1, C2 and C3</w:t>
      </w:r>
      <w:r>
        <w:br/>
      </w:r>
      <w:r>
        <w:rPr>
          <w:rStyle w:val="NormalTok"/>
        </w:rPr>
        <w:t xml:space="preserve">    </w:t>
      </w:r>
      <w:r>
        <w:rPr>
          <w:rStyle w:val="CommentTok"/>
        </w:rPr>
        <w:t xml:space="preserve"># for every arrival pattern and floor. The construction keeps m_acc and c, sets alpha = 0</w:t>
      </w:r>
      <w:r>
        <w:br/>
      </w:r>
      <w:r>
        <w:rPr>
          <w:rStyle w:val="NormalTok"/>
        </w:rPr>
        <w:t xml:space="preserve">    </w:t>
      </w:r>
      <w:r>
        <w:rPr>
          <w:rStyle w:val="CommentTok"/>
        </w:rPr>
        <w:t xml:space="preserve"># and logs iota from t_I = earliest deadline, and, where a ceiling applies (SPE records</w:t>
      </w:r>
      <w:r>
        <w:br/>
      </w:r>
      <w:r>
        <w:rPr>
          <w:rStyle w:val="NormalTok"/>
        </w:rPr>
        <w:t xml:space="preserve">    </w:t>
      </w:r>
      <w:r>
        <w:rPr>
          <w:rStyle w:val="CommentTok"/>
        </w:rPr>
        <w:t xml:space="preserve"># whose subject fields it reaches), sets beta = 0 and logs iota_subj from the ceiling.</w:t>
      </w:r>
      <w:r>
        <w:br/>
      </w:r>
      <w:r>
        <w:rPr>
          <w:rStyle w:val="NormalTok"/>
        </w:rPr>
        <w:t xml:space="preserve">    tI </w:t>
      </w:r>
      <w:r>
        <w:rPr>
          <w:rStyle w:val="OperatorTok"/>
        </w:rPr>
        <w:t xml:space="preserve">=</w:t>
      </w:r>
      <w:r>
        <w:rPr>
          <w:rStyle w:val="NormalTok"/>
        </w:rPr>
        <w:t xml:space="preserve"> dl</w:t>
      </w:r>
      <w:r>
        <w:br/>
      </w:r>
      <w:r>
        <w:rPr>
          <w:rStyle w:val="NormalTok"/>
        </w:rPr>
        <w:t xml:space="preserve">    traj </w:t>
      </w:r>
      <w:r>
        <w:rPr>
          <w:rStyle w:val="OperatorTok"/>
        </w:rPr>
        <w:t xml:space="preserve">=</w:t>
      </w:r>
      <w:r>
        <w:rPr>
          <w:rStyle w:val="NormalTok"/>
        </w:rPr>
        <w:t xml:space="preserve">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rPr>
          <w:rStyle w:val="NormalTok"/>
        </w:rPr>
        <w:t xml:space="preserve">    </w:t>
      </w:r>
      <w:r>
        <w:rPr>
          <w:rStyle w:val="KeywordTok"/>
        </w:rPr>
        <w:t xml:space="preserve">def</w:t>
      </w:r>
      <w:r>
        <w:rPr>
          <w:rStyle w:val="NormalTok"/>
        </w:rPr>
        <w:t xml:space="preserve"> sem2(macc, c, iota, beta, iota_s):</w:t>
      </w:r>
      <w:r>
        <w:br/>
      </w:r>
      <w:r>
        <w:rPr>
          <w:rStyle w:val="NormalTok"/>
        </w:rPr>
        <w:t xml:space="preserve">        V2 </w:t>
      </w:r>
      <w:r>
        <w:rPr>
          <w:rStyle w:val="OperatorTok"/>
        </w:rPr>
        <w:t xml:space="preserve">=</w:t>
      </w:r>
      <w:r>
        <w:rPr>
          <w:rStyle w:val="NormalTok"/>
        </w:rPr>
        <w:t xml:space="preserve"> [And(macc[t], c[t], Or(traj[t], iota[t]), Or(beta[t], iota_s[t]))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c1 </w:t>
      </w:r>
      <w:r>
        <w:rPr>
          <w:rStyle w:val="OperatorTok"/>
        </w:rPr>
        <w:t xml:space="preserve">=</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V2[t])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c3b </w:t>
      </w:r>
      <w:r>
        <w:rPr>
          <w:rStyle w:val="OperatorTok"/>
        </w:rPr>
        <w:t xml:space="preserve">=</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Not(beta[t]))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w:t>
      </w:r>
      <w:r>
        <w:rPr>
          <w:rStyle w:val="ControlFlowTok"/>
        </w:rPr>
        <w:t xml:space="preserve">return</w:t>
      </w:r>
      <w:r>
        <w:rPr>
          <w:rStyle w:val="NormalTok"/>
        </w:rPr>
        <w:t xml:space="preserve"> And(c1, C2(traj, req, tr, d), C3(traj, ceil, e, L), c3b)</w:t>
      </w:r>
      <w:r>
        <w:br/>
      </w:r>
      <w:r>
        <w:br/>
      </w:r>
      <w:r>
        <w:rPr>
          <w:rStyle w:val="NormalTok"/>
        </w:rPr>
        <w:t xml:space="preserve">    keep </w:t>
      </w:r>
      <w:r>
        <w:rPr>
          <w:rStyle w:val="OperatorTok"/>
        </w:rPr>
        <w:t xml:space="preserve">=</w:t>
      </w:r>
      <w:r>
        <w:rPr>
          <w:rStyle w:val="NormalTok"/>
        </w:rPr>
        <w:t xml:space="preserve"> [</w:t>
      </w:r>
      <w:r>
        <w:rPr>
          <w:rStyle w:val="VariableTok"/>
        </w:rPr>
        <w:t xml:space="preserve">True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 </w:t>
      </w:r>
      <w:r>
        <w:rPr>
          <w:rStyle w:val="OperatorTok"/>
        </w:rPr>
        <w:t xml:space="preserve">=</w:t>
      </w:r>
      <w:r>
        <w:rPr>
          <w:rStyle w:val="NormalTok"/>
        </w:rPr>
        <w:t xml:space="preserve"> [t </w:t>
      </w:r>
      <w:r>
        <w:rPr>
          <w:rStyle w:val="OperatorTok"/>
        </w:rPr>
        <w:t xml:space="preserve">&gt;=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beta </w:t>
      </w:r>
      <w:r>
        <w:rPr>
          <w:rStyle w:val="OperatorTok"/>
        </w:rPr>
        <w:t xml:space="preserve">=</w:t>
      </w:r>
      <w:r>
        <w:rPr>
          <w:rStyle w:val="NormalTok"/>
        </w:rPr>
        <w:t xml:space="preserve"> [Or(Not(ceil),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iota_s </w:t>
      </w:r>
      <w:r>
        <w:rPr>
          <w:rStyle w:val="OperatorTok"/>
        </w:rPr>
        <w:t xml:space="preserve">=</w:t>
      </w:r>
      <w:r>
        <w:rPr>
          <w:rStyle w:val="NormalTok"/>
        </w:rPr>
        <w:t xml:space="preserve"> [And(ceil, t </w:t>
      </w:r>
      <w:r>
        <w:rPr>
          <w:rStyle w:val="OperatorTok"/>
        </w:rPr>
        <w:t xml:space="preserve">&gt;=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"P2  constructive trajectory satisfies C1 (Sem II), C2, C3 for all inputs"</w:t>
      </w:r>
      <w:r>
        <w:rPr>
          <w:rStyle w:val="NormalTok"/>
        </w:rPr>
        <w:t xml:space="preserve">,</w:t>
      </w:r>
      <w:r>
        <w:br/>
      </w:r>
      <w:r>
        <w:rPr>
          <w:rStyle w:val="NormalTok"/>
        </w:rPr>
        <w:t xml:space="preserve">                    And(B, Not(sem2(keep, keep, iota, beta, iota_s)))))</w:t>
      </w:r>
      <w:r>
        <w:br/>
      </w:r>
      <w:r>
        <w:rPr>
          <w:rStyle w:val="NormalTok"/>
        </w:rPr>
        <w:t xml:space="preserve">    </w:t>
      </w:r>
      <w:r>
        <w:rPr>
          <w:rStyle w:val="CommentTok"/>
        </w:rPr>
        <w:t xml:space="preserve"># Mutations of the construction must be refuted (sat): no invalidation entry; the</w:t>
      </w:r>
      <w:r>
        <w:br/>
      </w:r>
      <w:r>
        <w:rPr>
          <w:rStyle w:val="NormalTok"/>
        </w:rPr>
        <w:t xml:space="preserve">    </w:t>
      </w:r>
      <w:r>
        <w:rPr>
          <w:rStyle w:val="CommentTok"/>
        </w:rPr>
        <w:t xml:space="preserve"># commitment removed at t_I; the subject link removed without its entry.</w:t>
      </w:r>
      <w:r>
        <w:br/>
      </w:r>
      <w:r>
        <w:rPr>
          <w:rStyle w:val="NormalTok"/>
        </w:rPr>
        <w:t xml:space="preserve">    mut2 </w:t>
      </w:r>
      <w:r>
        <w:rPr>
          <w:rStyle w:val="OperatorTok"/>
        </w:rPr>
        <w:t xml:space="preserve">=</w:t>
      </w:r>
      <w:r>
        <w:rPr>
          <w:rStyle w:val="NormalTok"/>
        </w:rPr>
        <w:t xml:space="preserve"> [Solver()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mut2[</w:t>
      </w:r>
      <w:r>
        <w:rPr>
          <w:rStyle w:val="DecValTok"/>
        </w:rPr>
        <w:t xml:space="preserve">0</w:t>
      </w:r>
      <w:r>
        <w:rPr>
          <w:rStyle w:val="NormalTok"/>
        </w:rPr>
        <w:t xml:space="preserve">].add(B, Not(sem2(keep, keep,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 beta, iota_s)))</w:t>
      </w:r>
      <w:r>
        <w:br/>
      </w:r>
      <w:r>
        <w:rPr>
          <w:rStyle w:val="NormalTok"/>
        </w:rPr>
        <w:t xml:space="preserve">    mut2[</w:t>
      </w:r>
      <w:r>
        <w:rPr>
          <w:rStyle w:val="DecValTok"/>
        </w:rPr>
        <w:t xml:space="preserve">1</w:t>
      </w:r>
      <w:r>
        <w:rPr>
          <w:rStyle w:val="NormalTok"/>
        </w:rPr>
        <w:t xml:space="preserve">].add(B, Not(sem2(keep,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 iota, beta, iota_s)))</w:t>
      </w:r>
      <w:r>
        <w:br/>
      </w:r>
      <w:r>
        <w:rPr>
          <w:rStyle w:val="NormalTok"/>
        </w:rPr>
        <w:t xml:space="preserve">    mut2[</w:t>
      </w:r>
      <w:r>
        <w:rPr>
          <w:rStyle w:val="DecValTok"/>
        </w:rPr>
        <w:t xml:space="preserve">2</w:t>
      </w:r>
      <w:r>
        <w:rPr>
          <w:rStyle w:val="NormalTok"/>
        </w:rPr>
        <w:t xml:space="preserve">].add(B, Not(sem2(keep, keep, iota, beta,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m2ok </w:t>
      </w:r>
      <w:r>
        <w:rPr>
          <w:rStyle w:val="OperatorTok"/>
        </w:rPr>
        <w:t xml:space="preserve">=</w:t>
      </w:r>
      <w:r>
        <w:rPr>
          <w:rStyle w:val="NormalTok"/>
        </w:rPr>
        <w:t xml:space="preserve"> </w:t>
      </w:r>
      <w:r>
        <w:rPr>
          <w:rStyle w:val="BuiltInTok"/>
        </w:rPr>
        <w:t xml:space="preserve">all</w:t>
      </w:r>
      <w:r>
        <w:rPr>
          <w:rStyle w:val="NormalTok"/>
        </w:rPr>
        <w:t xml:space="preserve">(m.check() </w:t>
      </w:r>
      <w:r>
        <w:rPr>
          <w:rStyle w:val="OperatorTok"/>
        </w:rPr>
        <w:t xml:space="preserve">==</w:t>
      </w:r>
      <w:r>
        <w:rPr>
          <w:rStyle w:val="NormalTok"/>
        </w:rPr>
        <w:t xml:space="preserve"> sat </w:t>
      </w:r>
      <w:r>
        <w:rPr>
          <w:rStyle w:val="ControlFlowTok"/>
        </w:rPr>
        <w:t xml:space="preserve">for</w:t>
      </w:r>
      <w:r>
        <w:rPr>
          <w:rStyle w:val="NormalTok"/>
        </w:rPr>
        <w:t xml:space="preserve"> m </w:t>
      </w:r>
      <w:r>
        <w:rPr>
          <w:rStyle w:val="KeywordTok"/>
        </w:rPr>
        <w:t xml:space="preserve">in</w:t>
      </w:r>
      <w:r>
        <w:rPr>
          <w:rStyle w:val="NormalTok"/>
        </w:rPr>
        <w:t xml:space="preserve"> mut2)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construction without iota / without c / without iota_subj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counterexamples found (as expected)'</w:t>
      </w:r>
      <w:r>
        <w:rPr>
          <w:rStyle w:val="NormalTok"/>
        </w:rPr>
        <w:t xml:space="preserve"> </w:t>
      </w:r>
      <w:r>
        <w:rPr>
          <w:rStyle w:val="ControlFlowTok"/>
        </w:rPr>
        <w:t xml:space="preserve">if</w:t>
      </w:r>
      <w:r>
        <w:rPr>
          <w:rStyle w:val="NormalTok"/>
        </w:rPr>
        <w:t xml:space="preserve"> m2ok </w:t>
      </w:r>
      <w:r>
        <w:rPr>
          <w:rStyle w:val="ControlFlowTok"/>
        </w:rPr>
        <w:t xml:space="preserve">else</w:t>
      </w:r>
      <w:r>
        <w:rPr>
          <w:rStyle w:val="NormalTok"/>
        </w:rPr>
        <w:t xml:space="preserve"> </w:t>
      </w:r>
      <w:r>
        <w:rPr>
          <w:rStyle w:val="StringTok"/>
        </w:rPr>
        <w:t xml:space="preserve">'UNSAT: check insensitive'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Proposition 3: floor F from t_a, ceiling L from e &gt;= t_a, Semantics I.</w:t>
      </w:r>
      <w:r>
        <w:br/>
      </w:r>
      <w:r>
        <w:rPr>
          <w:rStyle w:val="NormalTok"/>
        </w:rPr>
        <w:t xml:space="preserve">    </w:t>
      </w:r>
      <w:r>
        <w:rPr>
          <w:rStyle w:val="CommentTok"/>
        </w:rPr>
        <w:t xml:space="preserve"># (a) collision whenever e + L &lt;= t_a + F: no trajectory satisfies floor and ceiling.</w:t>
      </w:r>
      <w:r>
        <w:br/>
      </w:r>
      <w:r>
        <w:rPr>
          <w:rStyle w:val="NormalTok"/>
        </w:rPr>
        <w:t xml:space="preserve">    both </w:t>
      </w:r>
      <w:r>
        <w:rPr>
          <w:rStyle w:val="OperatorTok"/>
        </w:rPr>
        <w:t xml:space="preserve">=</w:t>
      </w:r>
      <w:r>
        <w:rPr>
          <w:rStyle w:val="NormalTok"/>
        </w:rPr>
        <w:t xml:space="preserve"> And(C1(alpha, ta, F), C3(alpha, </w:t>
      </w:r>
      <w:r>
        <w:rPr>
          <w:rStyle w:val="VariableTok"/>
        </w:rPr>
        <w:t xml:space="preserve">True</w:t>
      </w:r>
      <w:r>
        <w:rPr>
          <w:rStyle w:val="NormalTok"/>
        </w:rPr>
        <w:t xml:space="preserve">, e, L))</w:t>
      </w:r>
      <w:r>
        <w:br/>
      </w:r>
      <w:r>
        <w:rPr>
          <w:rStyle w:val="NormalTok"/>
        </w:rPr>
        <w:t xml:space="preserve">    ok.append(check(</w:t>
      </w:r>
      <w:r>
        <w:rPr>
          <w:rStyle w:val="StringTok"/>
        </w:rPr>
        <w:t xml:space="preserve">"P3  e + L &lt;= t_a + F =&gt; floor and ceiling not jointly satisfiable"</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both)))</w:t>
      </w:r>
      <w:r>
        <w:br/>
      </w:r>
      <w:r>
        <w:rPr>
          <w:rStyle w:val="NormalTok"/>
        </w:rPr>
        <w:t xml:space="preserve">    </w:t>
      </w:r>
      <w:r>
        <w:rPr>
          <w:rStyle w:val="CommentTok"/>
        </w:rPr>
        <w:t xml:space="preserve"># (b) no collision whenever e + L &gt; t_a + F: accessible-until-(e+L) satisfies both.</w:t>
      </w:r>
      <w:r>
        <w:br/>
      </w:r>
      <w:r>
        <w:rPr>
          <w:rStyle w:val="NormalTok"/>
        </w:rPr>
        <w:t xml:space="preserve">    w3 </w:t>
      </w:r>
      <w:r>
        <w:rPr>
          <w:rStyle w:val="OperatorTok"/>
        </w:rPr>
        <w:t xml:space="preserve">=</w:t>
      </w:r>
      <w:r>
        <w:rPr>
          <w:rStyle w:val="NormalTok"/>
        </w:rPr>
        <w:t xml:space="preserve">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"P3  e + L &gt; t_a + F =&gt;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 same anchor (e = t_a): satisfiable for the record iff L &gt; F.</w:t>
      </w:r>
      <w:r>
        <w:br/>
      </w:r>
      <w:r>
        <w:rPr>
          <w:rStyle w:val="NormalTok"/>
        </w:rPr>
        <w:t xml:space="preserve">    ok.append(check(</w:t>
      </w:r>
      <w:r>
        <w:rPr>
          <w:rStyle w:val="StringTok"/>
        </w:rPr>
        <w:t xml:space="preserve">"P3(i)  e = t_a: jointly satisfiable only if L &gt; F"</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&lt;=</w:t>
      </w:r>
      <w:r>
        <w:rPr>
          <w:rStyle w:val="NormalTok"/>
        </w:rPr>
        <w:t xml:space="preserve"> F, both)))</w:t>
      </w:r>
      <w:r>
        <w:br/>
      </w:r>
      <w:r>
        <w:rPr>
          <w:rStyle w:val="NormalTok"/>
        </w:rPr>
        <w:t xml:space="preserve">    ok.append(check(</w:t>
      </w:r>
      <w:r>
        <w:rPr>
          <w:rStyle w:val="StringTok"/>
        </w:rPr>
        <w:t xml:space="preserve">"P3(i)  e = t_a and L &gt; F: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&gt;</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(ii) external anchor with L &lt;= F: collision exactly when e - t_a &lt;= F - L.</w:t>
      </w:r>
      <w:r>
        <w:br/>
      </w:r>
      <w:r>
        <w:rPr>
          <w:rStyle w:val="NormalTok"/>
        </w:rPr>
        <w:t xml:space="preserve">    ok.append(check(</w:t>
      </w:r>
      <w:r>
        <w:rPr>
          <w:rStyle w:val="StringTok"/>
        </w:rPr>
        <w:t xml:space="preserve">"P3(ii) L &lt;= F, e - t_a &lt;= F - L =&gt; collision"</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&lt;=</w:t>
      </w:r>
      <w:r>
        <w:rPr>
          <w:rStyle w:val="NormalTok"/>
        </w:rPr>
        <w:t xml:space="preserve"> F </w:t>
      </w:r>
      <w:r>
        <w:rPr>
          <w:rStyle w:val="OperatorTok"/>
        </w:rPr>
        <w:t xml:space="preserve">-</w:t>
      </w:r>
      <w:r>
        <w:rPr>
          <w:rStyle w:val="NormalTok"/>
        </w:rPr>
        <w:t xml:space="preserve"> L, both)))</w:t>
      </w:r>
      <w:r>
        <w:br/>
      </w:r>
      <w:r>
        <w:rPr>
          <w:rStyle w:val="NormalTok"/>
        </w:rPr>
        <w:t xml:space="preserve">    ok.append(check(</w:t>
      </w:r>
      <w:r>
        <w:rPr>
          <w:rStyle w:val="StringTok"/>
        </w:rPr>
        <w:t xml:space="preserve">"P3(ii) L &lt;= F, e - t_a &gt;  F - L =&gt; witness satisfies both"</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&gt;</w:t>
      </w:r>
      <w:r>
        <w:rPr>
          <w:rStyle w:val="NormalTok"/>
        </w:rPr>
        <w:t xml:space="preserve"> F </w:t>
      </w:r>
      <w:r>
        <w:rPr>
          <w:rStyle w:val="OperatorTok"/>
        </w:rPr>
        <w:t xml:space="preserve">-</w:t>
      </w:r>
      <w:r>
        <w:rPr>
          <w:rStyle w:val="NormalTok"/>
        </w:rPr>
        <w:t xml:space="preserve"> L, Not(And(C1(w3, ta, F), C3(w3, </w:t>
      </w:r>
      <w:r>
        <w:rPr>
          <w:rStyle w:val="VariableTok"/>
        </w:rPr>
        <w:t xml:space="preserve">True</w:t>
      </w:r>
      <w:r>
        <w:rPr>
          <w:rStyle w:val="NormalTok"/>
        </w:rPr>
        <w:t xml:space="preserve">, e, L))))))</w:t>
      </w:r>
      <w:r>
        <w:br/>
      </w:r>
      <w:r>
        <w:br/>
      </w:r>
      <w:r>
        <w:rPr>
          <w:rStyle w:val="NormalTok"/>
        </w:rPr>
        <w:t xml:space="preserve">    </w:t>
      </w:r>
      <w:r>
        <w:rPr>
          <w:rStyle w:val="CommentTok"/>
        </w:rPr>
        <w:t xml:space="preserve"># Sanity: the encoding can return sat, so unsat above is not an artefact of a broken model.</w:t>
      </w:r>
      <w:r>
        <w:br/>
      </w:r>
      <w:r>
        <w:rPr>
          <w:rStyle w:val="NormalTok"/>
        </w:rPr>
        <w:t xml:space="preserve">    s </w:t>
      </w:r>
      <w:r>
        <w:rPr>
          <w:rStyle w:val="OperatorTok"/>
        </w:rPr>
        <w:t xml:space="preserve">=</w:t>
      </w:r>
      <w:r>
        <w:rPr>
          <w:rStyle w:val="NormalTok"/>
        </w:rPr>
        <w:t xml:space="preserve"> Solver()</w:t>
      </w:r>
      <w:r>
        <w:rPr>
          <w:rStyle w:val="OperatorTok"/>
        </w:rPr>
        <w:t xml:space="preserve">;</w:t>
      </w:r>
      <w:r>
        <w:rPr>
          <w:rStyle w:val="NormalTok"/>
        </w:rPr>
        <w:t xml:space="preserve"> s.add(B, Not(req), Not(ceil), C1(alpha, ta, F))</w:t>
      </w:r>
      <w:r>
        <w:br/>
      </w:r>
      <w:r>
        <w:rPr>
          <w:rStyle w:val="NormalTok"/>
        </w:rPr>
        <w:t xml:space="preserve">    sanity </w:t>
      </w:r>
      <w:r>
        <w:rPr>
          <w:rStyle w:val="OperatorTok"/>
        </w:rPr>
        <w:t xml:space="preserve">=</w:t>
      </w:r>
      <w:r>
        <w:rPr>
          <w:rStyle w:val="NormalTok"/>
        </w:rPr>
        <w:t xml:space="preserve"> s.check()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'sanity: no request, no ceiling =&gt; some trajectory satisfies C1'</w:t>
      </w:r>
      <w:r>
        <w:rPr>
          <w:rStyle w:val="SpecialCharTok"/>
        </w:rPr>
        <w:t xml:space="preserve">:&lt;74}</w:t>
      </w:r>
      <w:r>
        <w:rPr>
          <w:rStyle w:val="SpecialStringTok"/>
        </w:rPr>
        <w:t xml:space="preserve"> </w:t>
      </w:r>
      <w:r>
        <w:rPr>
          <w:rStyle w:val="SpecialCharTok"/>
        </w:rPr>
        <w:t xml:space="preserve">{</w:t>
      </w:r>
      <w:r>
        <w:rPr>
          <w:rStyle w:val="StringTok"/>
        </w:rPr>
        <w:t xml:space="preserve">'sat (as expected)'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'UNSAT: encoding broken'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Mutation checks: deliberately wrong versions of Proposition 3 must be refuted (sat),</w:t>
      </w:r>
      <w:r>
        <w:br/>
      </w:r>
      <w:r>
        <w:rPr>
          <w:rStyle w:val="NormalTok"/>
        </w:rPr>
        <w:t xml:space="preserve">    </w:t>
      </w:r>
      <w:r>
        <w:rPr>
          <w:rStyle w:val="CommentTok"/>
        </w:rPr>
        <w:t xml:space="preserve"># showing the checks are sensitive to an off-by-one in the condition.</w:t>
      </w:r>
      <w:r>
        <w:br/>
      </w:r>
      <w:r>
        <w:rPr>
          <w:rStyle w:val="NormalTok"/>
        </w:rPr>
        <w:t xml:space="preserve">    m1 </w:t>
      </w:r>
      <w:r>
        <w:rPr>
          <w:rStyle w:val="OperatorTok"/>
        </w:rPr>
        <w:t xml:space="preserve">=</w:t>
      </w:r>
      <w:r>
        <w:rPr>
          <w:rStyle w:val="NormalTok"/>
        </w:rPr>
        <w:t xml:space="preserve"> Solver()</w:t>
      </w:r>
      <w:r>
        <w:rPr>
          <w:rStyle w:val="OperatorTok"/>
        </w:rPr>
        <w:t xml:space="preserve">;</w:t>
      </w:r>
      <w:r>
        <w:rPr>
          <w:rStyle w:val="NormalTok"/>
        </w:rPr>
        <w:t xml:space="preserve"> m1.add(B,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both)       </w:t>
      </w:r>
      <w:r>
        <w:rPr>
          <w:rStyle w:val="CommentTok"/>
        </w:rPr>
        <w:t xml:space="preserve"># claims collision one month too late</w:t>
      </w:r>
      <w:r>
        <w:br/>
      </w:r>
      <w:r>
        <w:rPr>
          <w:rStyle w:val="NormalTok"/>
        </w:rPr>
        <w:t xml:space="preserve">    m2 </w:t>
      </w:r>
      <w:r>
        <w:rPr>
          <w:rStyle w:val="OperatorTok"/>
        </w:rPr>
        <w:t xml:space="preserve">=</w:t>
      </w:r>
      <w:r>
        <w:rPr>
          <w:rStyle w:val="NormalTok"/>
        </w:rPr>
        <w:t xml:space="preserve"> Solver()</w:t>
      </w:r>
      <w:r>
        <w:rPr>
          <w:rStyle w:val="OperatorTok"/>
        </w:rPr>
        <w:t xml:space="preserve">;</w:t>
      </w:r>
      <w:r>
        <w:rPr>
          <w:rStyle w:val="NormalTok"/>
        </w:rPr>
        <w:t xml:space="preserve"> m2.add(B,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Not(And(C1(w3, ta, F), C3(w3, </w:t>
      </w:r>
      <w:r>
        <w:rPr>
          <w:rStyle w:val="VariableTok"/>
        </w:rPr>
        <w:t xml:space="preserve">True</w:t>
      </w:r>
      <w:r>
        <w:rPr>
          <w:rStyle w:val="NormalTok"/>
        </w:rPr>
        <w:t xml:space="preserve">, e, L))))</w:t>
      </w:r>
      <w:r>
        <w:br/>
      </w:r>
      <w:r>
        <w:rPr>
          <w:rStyle w:val="NormalTok"/>
        </w:rPr>
        <w:t xml:space="preserve">    mut </w:t>
      </w:r>
      <w:r>
        <w:rPr>
          <w:rStyle w:val="OperatorTok"/>
        </w:rPr>
        <w:t xml:space="preserve">=</w:t>
      </w:r>
      <w:r>
        <w:rPr>
          <w:rStyle w:val="NormalTok"/>
        </w:rPr>
        <w:t xml:space="preserve"> m1.check() </w:t>
      </w:r>
      <w:r>
        <w:rPr>
          <w:rStyle w:val="OperatorTok"/>
        </w:rPr>
        <w:t xml:space="preserve">==</w:t>
      </w:r>
      <w:r>
        <w:rPr>
          <w:rStyle w:val="NormalTok"/>
        </w:rPr>
        <w:t xml:space="preserve"> sat </w:t>
      </w:r>
      <w:r>
        <w:rPr>
          <w:rStyle w:val="KeywordTok"/>
        </w:rPr>
        <w:t xml:space="preserve">and</w:t>
      </w:r>
      <w:r>
        <w:rPr>
          <w:rStyle w:val="NormalTok"/>
        </w:rPr>
        <w:t xml:space="preserve"> m2.check()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Proposition 3 with an off-by-one condition is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 found (as expected)'</w:t>
      </w:r>
      <w:r>
        <w:rPr>
          <w:rStyle w:val="NormalTok"/>
        </w:rPr>
        <w:t xml:space="preserve"> </w:t>
      </w:r>
      <w:r>
        <w:rPr>
          <w:rStyle w:val="ControlFlowTok"/>
        </w:rPr>
        <w:t xml:space="preserve">if</w:t>
      </w:r>
      <w:r>
        <w:rPr>
          <w:rStyle w:val="NormalTok"/>
        </w:rPr>
        <w:t xml:space="preserve"> mut </w:t>
      </w:r>
      <w:r>
        <w:rPr>
          <w:rStyle w:val="ControlFlowTok"/>
        </w:rPr>
        <w:t xml:space="preserve">else</w:t>
      </w:r>
      <w:r>
        <w:rPr>
          <w:rStyle w:val="NormalTok"/>
        </w:rPr>
        <w:t xml:space="preserve"> </w:t>
      </w:r>
      <w:r>
        <w:rPr>
          <w:rStyle w:val="StringTok"/>
        </w:rPr>
        <w:t xml:space="preserve">'UNSAT: checks insensitive'</w:t>
      </w:r>
      <w:r>
        <w:rPr>
          <w:rStyle w:val="SpecialCharTok"/>
        </w:rPr>
        <w:t xml:space="preserve">}</w:t>
      </w:r>
      <w:r>
        <w:rPr>
          <w:rStyle w:val="SpecialStringTok"/>
        </w:rPr>
        <w:t xml:space="preserve">"</w:t>
      </w:r>
      <w:r>
        <w:rPr>
          <w:rStyle w:val="NormalTok"/>
        </w:rPr>
        <w:t xml:space="preserve">)</w:t>
      </w:r>
      <w:r>
        <w:br/>
      </w:r>
      <w:r>
        <w:rPr>
          <w:rStyle w:val="NormalTok"/>
        </w:rPr>
        <w:t xml:space="preserve">    sanity </w:t>
      </w:r>
      <w:r>
        <w:rPr>
          <w:rStyle w:val="OperatorTok"/>
        </w:rPr>
        <w:t xml:space="preserve">=</w:t>
      </w:r>
      <w:r>
        <w:rPr>
          <w:rStyle w:val="NormalTok"/>
        </w:rPr>
        <w:t xml:space="preserve"> sanity </w:t>
      </w:r>
      <w:r>
        <w:rPr>
          <w:rStyle w:val="KeywordTok"/>
        </w:rPr>
        <w:t xml:space="preserve">and</w:t>
      </w:r>
      <w:r>
        <w:rPr>
          <w:rStyle w:val="NormalTok"/>
        </w:rPr>
        <w:t xml:space="preserve"> mut </w:t>
      </w:r>
      <w:r>
        <w:rPr>
          <w:rStyle w:val="KeywordTok"/>
        </w:rPr>
        <w:t xml:space="preserve">and</w:t>
      </w:r>
      <w:r>
        <w:rPr>
          <w:rStyle w:val="NormalTok"/>
        </w:rPr>
        <w:t xml:space="preserve"> m2ok</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BuiltInTok"/>
        </w:rPr>
        <w:t xml:space="preserve">sum</w:t>
      </w:r>
      <w:r>
        <w:rPr>
          <w:rStyle w:val="NormalTok"/>
        </w:rPr>
        <w:t xml:space="preserve">(ok)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 checks found no counterexample; sanity and mutation checks </w:t>
      </w:r>
      <w:r>
        <w:rPr>
          <w:rStyle w:val="SpecialCharTok"/>
        </w:rPr>
        <w:t xml:space="preserve">{</w:t>
      </w:r>
      <w:r>
        <w:rPr>
          <w:rStyle w:val="StringTok"/>
        </w:rPr>
        <w:t xml:space="preserve">'passed'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'FAILED'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33"/>
    <w:bookmarkStart w:id="134" w:name="X86d27b959083564fe26ec2516ea1ac03f98e8cf"/>
    <w:p>
      <w:pPr>
        <w:pStyle w:val="Heading2"/>
      </w:pPr>
      <w:r>
        <w:t xml:space="preserve">A.24 Console output of the bounded SMT check</w:t>
      </w:r>
    </w:p>
    <w:p>
      <w:pPr>
        <w:pStyle w:val="FirstParagraph"/>
      </w:pPr>
      <w:r>
        <w:t xml:space="preserve">Verbatim output of</w:t>
      </w:r>
      <w:r>
        <w:t xml:space="preserve"> </w:t>
      </w:r>
      <w:r>
        <w:rPr>
          <w:rStyle w:val="VerbatimChar"/>
        </w:rPr>
        <w:t xml:space="preserve">python3 z3_check.py</w:t>
      </w:r>
      <w:r>
        <w:t xml:space="preserve"> </w:t>
      </w:r>
      <w:r>
        <w:t xml:space="preserve">(Z3 5.1.0). Nine checks find no counterexample; the sanity check finds a satisfying trajectory and the mutation check finds counterexamples, as they must.</w:t>
      </w:r>
    </w:p>
    <w:p>
      <w:pPr>
        <w:pStyle w:val="SourceCode"/>
      </w:pPr>
      <w:r>
        <w:rPr>
          <w:rStyle w:val="VerbatimChar"/>
        </w:rPr>
        <w:t xml:space="preserve">====================================================================================================</w:t>
      </w:r>
      <w:r>
        <w:br/>
      </w:r>
      <w:r>
        <w:rPr>
          <w:rStyle w:val="VerbatimChar"/>
        </w:rPr>
        <w:t xml:space="preserve">                             BOUNDED SMT CHECK OF PROPOSITIONS 1-3 (Z3)                             </w:t>
      </w:r>
      <w:r>
        <w:br/>
      </w:r>
      <w:r>
        <w:rPr>
          <w:rStyle w:val="VerbatimChar"/>
        </w:rPr>
        <w:t xml:space="preserve">====================================================================================================</w:t>
      </w:r>
      <w:r>
        <w:br/>
      </w:r>
      <w:r>
        <w:rPr>
          <w:rStyle w:val="VerbatimChar"/>
        </w:rPr>
        <w:t xml:space="preserve">bounds: t_a 0..12, F 1..120, delta 1..3, t_r and e in [t_a, 140], L 1..120, horizon 140</w:t>
      </w:r>
      <w:r>
        <w:br/>
      </w:r>
      <w:r>
        <w:rPr>
          <w:rStyle w:val="VerbatimChar"/>
        </w:rPr>
        <w:t xml:space="preserve">P1  deadline inside window =&gt; no trajectory satisfies C1-C3 (Sem I)        unsat (no counterexample)</w:t>
      </w:r>
      <w:r>
        <w:br/>
      </w:r>
      <w:r>
        <w:rPr>
          <w:rStyle w:val="VerbatimChar"/>
        </w:rPr>
        <w:t xml:space="preserve">P1  no deadline inside window =&gt; witness trajectory satisfies C1-C3        unsat (no counterexample)</w:t>
      </w:r>
      <w:r>
        <w:br/>
      </w:r>
      <w:r>
        <w:rPr>
          <w:rStyle w:val="VerbatimChar"/>
        </w:rPr>
        <w:t xml:space="preserve">P2  constructive trajectory satisfies C1 (Sem II), C2, C3 for all inputs   unsat (no counterexample)</w:t>
      </w:r>
      <w:r>
        <w:br/>
      </w:r>
      <w:r>
        <w:rPr>
          <w:rStyle w:val="VerbatimChar"/>
        </w:rPr>
        <w:t xml:space="preserve">mutation: construction without iota / without c / without iota_subj refuted sat, counterexamples found (as expected)</w:t>
      </w:r>
      <w:r>
        <w:br/>
      </w:r>
      <w:r>
        <w:rPr>
          <w:rStyle w:val="VerbatimChar"/>
        </w:rPr>
        <w:t xml:space="preserve">P3  e + L &lt;= t_a + F =&gt; floor and ceiling not jointly satisfiable          unsat (no counterexample)</w:t>
      </w:r>
      <w:r>
        <w:br/>
      </w:r>
      <w:r>
        <w:rPr>
          <w:rStyle w:val="VerbatimChar"/>
        </w:rPr>
        <w:t xml:space="preserve">P3  e + L &gt; t_a + F =&gt; witness satisfies floor and ceiling                 unsat (no counterexample)</w:t>
      </w:r>
      <w:r>
        <w:br/>
      </w:r>
      <w:r>
        <w:rPr>
          <w:rStyle w:val="VerbatimChar"/>
        </w:rPr>
        <w:t xml:space="preserve">P3(i)  e = t_a: jointly satisfiable only if L &gt; F                          unsat (no counterexample)</w:t>
      </w:r>
      <w:r>
        <w:br/>
      </w:r>
      <w:r>
        <w:rPr>
          <w:rStyle w:val="VerbatimChar"/>
        </w:rPr>
        <w:t xml:space="preserve">P3(i)  e = t_a and L &gt; F: witness satisfies floor and ceiling              unsat (no counterexample)</w:t>
      </w:r>
      <w:r>
        <w:br/>
      </w:r>
      <w:r>
        <w:rPr>
          <w:rStyle w:val="VerbatimChar"/>
        </w:rPr>
        <w:t xml:space="preserve">P3(ii) L &lt;= F, e - t_a &lt;= F - L =&gt; collision                               unsat (no counterexample)</w:t>
      </w:r>
      <w:r>
        <w:br/>
      </w:r>
      <w:r>
        <w:rPr>
          <w:rStyle w:val="VerbatimChar"/>
        </w:rPr>
        <w:t xml:space="preserve">P3(ii) L &lt;= F, e - t_a &gt;  F - L =&gt; witness satisfies both                  unsat (no counterexample)</w:t>
      </w:r>
      <w:r>
        <w:br/>
      </w:r>
      <w:r>
        <w:rPr>
          <w:rStyle w:val="VerbatimChar"/>
        </w:rPr>
        <w:t xml:space="preserve">sanity: no request, no ceiling =&gt; some trajectory satisfies C1             sat (as expected)</w:t>
      </w:r>
      <w:r>
        <w:br/>
      </w:r>
      <w:r>
        <w:rPr>
          <w:rStyle w:val="VerbatimChar"/>
        </w:rPr>
        <w:t xml:space="preserve">mutation: Proposition 3 with an off-by-one condition is refuted            sat, counterexample found (as expected)</w:t>
      </w:r>
      <w:r>
        <w:br/>
      </w:r>
      <w:r>
        <w:rPr>
          <w:rStyle w:val="VerbatimChar"/>
        </w:rPr>
        <w:t xml:space="preserve">====================================================================================================</w:t>
      </w:r>
      <w:r>
        <w:br/>
      </w:r>
      <w:r>
        <w:rPr>
          <w:rStyle w:val="VerbatimChar"/>
        </w:rPr>
        <w:t xml:space="preserve">RESULT: 9/9 checks found no counterexample; sanity and mutation checks passed</w:t>
      </w:r>
      <w:r>
        <w:br/>
      </w:r>
      <w:r>
        <w:rPr>
          <w:rStyle w:val="VerbatimChar"/>
        </w:rPr>
        <w:t xml:space="preserve">====================================================================================================</w:t>
      </w:r>
    </w:p>
    <w:bookmarkEnd w:id="134"/>
    <w:bookmarkEnd w:id="135"/>
    <w:bookmarkStart w:id="142" w:name="appendix-b.-search-query-log"/>
    <w:p>
      <w:pPr>
        <w:pStyle w:val="Heading1"/>
      </w:pPr>
      <w:bookmarkStart w:id="1175" w:name="app_B"/>
      <w:r>
        <w:t xml:space="preserve">Appendix B. Search Query Log</w:t>
      </w:r>
      <w:bookmarkEnd w:id="1175"/>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36"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"14" "385" 2026 zero-knowledge health blockchain cross-institutional</w:t>
      </w:r>
      <w:r>
        <w:t xml:space="preserve"> </w:t>
      </w:r>
      <w:r>
        <w:t xml:space="preserve">[restored from the session record]</w:t>
      </w:r>
    </w:p>
    <w:p>
      <w:pPr>
        <w:pStyle w:val="Compact"/>
        <w:numPr>
          <w:ilvl w:val="0"/>
          <w:numId w:val="1007"/>
        </w:numPr>
      </w:pPr>
      <w:r>
        <w:rPr>
          <w:rStyle w:val="VerbatimChar"/>
        </w:rPr>
        <w:t xml:space="preserve">KONFIDO project "Health Informatics Journal" lessons learned patient summary exchange</w:t>
      </w:r>
      <w:r>
        <w:t xml:space="preserve"> </w:t>
      </w:r>
      <w:r>
        <w:t xml:space="preserve">[restored from the session record]</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høring Regulation 2024/1689</w:t>
      </w:r>
    </w:p>
    <w:bookmarkEnd w:id="136"/>
    <w:bookmarkStart w:id="137"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"minimum requirements" "secure processing environments" Norway 2024 helsedata</w:t>
      </w:r>
      <w:r>
        <w:t xml:space="preserve"> </w:t>
      </w:r>
      <w:r>
        <w:t xml:space="preserve">[restored from the session record]</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37"/>
    <w:bookmarkStart w:id="138"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 [not a literature search: retrieval of the author’s own drafts]</w:t>
      </w:r>
    </w:p>
    <w:p>
      <w:pPr>
        <w:pStyle w:val="Compact"/>
        <w:numPr>
          <w:ilvl w:val="0"/>
          <w:numId w:val="1009"/>
        </w:numPr>
      </w:pPr>
      <w:r>
        <w:rPr>
          <w:rStyle w:val="VerbatimChar"/>
        </w:rPr>
        <w:t xml:space="preserve">TRF model gate feasibility theorem crypto-erasure invalidation chapter 4 [not a literature search: retrieval of the author’s own drafts]</w:t>
      </w:r>
    </w:p>
    <w:p>
      <w:pPr>
        <w:pStyle w:val="Compact"/>
        <w:numPr>
          <w:ilvl w:val="0"/>
          <w:numId w:val="1009"/>
        </w:numPr>
      </w:pPr>
      <w:r>
        <w:rPr>
          <w:rStyle w:val="VerbatimChar"/>
        </w:rPr>
        <w:t xml:space="preserve">Norge EHDS EØS gjennomføring helsedata juni 2026</w:t>
      </w:r>
    </w:p>
    <w:p>
      <w:pPr>
        <w:pStyle w:val="Compact"/>
        <w:numPr>
          <w:ilvl w:val="0"/>
          <w:numId w:val="1009"/>
        </w:numPr>
      </w:pPr>
      <w:r>
        <w:rPr>
          <w:rStyle w:val="VerbatimChar"/>
        </w:rPr>
        <w:t xml:space="preserve">Google Drive read file content [not a literature search: retrieval of the author’s own drafts]</w:t>
      </w:r>
    </w:p>
    <w:bookmarkEnd w:id="138"/>
    <w:bookmarkStart w:id="139"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39"/>
    <w:bookmarkStart w:id="140"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 Later removed from the bibliography with the seafarer material it supported, cut from </w:t>
            </w:r>
            <w:hyperlink w:anchor="ch_1" w:history="1">
              <w:r>
                <w:rPr>
                  <w:rStyle w:val="Hyperlink"/>
                  <w:sz w:val="20"/>
                  <w:szCs w:val="20"/>
                </w:rPr>
                <w:t xml:space="preserve">Chapter 1</w:t>
              </w:r>
            </w:hyperlink>
            <w:r>
              <w:rPr>
                <w:sz w:val="20"/>
                <w:szCs w:val="20"/>
              </w:rPr>
              <w:t xml:space="preserve"> on 3 October 2026</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 Ernst &amp; Young was later removed from the bibliography when the EHDS dates in </w:t>
            </w:r>
            <w:hyperlink w:anchor="ch_2" w:history="1">
              <w:r>
                <w:rPr>
                  <w:rStyle w:val="Hyperlink"/>
                  <w:sz w:val="20"/>
                  <w:szCs w:val="20"/>
                </w:rPr>
                <w:t xml:space="preserve">Chapter 2</w:t>
              </w:r>
            </w:hyperlink>
            <w:r>
              <w:rPr>
                <w:sz w:val="20"/>
                <w:szCs w:val="20"/>
              </w:rPr>
              <w:t xml:space="preserve">, </w:t>
            </w:r>
            <w:hyperlink w:anchor="sec_2_2" w:history="1">
              <w:r>
                <w:rPr>
                  <w:rStyle w:val="Hyperlink"/>
                  <w:sz w:val="20"/>
                  <w:szCs w:val="20"/>
                </w:rPr>
                <w:t xml:space="preserve">Section 2.2</w:t>
              </w:r>
            </w:hyperlink>
            <w:r>
              <w:rPr>
                <w:sz w:val="20"/>
                <w:szCs w:val="20"/>
              </w:rPr>
              <w:t xml:space="preserve"> were re-anchored on Article 105 of the Regulation (3 October 2026)</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40"/>
    <w:bookmarkStart w:id="141"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41"/>
    <w:bookmarkEnd w:id="142"/>
    <w:bookmarkStart w:id="162" w:name="appendix-c.-expert-evaluation-instrument"/>
    <w:p>
      <w:pPr>
        <w:pStyle w:val="Heading1"/>
      </w:pPr>
      <w:bookmarkStart w:id="1176" w:name="app_C"/>
      <w:r>
        <w:t xml:space="preserve">Appendix C. Expert Evaluation Instrument</w:t>
      </w:r>
      <w:bookmarkEnd w:id="1176"/>
    </w:p>
    <w:p>
      <w:pPr>
        <w:pStyle w:val="FirstParagraph"/>
      </w:pPr>
      <w:r>
        <w:rPr>
          <w:iCs/>
          <w:i/>
        </w:rPr>
        <w:t xml:space="preserve">(v1.1, 18 September 2026; item A1 reworded October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 states what is expected to change once it meets real respondents.</w:t>
      </w:r>
      <w:r>
        <w:rPr>
          <w:iCs/>
          <w:i/>
        </w:rPr>
        <w:t xml:space="preserve">)</w:t>
      </w:r>
    </w:p>
    <w:bookmarkStart w:id="144"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Start w:id="143" w:name="X10cc7eb249a3abb40ce6f29806ce7caed2341ed"/>
    <w:p>
      <w:pPr>
        <w:pStyle w:val="Heading3"/>
      </w:pPr>
      <w:r>
        <w:t xml:space="preserve">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the term</w:t>
      </w:r>
      <w:r>
        <w:t xml:space="preserve"> </w:t>
      </w:r>
      <w:r>
        <w:t xml:space="preserve">“</w:t>
      </w:r>
      <w:r>
        <w:t xml:space="preserve">erasure ceilings</w:t>
      </w:r>
      <w:r>
        <w:t xml:space="preserve">”</w:t>
      </w:r>
      <w:r>
        <w:t xml:space="preserve"> </w:t>
      </w:r>
      <w:r>
        <w:t xml:space="preserve">in item U1, corrected to</w:t>
      </w:r>
      <w:r>
        <w:t xml:space="preserve"> </w:t>
      </w:r>
      <w:r>
        <w:t xml:space="preserve">“</w:t>
      </w:r>
      <w:r>
        <w:t xml:space="preserve">deletion ceilings</w:t>
      </w:r>
      <w:r>
        <w:t xml:space="preserve">”</w:t>
      </w:r>
      <w:r>
        <w:t xml:space="preserve">, and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43"/>
    <w:bookmarkEnd w:id="144"/>
    <w:bookmarkStart w:id="145"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45"/>
    <w:bookmarkStart w:id="146"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46"/>
    <w:bookmarkStart w:id="147"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47"/>
    <w:bookmarkStart w:id="152"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8"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48"/>
    <w:bookmarkStart w:id="149"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9"/>
    <w:bookmarkStart w:id="150"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50"/>
    <w:bookmarkStart w:id="151"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51"/>
    <w:bookmarkEnd w:id="152"/>
    <w:bookmarkStart w:id="158"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3"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deletion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53"/>
    <w:bookmarkStart w:id="154"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54"/>
    <w:bookmarkStart w:id="155"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national criteria (in the version put to hearing)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55"/>
    <w:bookmarkStart w:id="156"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56"/>
    <w:bookmarkStart w:id="157"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57"/>
    <w:bookmarkEnd w:id="158"/>
    <w:bookmarkStart w:id="159"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Item R1 is kept verbatim as the supervisor’s anchor statement, although it asks about two standards at once, GDPR Article 17 and the EDPB guidelines. A respondent who accepts one and not the other cannot say so on the scale, so R1 would be read together with the open responses, and the double barrel would be stated as a limitation of the item.</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59"/>
    <w:bookmarkStart w:id="160"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9" w:history="1">
        <w:r>
          <w:rPr>
            <w:rStyle w:val="Hyperlink"/>
          </w:rPr>
          <w:t xml:space="preserve">Section 3.9</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60"/>
    <w:bookmarkStart w:id="161"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61"/>
    <w:bookmarkEnd w:id="162"/>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68" Target="media/rId68.png"/><Relationship Type="http://schemas.openxmlformats.org/officeDocument/2006/relationships/image" Id="rId78" Target="media/rId78.png"/><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2026-10-06T14:49:00Z</dcterms:created>
  <dcterms:modified xsi:type="dcterms:W3CDTF">2026-10-06T14:49:00Z</dcterms:modified>
</cp:coreProperties>
</file>

<file path=docProps/custom.xml><?xml version="1.0" encoding="utf-8"?>
<Properties xmlns="http://schemas.openxmlformats.org/officeDocument/2006/custom-properties" xmlns:vt="http://schemas.openxmlformats.org/officeDocument/2006/docPropsVTypes"/>
</file>