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(Theorem 1). Under accountability-preserving semantics they are jointly satisfiable for every arrival pattern of erasure requests and permit expiries and for every retention floor (Theorem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Theorem 1 establishes infeasibility under the semantics implicit in current audit practice. Theorem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finalised national criteria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Theorem 1 and corollaries; Theorem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rounds, with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must retain their logs for a minimum of ten years (Simjanoska Misheva et al., 2025; IHE International, 2023).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Identifiable access logs are personal data, and they are data within the environment. Chapter 4, Section 4.6 defends a reading of Article 68(12) under which the provision governs the data within the secure processing environment rather than only the dataset supplied under the permit. On that reading, the Regulation requires of a single environment that data be removed within six months of permit expiry and that identifiable logs be retained for at least twelve months. That reading is contestable, and the thesis states its grounds rather than assuming it; under the narrower alternative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imposed on cross-border audit repositories by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recommendations have since been consolidated into final form, including separate compliance checklists for SPE providers and SPE user organisations, positioned as a national reference basis pending the EU implementing act (SPUHiN, 2025). The finalised criteria contain governance and functional requirements but no mechanism reconciling the retention and erasure regimes: the gap addressed here therefore survives against the final national document, not merely a draft.</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2022).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imposed on IHE ATNA audit repositories by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theorems,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finalised national SPE criteria from the SPUHiN process, whose published checklists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2022),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including in the guidance published by the Joint Action drafting the specifications for both provisions.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and imports a solution structure that logistics has operated for decades into a domain that has not yet recognised the equivalence.</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theorems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conceptually related to the broader research direction are presented in a separate addendum to the thesis supervisor: a zero-knowledge assertion circuit for healthcare-professional authorisation, a sustainability indicator for proof systems, and a cross-border consent-revocation propagation protocol. The addendum signals future research direction without claiming results that have not been produced.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(2022).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accumulator-based invalidation suffice for the audit-trail problem, and that no SNARK is required.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theorems;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theorems.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rounds,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pPr>
          </w:p>
        </w:tc>
        <w:tc>
          <w:tcPr/>
          <w:p>
            <w:pPr>
              <w:pStyle w:val="Compact"/>
            </w:pPr>
          </w:p>
        </w:tc>
        <w:tc>
          <w:tcPr/>
          <w:p>
            <w:pPr>
              <w:pStyle w:val="Compact"/>
              <w:jc w:val="left"/>
            </w:pPr>
            <w:r>
              <w:rPr>
                <w:bCs/>
                <w:b/>
              </w:rPr>
              <w:t xml:space="preserve">Total</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a National Digital Health Authority by June 2025, and healthcare providers and electronic health record vendors must certify their systems for interoperability and security compliance by January 2026 (Ernst &amp; Young,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does specify retention in concrete terms. The framework adopted by the eHMSEG governance body for cross-border NCPeH operations requires audit repositories to retain records for a minimum of ten years, characterised by Simjanoska Misheva et al. (2025) as the binding deployment baseline.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Identifiable access logs are personal data and are data within the environment. Article 68(12) governs, in terms, the data within the secure processing environment rather than only the dataset supplied under the permit; on that reading the Regulation requires of one environment both that data be removed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(2022)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2022);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recommendations were consolidated into final form as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finalised checklists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the finalised criteria do not contain, at any grade, is a requirement or mechanism addressing the reconciliation of audit-retention obligations with erasure and deletion obligations on the records the SPE generates. The gap identified by this thesis therefore survives contact with the final national document, not merely its draft: Norway now possesses finalised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finalised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ten-year retention floor for that audit log under the eHDSI security framework is the digital equivalent of mandatory customs record-keeping obligations under physical trade law. The right to erasure under General Data Protection Regulation Article 17 is the digital equivalent of the destruction-of-records requirements that apply to perishable or sensitive physical goods. The conflict between these regimes is the same kind of conflict that physical logistics has long managed through ledger-based reconciliation systems, certified destruction protocols, and chain-of-custody documentation.</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final</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finalised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2022),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and no interpretive work by this author: it is stated by one regulation, in adjacent articles of one chapter, about one environment. The review conducted for this thesis located no treatment of it: not in the academic literature, not in the professional commentary on EHDS secondary use, and not in the guidance published by the Joint Action drafting the specifications for both provisions.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finalised Norwegian SPE criteria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finalised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finalised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(2022)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together with the supplementary addendum to the supervisor covering research directions deliberately excluded from the thesis scope.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2022).</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(2022):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theorems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theorems,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Theorem 1 states that under plaintext-verifiability semantics the constraint system is infeasible whenever an erasure request or a permit expiry falls within a record’s retention window, which, over a ten-year window, is the ordinary case rather than the exception.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Theorem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theorems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theorems. It constructs audit records as the tuples defined in Section 3.4,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deliberately small, on the order of fifty to one hundred lines, because its purpose is to be read and checked rather than to be impressive. A reader who doubts Theorem 1 can find in its output the specific record, month, and constraint at which plaintext semantics fails; a reader who doubts Theorem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larger, on the order of two to four hundred lines, but it is not load-bearing: if the wrapper were removed, the theorems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theorems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finalised Norwegian Secure Processing Environment criteria,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theorems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Theorem 1 requires only that some valid request fall inside a retention window, and Corollary 1.2 involves no erasure request at all. The abstraction therefore inflates the frequencies reported in Chapter 5 and leaves the theorems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theorems,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retains verbatim an anchor statement asserting that the mechanism gives auditors full confidence that data was lawfully deleted, which is stronger than the thesis’s own claim; a paired item captures the distinction between attestation and proof, and disagreement with the anchor would be an accurate response rather than an instrument failure.</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Theorem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Theorem 1 establishes that under the semantics implicit in current practice the constraint system is infeasible. Theorem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theorems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the clinical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to read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content of the clinical document exchanged.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imposed by the eHDSI deployment baseline for MyHealth@EU operations (Simjanoska Misheva et al., 2025).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theorems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theorems.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Personal data must not remain accessible in the Secure Processing Environment more than six months after permit expiry. Source: Article 68(12) EHDS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r>
          <m:t>m</m:t>
        </m:r>
        <m:d>
          <m:dPr>
            <m:begChr m:val="("/>
            <m:endChr m:val=")"/>
            <m:sepChr m:val=""/>
            <m:grow/>
          </m:dPr>
          <m:e>
            <m:r>
              <m:t>a</m:t>
            </m:r>
          </m:e>
        </m:d>
      </m:oMath>
      <w:r>
        <w:t xml:space="preserve"> </w:t>
      </w:r>
      <w:r>
        <w:t xml:space="preserve">is intact and unmodified;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theorems below establish what follows from each.</w:t>
      </w:r>
    </w:p>
    <w:bookmarkEnd w:id="70"/>
    <w:bookmarkStart w:id="71" w:name="X3fed01e8b6f7a8983fb9fd535908c9690537113"/>
    <w:p>
      <w:pPr>
        <w:pStyle w:val="Heading2"/>
      </w:pPr>
      <w:r>
        <w:t xml:space="preserve">4.6 Theorem 1: Infeasibility under Plaintext Verifiability</w:t>
      </w:r>
    </w:p>
    <w:p>
      <w:pPr>
        <w:pStyle w:val="BlockText"/>
      </w:pPr>
      <w:r>
        <w:rPr>
          <w:iCs/>
          <w:i/>
        </w:rPr>
        <w:t xml:space="preserve">Theorem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Infeasibility is therefore not an edge case arising from unusual timing; it is the generic case, avoided only if no data subject exercises Article 17 in respect of any record for essentially the whole of its retention life.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w:t>
      </w:r>
      <w:r>
        <w:t xml:space="preserve"> </w:t>
      </w:r>
      <w:r>
        <w:rPr>
          <w:iCs/>
          <w:i/>
        </w:rPr>
        <w:t xml:space="preserve">On the broad reading of Article 68(12) defended below, no erasure request is required.</w:t>
      </w:r>
      <w:r>
        <w:t xml:space="preserve"> </w:t>
      </w:r>
      <w:r>
        <w:t xml:space="preserve">The infeasibility then follows from two provisions of a single regulation acting on a single environment. Article 73(1)(e) requires the identifiable log to remain verifiable for twelve months, and Article 68(12) requires personal data to be gone from the environment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must be stated as such rather than assumed, because the corollary is the sharpest claim in this thesis and a reader is entitled to see its weakest joint.</w:t>
      </w:r>
    </w:p>
    <w:p>
      <w:pPr>
        <w:pStyle w:val="BodyText"/>
      </w:pPr>
      <w:r>
        <w:t xml:space="preserve">The textual case for the broad reading is that the provision governs</w:t>
      </w:r>
      <w:r>
        <w:t xml:space="preserve"> </w:t>
      </w:r>
      <w:r>
        <w:rPr>
          <w:iCs/>
          <w:i/>
        </w:rPr>
        <w:t xml:space="preserve">the data within the secure processing environment</w:t>
      </w:r>
      <w:r>
        <w:t xml:space="preserve">, a formulation defined by location rather than by provenance. It does not say</w:t>
      </w:r>
      <w:r>
        <w:t xml:space="preserve"> </w:t>
      </w:r>
      <w:r>
        <w:t xml:space="preserve">“</w:t>
      </w:r>
      <w:r>
        <w:t xml:space="preserve">the data made available under the data permit,</w:t>
      </w:r>
      <w:r>
        <w:t xml:space="preserve">”</w:t>
      </w:r>
      <w:r>
        <w:t xml:space="preserve"> </w:t>
      </w:r>
      <w:r>
        <w:t xml:space="preserve">though the Regulation uses that narrower formulation freely elsewhere, and the access logs are indisputably data within the environment. On that reading Article 68(12) reaches them, and Corollary 1.2 follows.</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On that reading the obligation attaches to the permit dataset, the access logs fall outside it, and no collision between Articles 68(12) and 73(1)(e) arises.</w:t>
      </w:r>
    </w:p>
    <w:p>
      <w:pPr>
        <w:pStyle w:val="BodyText"/>
      </w:pPr>
      <w:r>
        <w:t xml:space="preserve">This thesis adopts the broad reading and states the grounds rather than asserting the conclusion. But the architecture of the results is deliberately such that little turns on which reading prevails, and that should be made explicit. Under the narrow reading, Corollary 1.2 lapses, and with it the claim that infeasibility arises without any data-subject action. Theorem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Theorem 2, the mechanism, and the residue analysis are untouched, since they are indifferent to which instrument generates the deadline.</w:t>
      </w:r>
    </w:p>
    <w:p>
      <w:pPr>
        <w:pStyle w:val="BodyText"/>
      </w:pPr>
      <w:r>
        <w:t xml:space="preserve">The narrow reading therefore costs the thesis its sharpest instance and none of its results. The broad reading, if correct, adds a collision that requires no data subject to act. Chapter 6 treats the resolution of this interpretive question as a matter for supervisory authority rather than for this author, alongside the authority question concerning verifiability itself.</w:t>
      </w:r>
    </w:p>
    <w:bookmarkEnd w:id="71"/>
    <w:bookmarkStart w:id="72" w:name="X0a550daa55f0887cccca91fadd747ef3e5833f9"/>
    <w:p>
      <w:pPr>
        <w:pStyle w:val="Heading2"/>
      </w:pPr>
      <w:r>
        <w:t xml:space="preserve">4.7 Theorem 2: Feasibility under Accountability-Preserving Verifiability</w:t>
      </w:r>
    </w:p>
    <w:p>
      <w:pPr>
        <w:pStyle w:val="BlockText"/>
      </w:pPr>
      <w:r>
        <w:rPr>
          <w:iCs/>
          <w:i/>
        </w:rPr>
        <w:t xml:space="preserve">Theorem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and the authorising actor; retain</w:t>
      </w:r>
      <w:r>
        <w:t xml:space="preserve"> </w:t>
      </w:r>
      <m:oMath>
        <m:r>
          <m:t>m</m:t>
        </m:r>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r>
          <m:t>m</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An objection should be anticipated rather than left for a reader to formulate: that Theorem 2 proves little, because Semantics II was defined in full knowledge of the trajectory that satisfies it. The objection has force and the response is to concede its premise and deny its conclusion. The mathematical content of Theorem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Theorem 1 carries the load that Theorem 2 does not: it establishes that</w:t>
      </w:r>
      <w:r>
        <w:t xml:space="preserve"> </w:t>
      </w:r>
      <w:r>
        <w:rPr>
          <w:iCs/>
          <w:i/>
        </w:rPr>
        <w:t xml:space="preserve">some</w:t>
      </w:r>
      <w:r>
        <w:t xml:space="preserve"> </w:t>
      </w:r>
      <w:r>
        <w:t xml:space="preserve">departure is unavoidable, because the status quo admits no solution at all. Theorem 2 then shows that a principled and minimal departure suffices. The legal defensibility of Semantics II is argued in Section 4.2 and its want of authority is confronted in Chapter 6, Section 6.2; it is not established by the theorem, and no reader should take the theorem as establishing it.</w:t>
      </w:r>
    </w:p>
    <w:p>
      <w:pPr>
        <w:pStyle w:val="BodyText"/>
      </w:pPr>
      <w:r>
        <w:rPr>
          <w:iCs/>
          <w:i/>
        </w:rPr>
        <w:t xml:space="preserve">What the theorem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Theorem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Theorem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Theorem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and is</w:t>
      </w:r>
      <w:r>
        <w:t xml:space="preserve"> </w:t>
      </w:r>
      <w:r>
        <w:rPr>
          <w:iCs/>
          <w:i/>
        </w:rPr>
        <w:t xml:space="preserve">not</w:t>
      </w:r>
      <w:r>
        <w:t xml:space="preserve"> </w:t>
      </w:r>
      <w:r>
        <w:t xml:space="preserve">destroyed at invalidation; destroying it would break the binding property and with it the auditor’s ability to verify an opened payload during the pre-invalidation period, while retaining it does not restore readability of the payload, which depends on</w:t>
      </w:r>
      <w:r>
        <w:t xml:space="preserve"> </w:t>
      </w:r>
      <m:oMath>
        <m:r>
          <m:t>k</m:t>
        </m:r>
        <m:d>
          <m:dPr>
            <m:begChr m:val="("/>
            <m:endChr m:val=")"/>
            <m:sepChr m:val=""/>
            <m:grow/>
          </m:dPr>
          <m:e>
            <m:r>
              <m:t>a</m:t>
            </m:r>
          </m:e>
        </m:d>
      </m:oMath>
      <w:r>
        <w:t xml:space="preserve">.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theorems: Theorem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and the salt</w:t>
      </w:r>
      <w:r>
        <w:t xml:space="preserve"> </w:t>
      </w:r>
      <m:oMath>
        <m:r>
          <m:t>r</m:t>
        </m:r>
        <m:d>
          <m:dPr>
            <m:begChr m:val="("/>
            <m:endChr m:val=")"/>
            <m:sepChr m:val=""/>
            <m:grow/>
          </m:dPr>
          <m:e>
            <m:r>
              <m:t>a</m:t>
            </m:r>
          </m:e>
        </m:d>
      </m:oMath>
      <w:r>
        <w:t xml:space="preserve"> </w:t>
      </w:r>
      <w:r>
        <w:t xml:space="preserve">are destroyed.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personal-data content committed rather than retained in plaintext beyond the ceiling. At</w:t>
      </w:r>
      <w:r>
        <w:t xml:space="preserve"> </w:t>
      </w:r>
      <m:oMath>
        <m:sSub>
          <m:e>
            <m:r>
              <m:t>t</m:t>
            </m:r>
          </m:e>
          <m:sub>
            <m:r>
              <m:t>π</m:t>
            </m:r>
          </m:sub>
        </m:sSub>
        <m:d>
          <m:dPr>
            <m:begChr m:val="("/>
            <m:endChr m:val=")"/>
            <m:sepChr m:val=""/>
            <m:grow/>
          </m:dPr>
          <m:e>
            <m:r>
              <m:t>a</m:t>
            </m:r>
          </m:e>
        </m:d>
        <m:r>
          <m:rPr>
            <m:sty m:val="p"/>
          </m:rPr>
          <m:t>+</m:t>
        </m:r>
        <m:r>
          <m:t>6</m:t>
        </m:r>
      </m:oMath>
      <w:r>
        <w:t xml:space="preserve">, the environment therefore holds a complete, identifiable, verifiable log of access with no recoverable personal-data payload. The environment is thereby cleared of accessible personal data at the ceiling while continuing to satisfy the floor to its full twelve months.</w:t>
      </w:r>
    </w:p>
    <w:bookmarkEnd w:id="73"/>
    <w:bookmarkStart w:id="74" w:name="residue-analysis"/>
    <w:p>
      <w:pPr>
        <w:pStyle w:val="Heading2"/>
      </w:pPr>
      <w:r>
        <w:t xml:space="preserve">4.9 Residue Analysis</w:t>
      </w:r>
    </w:p>
    <w:p>
      <w:pPr>
        <w:pStyle w:val="FirstParagraph"/>
      </w:pPr>
      <w:r>
        <w:t xml:space="preserve">Theorem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r</m:t>
        </m:r>
        <m:d>
          <m:dPr>
            <m:begChr m:val="("/>
            <m:endChr m:val=")"/>
            <m:sepChr m:val=""/>
            <m:grow/>
          </m:dPr>
          <m:e>
            <m:r>
              <m:t>a</m:t>
            </m:r>
          </m:e>
        </m:d>
        <m:r>
          <m:rPr>
            <m:sty m:val="p"/>
          </m:rPr>
          <m:t>,</m:t>
        </m:r>
        <m:r>
          <m:t>ι</m:t>
        </m:r>
        <m:d>
          <m:dPr>
            <m:begChr m:val="("/>
            <m:endChr m:val=")"/>
            <m:sepChr m:val=""/>
            <m:grow/>
          </m:dPr>
          <m:e>
            <m:r>
              <m:t>a</m:t>
            </m:r>
          </m:e>
        </m:d>
      </m:oMath>
      <w:r>
        <w:t xml:space="preserve">, the accumulator state, and the ciphertext of</w:t>
      </w:r>
      <w:r>
        <w:t xml:space="preserve"> </w:t>
      </w:r>
      <m:oMath>
        <m:r>
          <m:t>p</m:t>
        </m:r>
        <m:d>
          <m:dPr>
            <m:begChr m:val="("/>
            <m:endChr m:val=")"/>
            <m:sepChr m:val=""/>
            <m:grow/>
          </m:dPr>
          <m:e>
            <m:r>
              <m:t>a</m:t>
            </m:r>
          </m:e>
        </m:d>
      </m:oMath>
      <w:r>
        <w:t xml:space="preserve">.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The salt is retained, which means the residue is not unconditionally unlinkable: a party holding</w:t>
      </w:r>
      <w:r>
        <w:t xml:space="preserve"> </w:t>
      </w:r>
      <m:oMath>
        <m:r>
          <m:t>r</m:t>
        </m:r>
        <m:d>
          <m:dPr>
            <m:begChr m:val="("/>
            <m:endChr m:val=")"/>
            <m:sepChr m:val=""/>
            <m:grow/>
          </m:dPr>
          <m:e>
            <m:r>
              <m:t>a</m:t>
            </m:r>
          </m:e>
        </m:d>
      </m:oMath>
      <w:r>
        <w:t xml:space="preserve"> </w:t>
      </w:r>
      <w:r>
        <w:t xml:space="preserve">and a candidate payload can still confirm a match. What has been destroyed is the ability to</w:t>
      </w:r>
      <w:r>
        <w:t xml:space="preserve"> </w:t>
      </w:r>
      <w:r>
        <w:rPr>
          <w:iCs/>
          <w:i/>
        </w:rPr>
        <w:t xml:space="preserve">recover</w:t>
      </w:r>
      <w:r>
        <w:t xml:space="preserve"> </w:t>
      </w:r>
      <w:r>
        <w:t xml:space="preserve">the payload, which depends on</w:t>
      </w:r>
      <w:r>
        <w:t xml:space="preserve"> </w:t>
      </w:r>
      <m:oMath>
        <m:r>
          <m:t>k</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ciphertext, held together with a retained salt and metadata identifying the access event, is best characterised as pseudonymised rather than anonymous.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unavoidable residual risk.</w:t>
      </w:r>
      <w:r>
        <w:t xml:space="preserve"> </w:t>
      </w:r>
      <w:r>
        <w:t xml:space="preserve">Over a ten-year floor, the algorithmic-break horizon is a live concern rather than a formality: ciphertext retained for a decade must be assumed to face cryptanalytic capability that does not exist at the time of encryption. The mechanism mitigates this by ensuring that what is retained long-term is metadata and commitments rather than payload ciphertext wherever the retention purpose permits, but it does not eliminate the risk.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Five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It does not solve the problem, because the metadata that the accountability purpose requires, the patient pseudonym linking the access to a data subject, is itself personal data, and is precisely what an erasure request targets. Minimisation shrinks the payload; it does not remove the record from the scope of Article 17.</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finalised Norwegian criteria for Secure Processing Environments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generically so in the cross-border case and, critically, without any erasure request at all in the Secure Processing Environment case,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At floor expiry it performs a terminal transition that destroys the identifying metadata and the salt,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finalised national criteria do not already require.</w:t>
      </w:r>
    </w:p>
    <w:p>
      <w:pPr>
        <w:pStyle w:val="BodyText"/>
      </w:pPr>
      <w:r>
        <w:t xml:space="preserve">Chapter 5 demonstrates both theorems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theorems of Chapter 4 hold on the instances examined. It does not verify them in the proof-assistant sense, it does not measure performance, and it does not deploy anything. Theorem 1 predicts that under plaintext-verifiability semantics the constraint system fails whenever an erasure deadline or a deletion-ceiling deadline falls inside a record’s retention window. Theorem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363 lines including documentation and the independent cross-check, of which 276 are non-blank, non-comment lines and the constraint-evaluation logic proper occupies approximately ninety. It depends only on the Python standard library:</w:t>
      </w:r>
      <w:r>
        <w:t xml:space="preserve"> </w:t>
      </w:r>
      <w:r>
        <w:rPr>
          <w:rStyle w:val="VerbatimChar"/>
        </w:rPr>
        <w:t xml:space="preserve">hashlib</w:t>
      </w:r>
      <w:r>
        <w:t xml:space="preserve"> </w:t>
      </w:r>
      <w:r>
        <w:t xml:space="preserve">for commitments,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Constraint evaluation under both semantics, plus the independent exhaustive cross-check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Five-tab viewer over the artefact; never a source of results</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containing the actor identifier, the national contact point, the patient pseudonym, the document category, the legal basis, and the outcome; a payload;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Theorem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theorem excludes. The checker therefore reproduces the theorem’s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Theorem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Theorem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Theorem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Theorem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theorems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Theorem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Theorem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Theorem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append an invalidation entry recording the month, the legal ground, and the authorising actor, and retain metadata, commitment, and salt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BlockText"/>
      </w:pPr>
      <w:r>
        <w:t xml:space="preserve">metadata intact : True — actor=HP-026, ncp=NO, outcome=success</w:t>
      </w:r>
      <w:r>
        <w:t xml:space="preserve"> </w:t>
      </w:r>
      <w:r>
        <w:t xml:space="preserve">commitment c(a) : 11087780fd192c8fdaa237081ee0bb11…</w:t>
      </w:r>
      <w:r>
        <w:t xml:space="preserve"> </w:t>
      </w:r>
      <w:r>
        <w:t xml:space="preserve">payload key k(a) : None ← destroyed</w:t>
      </w:r>
      <w:r>
        <w:t xml:space="preserve"> </w:t>
      </w:r>
      <w:r>
        <w:t xml:space="preserve">invalidation ι(a) : month=16, ground=EHDS Art 68(12)</w:t>
      </w:r>
      <w:r>
        <w:t xml:space="preserve"> </w:t>
      </w:r>
      <w: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health professional, at which contact point, with what outcome.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theorems hold on all two hundred generated instances. Theorem 1’s conditional structure is reproduced exactly, including the boundary case of the request falling outside the window. Corollary 1.2 has thirty-nine concrete witnesses in which two provisions of one regulation collide over one environment with no data-subject action involved. The infeasibility results survive an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theorems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Theorem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35 bytes to 1,006.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European Health Data Space Regulation contains, within a single chapter, two provisions that cannot both be satisfied by a Secure Processing Environment under ordinary operating conditions. Article 73(1)(e) requires identifiable logs of access to and activity in the environment to be kept for at least one year. Article 68(12) requires personal data to be deleted from that environment within six months of the expiry of the data permit. Identifiable access logs are personal data. Where the remaining permit duration at the time a log is written is six months or less, the two requirements overlap, and no state of the environment satisfies both.</w:t>
      </w:r>
    </w:p>
    <w:p>
      <w:pPr>
        <w:pStyle w:val="BodyText"/>
      </w:pPr>
      <w:r>
        <w:t xml:space="preserve">That claim rests on one contestable interpretive step, stated here rather than buried: Article 68(12) governs</w:t>
      </w:r>
      <w:r>
        <w:t xml:space="preserve"> </w:t>
      </w:r>
      <w:r>
        <w:rPr>
          <w:iCs/>
          <w:i/>
        </w:rPr>
        <w:t xml:space="preserve">the data within the secure processing environment</w:t>
      </w:r>
      <w:r>
        <w:t xml:space="preserve">, and the thesis reads that as reaching the identifiable access logs the environment generates rather than only the dataset supplied under the permit. Chapter 4, Section 4.6 sets out the grounds on both sides and identifies exactly which results depend on the reading: the answer being this claim alone. Given that step, the claim requires no data subject to exercise any right, no deployment baseline external to the Regulation, and no synthesis across instruments of different legal weight. Chapter 5 produced thirty-nine concrete witnesses of it in a population of one hundred Secure Processing Environment records, and the same conditions produced ninety infeasible records across the full population of two hundred when the cross-border audit floor is included.</w:t>
      </w:r>
    </w:p>
    <w:p>
      <w:pPr>
        <w:pStyle w:val="BodyText"/>
      </w:pPr>
      <w:r>
        <w:t xml:space="preserve">The thesis further establishes that this infeasibility is not a property of the obligations but of an assumption about what satisfies them. Under the semantics implicit in audit systems designed before the right to erasure existed, a record is verifiable while its payload is readable, the constraint system has no solution.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an separately written exhaustive search confirms that under the first semantics no assignment of payload accessibility whatsoever could succeed.</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theorem, since Theorem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Theorem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adopts the broad reading on textual grounds. The provision is framed by location rather than provenance, and the Regulation uses the narrower</w:t>
      </w:r>
      <w:r>
        <w:t xml:space="preserve"> </w:t>
      </w:r>
      <w:r>
        <w:t xml:space="preserve">“</w:t>
      </w:r>
      <w:r>
        <w:t xml:space="preserve">made available under the data permit</w:t>
      </w:r>
      <w:r>
        <w:t xml:space="preserve">”</w:t>
      </w:r>
      <w:r>
        <w:t xml:space="preserve"> </w:t>
      </w:r>
      <w:r>
        <w:t xml:space="preserve">formulation freely elsewhere when it means it. The thesis concedes, however, that the provision’s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theorem: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were finalised through the SPUHiN process after a public hearing running from July to October 2025, and are positioned explicitly as a national reference basis pending the Union implementing act (SPUHiN, 2025). The finalised compliance checklists, as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2022);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rather than a numerical one.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Theorem 1 characterises, and Corollary 1.2 is the case where it happens with no erasure request present at all.</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2022)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Theorem 1 establishes infeasibility under the status-quo semantics; Theorem 2 establishes satisfiability under the alternative and exhibits the trajectory that achieves it. Both were demonstrated over two hundred records, producing ninety infeasible records and ninety-five violations under the first semantics and none under the second, with an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finalised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Theorem 2 remains true of the model and inert in practice.</w:t>
      </w:r>
    </w:p>
    <w:p>
      <w:pPr>
        <w:pStyle w:val="BodyText"/>
      </w:pPr>
      <w:r>
        <w:t xml:space="preserve">The second concerns scope. Article 68(12) governs</w:t>
      </w:r>
      <w:r>
        <w:t xml:space="preserve"> </w:t>
      </w:r>
      <w:r>
        <w:rPr>
          <w:iCs/>
          <w:i/>
        </w:rPr>
        <w:t xml:space="preserve">the data within the secure processing environment</w:t>
      </w:r>
      <w:r>
        <w:t xml:space="preserve">. The thesis reads that as reaching the identifiable access logs the environment generates, on the grounds that the provision is framed by location rather than provenance and that the Regulation uses the narrower</w:t>
      </w:r>
      <w:r>
        <w:t xml:space="preserve"> </w:t>
      </w:r>
      <w:r>
        <w:t xml:space="preserve">“</w:t>
      </w:r>
      <w:r>
        <w:t xml:space="preserve">made available under the data permit</w:t>
      </w:r>
      <w:r>
        <w:t xml:space="preserve">”</w:t>
      </w:r>
      <w:r>
        <w:t xml:space="preserve"> </w:t>
      </w:r>
      <w:r>
        <w:t xml:space="preserve">formulation elsewhere when it means it. The competing construction, supported by the provision’s placement within the data-permit article, confines it to the permitted dataset. Chapter 4, Section 4.6 shows that Corollary 1.2 stands or falls with this question and that nothing else in the thesis does.</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and whether Article 68(12) reaches access logs,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finalised after public hearing,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Ernst &amp; Young. (2025).</w:t>
      </w:r>
      <w:r>
        <w:t xml:space="preserve"> </w:t>
      </w:r>
      <w:r>
        <w:rPr>
          <w:iCs/>
          <w:i/>
        </w:rPr>
        <w:t xml:space="preserve">Regulation (EU) 2025/327: Establishing the European Health Data Space (EHDS)</w:t>
      </w:r>
      <w:r>
        <w:t xml:space="preserve"> </w:t>
      </w:r>
      <w:r>
        <w:t xml:space="preserve">[Law alert]. EY Greece. https://www.ey.com/en_gr/technical/tax/tax-alerts/regulation-2025-327-establishing-ehds</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(2022).</w:t>
      </w:r>
      <w:r>
        <w:t xml:space="preserve"> </w:t>
      </w:r>
      <w:r>
        <w:rPr>
          <w:iCs/>
          <w:i/>
        </w:rPr>
        <w:t xml:space="preserve">Bounded satisfiability checking of metric first-order temporal logic</w:t>
      </w:r>
      <w:r>
        <w:t xml:space="preserve">. arXiv. https://doi.org/10.48550/arXiv.2209.04052</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1"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Theorems 1 and 2, including the independent exhaustive cross-check</w:t>
            </w:r>
          </w:p>
        </w:tc>
        <w:tc>
          <w:tcPr/>
          <w:p>
            <w:pPr>
              <w:pStyle w:val="Compact"/>
              <w:jc w:val="left"/>
            </w:pPr>
            <w:r>
              <w:t xml:space="preserve">363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526</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Theorem 1.</w:t>
      </w:r>
    </w:p>
    <w:p>
      <w:pPr>
        <w:numPr>
          <w:ilvl w:val="0"/>
          <w:numId w:val="1006"/>
        </w:numPr>
        <w:pStyle w:val="Compact"/>
      </w:pPr>
      <w:r>
        <w:rPr>
          <w:rStyle w:val="VerbatimChar"/>
        </w:rPr>
        <w:t xml:space="preserve">check_semantics_II()</w:t>
      </w:r>
      <w:r>
        <w:t xml:space="preserve"> </w:t>
      </w:r>
      <w:r>
        <w:t xml:space="preserve">applies the constructive trajectory from the proof of Theorem 2 (destroy the payload key and the commitment salt at</w:t>
      </w:r>
      <w:r>
        <w:t xml:space="preserve"> </w:t>
      </w:r>
      <w:r>
        <w:rPr>
          <w:rStyle w:val="VerbatimChar"/>
        </w:rPr>
        <w:t xml:space="preserve">min(t_r + δ, t_π + 6)</w:t>
      </w:r>
      <w:r>
        <w:t xml:space="preserve">, append a grounded invalidation entry, retain metadata and commitment) and then verifies all three constraints.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Salts are derived deterministically from the record identifier so that runs reproduce exactly. That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35 bytes to 1,006.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Reference commitment, record 100</w:t>
            </w:r>
          </w:p>
        </w:tc>
        <w:tc>
          <w:tcPr/>
          <w:p>
            <w:pPr>
              <w:pStyle w:val="Compact"/>
              <w:jc w:val="left"/>
            </w:pPr>
            <w:r>
              <w:rPr>
                <w:rStyle w:val="VerbatimChar"/>
              </w:rPr>
              <w:t xml:space="preserve">11087780fd192c8f…</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is unchanged across the salt-handling refactor documented in the thesis change log, which is the intended behaviour.</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theorems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Theorem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363.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Theorem 1 (infeasibility under plaintext-verifiability</w:t>
      </w:r>
      <w:r>
        <w:br/>
      </w:r>
      <w:r>
        <w:rPr>
          <w:rStyle w:val="CommentTok"/>
        </w:rPr>
        <w:t xml:space="preserve">semantics) and Theorem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w:t>
      </w:r>
      <w:r>
        <w:br/>
      </w:r>
      <w:r>
        <w:rPr>
          <w:rStyle w:val="CommentTok"/>
        </w:rPr>
        <w:t xml:space="preserve">Deterministic: fixed seed, identical output on every run.</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accountability content, no clinical payload</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"SPE-AccessLog"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ntrolFlowTok"/>
        </w:rPr>
        <w:t xml:space="preserve">if</w:t>
      </w:r>
      <w:r>
        <w:rPr>
          <w:rStyle w:val="NormalTok"/>
        </w:rPr>
        <w:t xml:space="preserve"> </w:t>
      </w:r>
      <w:r>
        <w:rPr>
          <w:rStyle w:val="VariableTok"/>
        </w:rPr>
        <w:t xml:space="preserve">False</w:t>
      </w:r>
      <w:r>
        <w:rPr>
          <w:rStyle w:val="NormalTok"/>
        </w:rPr>
        <w:t xml:space="preserve"> </w:t>
      </w:r>
      <w:r>
        <w:rPr>
          <w:rStyle w:val="ControlFlowTok"/>
        </w:rPr>
        <w:t xml:space="preserve">else</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Theorem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§4.8)</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V_II(rec, t):</w:t>
      </w:r>
      <w:r>
        <w:br/>
      </w:r>
      <w:r>
        <w:rPr>
          <w:rStyle w:val="NormalTok"/>
        </w:rPr>
        <w:t xml:space="preserve">    </w:t>
      </w:r>
      <w:r>
        <w:rPr>
          <w:rStyle w:val="CommentTok"/>
        </w:rPr>
        <w:t xml:space="preserve">"""(i) metadata intact, (ii) commitment present,</w:t>
      </w:r>
      <w:r>
        <w:br/>
      </w:r>
      <w:r>
        <w:rPr>
          <w:rStyle w:val="CommentTok"/>
        </w:rPr>
        <w:t xml:space="preserve">       (iii) any loss of accessibility is itself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rec.m:</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"metadata missing"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f"&lt;FHIR:Bundle patient-summary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f"&lt;FHIR:AuditEvent spe-access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Theorem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Theorem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metadata intact      : </w:t>
      </w:r>
      <w:r>
        <w:rPr>
          <w:rStyle w:val="SpecialCharTok"/>
        </w:rPr>
        <w:t xml:space="preserve">{</w:t>
      </w:r>
      <w:r>
        <w:rPr>
          <w:rStyle w:val="BuiltInTok"/>
        </w:rPr>
        <w:t xml:space="preserve">bool</w:t>
      </w:r>
      <w:r>
        <w:rPr>
          <w:rStyle w:val="NormalTok"/>
        </w:rPr>
        <w:t xml:space="preserve">(demo.m)</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theorems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526.</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Theorems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f"metadata intact      : True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Theorem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st.json(json.loads(real[</w:t>
      </w:r>
      <w:r>
        <w:rPr>
          <w:rStyle w:val="DecValTok"/>
        </w:rPr>
        <w:t xml:space="preserve">0</w:t>
      </w:r>
      <w:r>
        <w:rPr>
          <w:rStyle w:val="NormalTok"/>
        </w:rPr>
        <w:t xml:space="preserve">].payload))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constructed=35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End w:id="131"/>
    <w:bookmarkStart w:id="138"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2"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2"/>
    <w:bookmarkStart w:id="133"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3"/>
    <w:bookmarkStart w:id="134"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4"/>
    <w:bookmarkStart w:id="135"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5"/>
    <w:bookmarkStart w:id="136"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6"/>
    <w:bookmarkStart w:id="137"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7"/>
    <w:bookmarkEnd w:id="138"/>
    <w:bookmarkStart w:id="158"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3.9.</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39"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39"/>
    <w:bookmarkStart w:id="140"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with one already known to overstate what</w:t>
      </w:r>
      <w:r>
        <w:t xml:space="preserve"> </w:t>
      </w:r>
      <w:r>
        <w:t xml:space="preserve">the thesis claims: item A1 asserts that the mechanism gives auditors</w:t>
      </w:r>
      <w:r>
        <w:t xml:space="preserve"> </w:t>
      </w:r>
      <w:r>
        <w:rPr>
          <w:iCs/>
          <w:i/>
        </w:rPr>
        <w:t xml:space="preserve">full confidence</w:t>
      </w:r>
      <w:r>
        <w:t xml:space="preserve">,</w:t>
      </w:r>
      <w:r>
        <w:t xml:space="preserve"> </w:t>
      </w:r>
      <w:r>
        <w:t xml:space="preserve">which Chapter 6, Section 6.3 explicitly does not claim. It is retained verbatim because it</w:t>
      </w:r>
      <w:r>
        <w:t xml:space="preserve"> </w:t>
      </w:r>
      <w:r>
        <w:t xml:space="preserve">was proposed as the anchor and because silently correcting a supervisor’s wording would</w:t>
      </w:r>
      <w:r>
        <w:t xml:space="preserve"> </w:t>
      </w:r>
      <w:r>
        <w:t xml:space="preserve">misrepresent the record. A pilot is the proper place to resolve it.</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0"/>
    <w:bookmarkStart w:id="141"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1"/>
    <w:bookmarkStart w:id="142"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2"/>
    <w:bookmarkStart w:id="143"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3"/>
    <w:bookmarkStart w:id="148"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4"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4"/>
    <w:bookmarkStart w:id="145"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governs</w:t>
      </w:r>
      <w:r>
        <w:t xml:space="preserve"> </w:t>
      </w:r>
      <w:r>
        <w:t xml:space="preserve">“</w:t>
      </w:r>
      <w:r>
        <w:t xml:space="preserve">the data within the secure processing environment.</w:t>
      </w:r>
      <w:r>
        <w:t xml:space="preserve">”</w:t>
      </w:r>
      <w:r>
        <w:t xml:space="preserve"> </w:t>
      </w:r>
      <w:r>
        <w:t xml:space="preserve">Does that reach the access logs the environment generates, or only the dataset supplied under the permit?</w:t>
      </w:r>
    </w:p>
    <w:bookmarkEnd w:id="145"/>
    <w:bookmarkStart w:id="146"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6"/>
    <w:bookmarkStart w:id="147"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7"/>
    <w:bookmarkEnd w:id="148"/>
    <w:bookmarkStart w:id="154"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9"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49"/>
    <w:bookmarkStart w:id="150"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0"/>
    <w:bookmarkStart w:id="151"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1"/>
    <w:bookmarkStart w:id="152"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rPr>
                <w:iCs/>
                <w:i/>
              </w:rPr>
              <w:t xml:space="preserve">The cryptographic proof gives auditors full confidence that data was lawfully deleted at the required timestamp.</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2"/>
    <w:bookmarkStart w:id="153"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 A1. The anchor statement asserts that the mechanism gives auditors</w:t>
      </w:r>
      <w:r>
        <w:t xml:space="preserve"> </w:t>
      </w:r>
      <w:r>
        <w:rPr>
          <w:iCs/>
          <w:i/>
        </w:rPr>
        <w:t xml:space="preserve">full confidence</w:t>
      </w:r>
      <w:r>
        <w:t xml:space="preserve">, which the thesis itself does not claim: Chapter 6, Section 6.3 states that the invalidation entry is an attestation rather than a proof. The item is retained verbatim because it was proposed as the anchor and because disagreement with it would be an accurate response rather than a failure of the instrument. Item A2 exists to capture that distinction directly, and analysis would read A1 and A2 together rather than A1 alone.</w:t>
      </w:r>
    </w:p>
    <w:p>
      <w:r>
        <w:pict>
          <v:rect style="width:0;height:1.5pt" o:hralign="center" o:hrstd="t" o:hr="t"/>
        </w:pict>
      </w:r>
    </w:p>
    <w:bookmarkEnd w:id="153"/>
    <w:bookmarkEnd w:id="154"/>
    <w:bookmarkStart w:id="155"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5"/>
    <w:bookmarkStart w:id="156"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6"/>
    <w:bookmarkStart w:id="157"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7"/>
    <w:bookmarkEnd w:id="158"/>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2026-10-02T05:40:17Z</dcterms:created>
  <dcterms:modified xsi:type="dcterms:W3CDTF">2026-10-02T05:40:17Z</dcterms:modified>
</cp:coreProperties>
</file>

<file path=docProps/custom.xml><?xml version="1.0" encoding="utf-8"?>
<Properties xmlns="http://schemas.openxmlformats.org/officeDocument/2006/custom-properties" xmlns:vt="http://schemas.openxmlformats.org/officeDocument/2006/docPropsVTypes"/>
</file>