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10" w:name="h_Abstract"/>
      <w:r>
        <w:t xml:space="preserve">Abstract</w:t>
      </w:r>
      <w:bookmarkEnd w:id="1010"/>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for Secure Processing Environment logs at the deletion ceiling, removes the record’s link to the patient, while retaining the accessor’s identity, event metadata, a hiding commitment and a logged invalidation entry in a tamper-evident log.</w:t>
      </w:r>
    </w:p>
    <w:p>
      <w:pPr>
        <w:pStyle w:val="BodyText"/>
      </w:pPr>
      <w:r>
        <w:t xml:space="preserve">Both results are checked in a Python sandbox over two hundred records with Synthea-generated FHIR R4 payloads. The counts depend on the generator parameters and are not estimates of real frequency; the sandbox validates the artefact’s implementation of the model and is not independent evidence for the propositions. The collision that needs no erasure request arises only on a contestable broad reading of Article 68(12),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bookmarkEnd w:id="20"/>
    <w:bookmarkStart w:id="21" w:name="sammendrag"/>
    <w:p>
      <w:pPr>
        <w:pStyle w:val="Heading1"/>
      </w:pPr>
      <w:bookmarkStart w:id="1011" w:name="h_Sammendrag"/>
      <w:r>
        <w:t xml:space="preserve">Sammendrag</w:t>
      </w:r>
      <w:bookmarkEnd w:id="1011"/>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for tilgangslogger i sikre analyserom når sletteplikten inntreffer,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kontrolleres i en Python-sandkasse med to hundre poster og syntetiske FHIR R4-data generert med Synthea. Antallene avhenger av parameterne i generatoren og er ikke anslag over reell hyppighet; sandkassen kontrollerer at artefakten implementerer modellen riktig og er ikke uavhengig belegg for proposisjonene. Kollisjonen som ikke krever noen slettebegjæring, oppstår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012" w:name="h_Statement_of_Contribution"/>
      <w:r>
        <w:t xml:space="preserve">Statement of Contribution</w:t>
      </w:r>
      <w:bookmarkEnd w:id="1012"/>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of an audit log that keeps its payload readable. Proposition 2 establishes satisfiability under an alternative and exhibits the trajectory achieving it. Both are proved informally and checked executably, with a separately written exhaustive cross-check and a bounded SMT check of Propositions 1–3.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removes,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013" w:name="h_Declaration_of_Originality"/>
      <w:r>
        <w:t xml:space="preserve">Declaration of Originality</w:t>
      </w:r>
      <w:bookmarkEnd w:id="1013"/>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014" w:name="h_Nomenclature_and_Abbreviations"/>
      <w:r>
        <w:t xml:space="preserve">Nomenclature and Abbreviations</w:t>
      </w:r>
      <w:bookmarkEnd w:id="1014"/>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2"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w:t>
        </w:r>
        <w:r>
          <w:fldChar w:fldCharType="end"/>
        </w:r>
      </w:hyperlink>
    </w:p>
    <w:p>
      <w:pPr>
        <w:pStyle w:val="TOC2"/>
      </w:pPr>
      <w:hyperlink w:anchor="sec_4_6" w:history="1">
        <w:r>
          <w:rPr/>
          <w:t xml:space="preserve">4.6 Propositions 1 and 3: Infeasibility, and Where the Ceiling Is Anchored</w:t>
        </w:r>
        <w:r>
          <w:tab/>
        </w:r>
        <w:r>
          <w:fldChar w:fldCharType="begin"/>
        </w:r>
        <w:r>
          <w:instrText xml:space="preserve"> PAGEREF sec_4_6 \h </w:instrText>
        </w:r>
        <w:r>
          <w:fldChar w:fldCharType="separate"/>
        </w:r>
        <w:r>
          <w:rPr/>
          <w:t xml:space="preserve">#</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w:t>
        </w:r>
        <w:r>
          <w:fldChar w:fldCharType="end"/>
        </w:r>
      </w:hyperlink>
    </w:p>
    <w:p>
      <w:pPr>
        <w:pStyle w:val="TOC2"/>
      </w:pPr>
      <w:hyperlink w:anchor="sec_4_10" w:history="1">
        <w:r>
          <w:rPr/>
          <w:t xml:space="preserve">4.10 Rival Designs and Proposition 4</w:t>
        </w:r>
        <w:r>
          <w:tab/>
        </w:r>
        <w:r>
          <w:fldChar w:fldCharType="begin"/>
        </w:r>
        <w:r>
          <w:instrText xml:space="preserve"> PAGEREF sec_4_10 \h </w:instrText>
        </w:r>
        <w:r>
          <w:fldChar w:fldCharType="separate"/>
        </w:r>
        <w:r>
          <w:rPr/>
          <w:t xml:space="preserve">#</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w:t>
        </w:r>
        <w:r>
          <w:fldChar w:fldCharType="end"/>
        </w:r>
      </w:hyperlink>
    </w:p>
    <w:p>
      <w:pPr>
        <w:pStyle w:val="TOC2"/>
      </w:pPr>
      <w:hyperlink w:anchor="sec_6_11" w:history="1">
        <w:r>
          <w:rPr/>
          <w:t xml:space="preserve">6.11 Boundaries as Contribution</w:t>
        </w:r>
        <w:r>
          <w:tab/>
        </w:r>
        <w:r>
          <w:fldChar w:fldCharType="begin"/>
        </w:r>
        <w:r>
          <w:instrText xml:space="preserve"> PAGEREF sec_6_11 \h </w:instrText>
        </w:r>
        <w:r>
          <w:fldChar w:fldCharType="separate"/>
        </w:r>
        <w:r>
          <w:rPr/>
          <w:t xml:space="preserve">#</w:t>
        </w:r>
        <w:r>
          <w:fldChar w:fldCharType="end"/>
        </w:r>
      </w:hyperlink>
    </w:p>
    <w:p>
      <w:pPr>
        <w:pStyle w:val="TOC2"/>
      </w:pPr>
      <w:hyperlink w:anchor="sec_6_12" w:history="1">
        <w:r>
          <w:rPr/>
          <w:t xml:space="preserve">6.12 Summary</w:t>
        </w:r>
        <w:r>
          <w:tab/>
        </w:r>
        <w:r>
          <w:fldChar w:fldCharType="begin"/>
        </w:r>
        <w:r>
          <w:instrText xml:space="preserve"> PAGEREF sec_6_12 \h </w:instrText>
        </w:r>
        <w:r>
          <w:fldChar w:fldCharType="separate"/>
        </w:r>
        <w:r>
          <w:rPr/>
          <w:t xml:space="preserve">#</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w:t>
        </w:r>
        <w:r>
          <w:fldChar w:fldCharType="end"/>
        </w:r>
      </w:hyperlink>
    </w:p>
    <w:p>
      <w:pPr>
        <w:pStyle w:val="Heading1"/>
      </w:pPr>
      <w:bookmarkStart w:id="1015" w:name="ch_1"/>
      <w:r>
        <w:t xml:space="preserve">Chapter 1. Introduction</w:t>
      </w:r>
      <w:bookmarkEnd w:id="1015"/>
    </w:p>
    <w:bookmarkStart w:id="25" w:name="background-and-context"/>
    <w:p>
      <w:pPr>
        <w:pStyle w:val="Heading2"/>
      </w:pPr>
      <w:bookmarkStart w:id="1016" w:name="sec_1_1"/>
      <w:r>
        <w:t xml:space="preserve">1.1 Background and Context</w:t>
      </w:r>
      <w:bookmarkEnd w:id="1016"/>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6" w:name="problem-statement"/>
    <w:p>
      <w:pPr>
        <w:pStyle w:val="Heading2"/>
      </w:pPr>
      <w:bookmarkStart w:id="1017" w:name="sec_1_2"/>
      <w:r>
        <w:t xml:space="preserve">1.2 Problem Statement</w:t>
      </w:r>
      <w:bookmarkEnd w:id="1017"/>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w:t>
      </w:r>
      <w:hyperlink w:anchor="sec_1_1" w:history="1">
        <w:r>
          <w:rPr>
            <w:rStyle w:val="Hyperlink"/>
          </w:rPr>
          <w:t xml:space="preserve">Section 1.1</w:t>
        </w:r>
      </w:hyperlink>
      <w:r>
        <w:t xml:space="preserve">),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the length of the floor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through erasure requests, and on one reading of Article 68(12) it arises there even without them.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6"/>
    <w:bookmarkStart w:id="27" w:name="research-objectives-and-questions"/>
    <w:p>
      <w:pPr>
        <w:pStyle w:val="Heading2"/>
      </w:pPr>
      <w:bookmarkStart w:id="1018" w:name="sec_1_3"/>
      <w:r>
        <w:t xml:space="preserve">1.3 Research Objectives and Questions</w:t>
      </w:r>
      <w:bookmarkEnd w:id="1018"/>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The model decomposes each cross-border audit record into an event-metadata component, itself divided into the accessor’s fields and the link to the patient,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27"/>
    <w:bookmarkStart w:id="28" w:name="significance-and-relevance"/>
    <w:p>
      <w:pPr>
        <w:pStyle w:val="Heading2"/>
      </w:pPr>
      <w:bookmarkStart w:id="1019" w:name="sec_1_4"/>
      <w:r>
        <w:t xml:space="preserve">1.4 Significance and Relevance</w:t>
      </w:r>
      <w:bookmarkEnd w:id="1019"/>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also for the conflict’s conditional extension.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28"/>
    <w:bookmarkStart w:id="29" w:name="scope-and-out-of-scope"/>
    <w:p>
      <w:pPr>
        <w:pStyle w:val="Heading2"/>
      </w:pPr>
      <w:bookmarkStart w:id="1020" w:name="sec_1_5"/>
      <w:r>
        <w:t xml:space="preserve">1.5 Scope and Out-of-Scope</w:t>
      </w:r>
      <w:bookmarkEnd w:id="1020"/>
    </w:p>
    <w:p>
      <w:pPr>
        <w:pStyle w:val="FirstParagraph"/>
      </w:pPr>
      <w:r>
        <w:t xml:space="preserve">This thesis is bounded by a deliberate and explicit scope, set by what can be defended within the time and resources of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29"/>
    <w:bookmarkStart w:id="30" w:name="methodological-approach"/>
    <w:p>
      <w:pPr>
        <w:pStyle w:val="Heading2"/>
      </w:pPr>
      <w:bookmarkStart w:id="1021" w:name="sec_1_6"/>
      <w:r>
        <w:t xml:space="preserve">1.6 Methodological Approach</w:t>
      </w:r>
      <w:bookmarkEnd w:id="1021"/>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0"/>
    <w:bookmarkStart w:id="31" w:name="thesis-structure"/>
    <w:p>
      <w:pPr>
        <w:pStyle w:val="Heading2"/>
      </w:pPr>
      <w:bookmarkStart w:id="1022" w:name="sec_1_7"/>
      <w:r>
        <w:t xml:space="preserve">1.7 Thesis Structure</w:t>
      </w:r>
      <w:bookmarkEnd w:id="1022"/>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independent exhaustive cross-check, a bounded SMT check of Propositions 1–3,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1"/>
    <w:bookmarkEnd w:id="32"/>
    <w:bookmarkStart w:id="50" w:name="X61356a8dd943f7272c3310c94cfa9c8ca767dda"/>
    <w:p>
      <w:pPr>
        <w:pStyle w:val="Heading1"/>
      </w:pPr>
      <w:bookmarkStart w:id="1023" w:name="ch_2"/>
      <w:r>
        <w:t xml:space="preserve">Chapter 2. Literature Review and Theoretical Foundation</w:t>
      </w:r>
      <w:bookmarkEnd w:id="1023"/>
    </w:p>
    <w:bookmarkStart w:id="40" w:name="review-protocol"/>
    <w:p>
      <w:pPr>
        <w:pStyle w:val="Heading2"/>
      </w:pPr>
      <w:bookmarkStart w:id="1024" w:name="sec_2_1"/>
      <w:r>
        <w:t xml:space="preserve">2.1 Review Protocol</w:t>
      </w:r>
      <w:bookmarkEnd w:id="1024"/>
    </w:p>
    <w:bookmarkStart w:id="33"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3"/>
    <w:bookmarkStart w:id="34"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4"/>
    <w:bookmarkStart w:id="35"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5"/>
    <w:bookmarkStart w:id="36"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bookmarkEnd w:id="36"/>
    <w:bookmarkStart w:id="37"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37"/>
    <w:bookmarkStart w:id="38"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38"/>
    <w:bookmarkStart w:id="39" w:name="limitations-of-the-protocol"/>
    <w:p>
      <w:pPr>
        <w:pStyle w:val="Heading3"/>
      </w:pPr>
      <w:r>
        <w:t xml:space="preserve">2.1.7 Limitations of the protocol</w:t>
      </w:r>
    </w:p>
    <w:p>
      <w:pPr>
        <w:pStyle w:val="FirstParagraph"/>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39"/>
    <w:bookmarkEnd w:id="40"/>
    <w:bookmarkStart w:id="41" w:name="X777571ee1b46e521d75cc362ca0aec8a0b0f1d5"/>
    <w:p>
      <w:pPr>
        <w:pStyle w:val="Heading2"/>
      </w:pPr>
      <w:bookmarkStart w:id="1025" w:name="sec_2_2"/>
      <w:r>
        <w:t xml:space="preserve">2.2 The Cross-Border Health Data Exchange Landscape</w:t>
      </w:r>
      <w:bookmarkEnd w:id="1025"/>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w:t>
      </w:r>
      <w:hyperlink w:anchor="sec_2_3" w:history="1">
        <w:r>
          <w:rPr>
            <w:rStyle w:val="Hyperlink"/>
          </w:rPr>
          <w:t xml:space="preserve">Section 2.3</w:t>
        </w:r>
      </w:hyperlink>
      <w:r>
        <w:t xml:space="preserve">).</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1"/>
    <w:bookmarkStart w:id="42" w:name="X4be697201be8c63802c0d6f66dbba8224584210"/>
    <w:p>
      <w:pPr>
        <w:pStyle w:val="Heading2"/>
      </w:pPr>
      <w:bookmarkStart w:id="1026" w:name="sec_2_3"/>
      <w:r>
        <w:t xml:space="preserve">2.3 The Audit-Retention versus Right-to-Erasure Tension</w:t>
      </w:r>
      <w:bookmarkEnd w:id="1026"/>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On the broad reading it reaches access logs kept at patient-record granularity, whose entries are themselves data concerning health; on a narrower reading it reaches only the permitted dataset. The reading is contestable,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The renumbering of these obligations between the 2022 proposal and the adopted text, from Articles 46 and 50 to Articles 68 and 73, is one reason the commentary has treated them apart (</w:t>
      </w:r>
      <w:hyperlink w:anchor="ch_1" w:history="1">
        <w:r>
          <w:rPr>
            <w:rStyle w:val="Hyperlink"/>
          </w:rPr>
          <w:t xml:space="preserve">Chapter 1</w:t>
        </w:r>
      </w:hyperlink>
      <w:r>
        <w:t xml:space="preserve">, </w:t>
      </w:r>
      <w:hyperlink w:anchor="sec_1_4" w:history="1">
        <w:r>
          <w:rPr>
            <w:rStyle w:val="Hyperlink"/>
          </w:rPr>
          <w:t xml:space="preserve">Section 1.4</w:t>
        </w:r>
      </w:hyperlink>
      <w:r>
        <w:t xml:space="preserve">).</w:t>
      </w:r>
    </w:p>
    <w:p>
      <w:pPr>
        <w:pStyle w:val="BodyText"/>
      </w:pPr>
      <w:r>
        <w:t xml:space="preserve">In the cross-border pathway the conflict takes the form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SecuPi (2025) criticises it as operationally costly in row-level encryption;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that critique.</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bookmarkEnd w:id="42"/>
    <w:bookmarkStart w:id="43" w:name="X503ef9221cec91dd90cf14136ea9b482a7dd448"/>
    <w:p>
      <w:pPr>
        <w:pStyle w:val="Heading2"/>
      </w:pPr>
      <w:bookmarkStart w:id="1027" w:name="sec_2_4"/>
      <w:r>
        <w:t xml:space="preserve">2.4 Cryptographic Approaches to Audit Compliance</w:t>
      </w:r>
      <w:bookmarkEnd w:id="1027"/>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w:t>
      </w:r>
      <w:r>
        <w:t xml:space="preserve"> </w:t>
      </w:r>
      <w:r>
        <w:t xml:space="preserve">“</w:t>
      </w:r>
      <w:r>
        <w:t xml:space="preserve">immutable audit trail</w:t>
      </w:r>
      <w:r>
        <w:t xml:space="preserve">”</w:t>
      </w:r>
      <w:r>
        <w:t xml:space="preserve">.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3"/>
    <w:bookmarkStart w:id="44" w:name="X6b186caf35254075744a51c53c2cb13b427ff25"/>
    <w:p>
      <w:pPr>
        <w:pStyle w:val="Heading2"/>
      </w:pPr>
      <w:bookmarkStart w:id="1028" w:name="sec_2_5"/>
      <w:r>
        <w:t xml:space="preserve">2.5 Formal Approaches to Regulatory-Compliance Verification</w:t>
      </w:r>
      <w:bookmarkEnd w:id="1028"/>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4"/>
    <w:bookmarkStart w:id="45" w:name="norwegian-secondary-use-infrastructure"/>
    <w:p>
      <w:pPr>
        <w:pStyle w:val="Heading2"/>
      </w:pPr>
      <w:bookmarkStart w:id="1029" w:name="sec_2_6"/>
      <w:r>
        <w:t xml:space="preserve">2.6 Norwegian Secondary-Use Infrastructure</w:t>
      </w:r>
      <w:bookmarkEnd w:id="1029"/>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cross-border audit records this thesis concerns are beginning to be generated in Norway, at presently small volume.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5"/>
    <w:bookmarkStart w:id="46" w:name="information-logistics-framing"/>
    <w:p>
      <w:pPr>
        <w:pStyle w:val="Heading2"/>
      </w:pPr>
      <w:bookmarkStart w:id="1030" w:name="sec_2_7"/>
      <w:r>
        <w:t xml:space="preserve">2.7 Information Logistics Framing</w:t>
      </w:r>
      <w:bookmarkEnd w:id="1030"/>
    </w:p>
    <w:p>
      <w:pPr>
        <w:pStyle w:val="FirstParagraph"/>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6"/>
    <w:bookmarkStart w:id="47" w:name="comparative-analysis"/>
    <w:p>
      <w:pPr>
        <w:pStyle w:val="Heading2"/>
      </w:pPr>
      <w:bookmarkStart w:id="1031" w:name="sec_2_8"/>
      <w:r>
        <w:t xml:space="preserve">2.8 Comparative Analysis</w:t>
      </w:r>
      <w:bookmarkEnd w:id="1031"/>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01" w:name="tbl_2_1"/>
      <w:r>
        <w:rPr>
          <w:b/>
          <w:color w:val="1F3864"/>
        </w:rPr>
        <w:t xml:space="preserve">Table 2.1.</w:t>
      </w:r>
      <w:r>
        <w:t xml:space="preserve"> Comparative Analysis of Cryptographic Compliance Approaches to Health Data Audit</w:t>
      </w:r>
      <w:bookmarkEnd w:id="100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 software only</w:t>
            </w:r>
          </w:p>
        </w:tc>
        <w:tc>
          <w:tcPr/>
          <w:p>
            <w:pPr>
              <w:pStyle w:val="Compact"/>
              <w:jc w:val="left"/>
            </w:pPr>
            <w:r>
              <w:rPr>
                <w:bCs/>
                <w:b/>
                <w:sz w:val="20"/>
                <w:szCs w:val="20"/>
              </w:rPr>
              <w:t xml:space="preserve">Yes — derived from the model, within the EDPB 02/2025 corridor</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47"/>
    <w:bookmarkStart w:id="48" w:name="identified-research-gaps"/>
    <w:p>
      <w:pPr>
        <w:pStyle w:val="Heading2"/>
      </w:pPr>
      <w:bookmarkStart w:id="1032" w:name="sec_2_9"/>
      <w:r>
        <w:t xml:space="preserve">2.9 Identified Research Gaps</w:t>
      </w:r>
      <w:bookmarkEnd w:id="1032"/>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gap holds also for the conflict’s conditional extension.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discharges.</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48"/>
    <w:bookmarkStart w:id="49" w:name="conceptual-positioning-of-the-thesis"/>
    <w:p>
      <w:pPr>
        <w:pStyle w:val="Heading2"/>
      </w:pPr>
      <w:bookmarkStart w:id="1033" w:name="sec_2_10"/>
      <w:r>
        <w:t xml:space="preserve">2.10 Conceptual Positioning of the Thesis</w:t>
      </w:r>
      <w:bookmarkEnd w:id="1033"/>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49"/>
    <w:bookmarkEnd w:id="50"/>
    <w:bookmarkStart w:id="60" w:name="Xc642577019a76bd27fe42ea49bac447856470a9"/>
    <w:p>
      <w:pPr>
        <w:pStyle w:val="Heading1"/>
      </w:pPr>
      <w:bookmarkStart w:id="1034" w:name="ch_3"/>
      <w:r>
        <w:t xml:space="preserve">Chapter 3. Methodology and Research Design</w:t>
      </w:r>
      <w:bookmarkEnd w:id="1034"/>
    </w:p>
    <w:bookmarkStart w:id="51" w:name="research-paradigm"/>
    <w:p>
      <w:pPr>
        <w:pStyle w:val="Heading2"/>
      </w:pPr>
      <w:bookmarkStart w:id="1035" w:name="sec_3_1"/>
      <w:r>
        <w:t xml:space="preserve">3.1 Research Paradigm</w:t>
      </w:r>
      <w:bookmarkEnd w:id="1035"/>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w:t>
      </w:r>
      <w:hyperlink w:anchor="ch_2" w:history="1">
        <w:r>
          <w:rPr>
            <w:rStyle w:val="Hyperlink"/>
          </w:rPr>
          <w:t xml:space="preserve">Chapter 2</w:t>
        </w:r>
      </w:hyperlink>
      <w:r>
        <w:t xml:space="preserve">,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w:t>
      </w:r>
      <w:hyperlink w:anchor="sec_3_3" w:history="1">
        <w:r>
          <w:rPr>
            <w:rStyle w:val="Hyperlink"/>
          </w:rPr>
          <w:t xml:space="preserve">Section 3.3</w:t>
        </w:r>
      </w:hyperlink>
      <w:r>
        <w:t xml:space="preserve">, permits the model and the artefact to be produced together, with the model supplying the rigour and the artefact supplying the relevance.</w:t>
      </w:r>
    </w:p>
    <w:bookmarkEnd w:id="51"/>
    <w:bookmarkStart w:id="52" w:name="the-design-science-cycle-adopted"/>
    <w:p>
      <w:pPr>
        <w:pStyle w:val="Heading2"/>
      </w:pPr>
      <w:bookmarkStart w:id="1036" w:name="sec_3_2"/>
      <w:r>
        <w:t xml:space="preserve">3.2 The Design Science Cycle Adopted</w:t>
      </w:r>
      <w:bookmarkEnd w:id="1036"/>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2"/>
    <w:bookmarkStart w:id="53" w:name="X19f4312b49998825ef2288fd27080c33ccc84e7"/>
    <w:p>
      <w:pPr>
        <w:pStyle w:val="Heading2"/>
      </w:pPr>
      <w:bookmarkStart w:id="1037" w:name="sec_3_3"/>
      <w:r>
        <w:t xml:space="preserve">3.3 The Specification-and-Demonstration Variant, Extended with Formal Modelling</w:t>
      </w:r>
      <w:bookmarkEnd w:id="1037"/>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3"/>
    <w:bookmarkStart w:id="54" w:name="formal-modelling-methodology"/>
    <w:p>
      <w:pPr>
        <w:pStyle w:val="Heading2"/>
      </w:pPr>
      <w:bookmarkStart w:id="1038" w:name="sec_3_4"/>
      <w:r>
        <w:t xml:space="preserve">3.4 Formal-Modelling Methodology</w:t>
      </w:r>
      <w:bookmarkEnd w:id="1038"/>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4"/>
    <w:bookmarkStart w:id="55" w:name="synthetic-data"/>
    <w:p>
      <w:pPr>
        <w:pStyle w:val="Heading2"/>
      </w:pPr>
      <w:bookmarkStart w:id="1039" w:name="sec_3_5"/>
      <w:r>
        <w:t xml:space="preserve">3.5 Synthetic Data</w:t>
      </w:r>
      <w:bookmarkEnd w:id="1039"/>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5"/>
    <w:bookmarkStart w:id="56" w:name="sandbox-implementation-approach"/>
    <w:p>
      <w:pPr>
        <w:pStyle w:val="Heading2"/>
      </w:pPr>
      <w:bookmarkStart w:id="1040" w:name="sec_3_6"/>
      <w:r>
        <w:t xml:space="preserve">3.6 Sandbox Implementation Approach</w:t>
      </w:r>
      <w:bookmarkEnd w:id="1040"/>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when salts are drawn at random (the reported run derives salts from the record identifier for reproducibility; see Appendix A, A.6),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A bounded SMT check with the Z3 solver poses each proposition as a request for a counterexample over every parameter combination within stated bounds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Both are robustness measures rather than components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6"/>
    <w:bookmarkStart w:id="57" w:name="validity-reliability-and-limitations"/>
    <w:p>
      <w:pPr>
        <w:pStyle w:val="Heading2"/>
      </w:pPr>
      <w:bookmarkStart w:id="1041" w:name="sec_3_7"/>
      <w:r>
        <w:t xml:space="preserve">3.7 Validity, Reliability, and Limitations</w:t>
      </w:r>
      <w:bookmarkEnd w:id="1041"/>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57"/>
    <w:bookmarkStart w:id="58" w:name="evaluation-design-for-the-next-cycle"/>
    <w:p>
      <w:pPr>
        <w:pStyle w:val="Heading2"/>
      </w:pPr>
      <w:bookmarkStart w:id="1042" w:name="sec_3_8"/>
      <w:r>
        <w:t xml:space="preserve">3.8 Evaluation Design for the Next Cycle</w:t>
      </w:r>
      <w:bookmarkEnd w:id="1042"/>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58"/>
    <w:bookmarkStart w:id="59" w:name="ethical-considerations"/>
    <w:p>
      <w:pPr>
        <w:pStyle w:val="Heading2"/>
      </w:pPr>
      <w:bookmarkStart w:id="1043" w:name="sec_3_9"/>
      <w:r>
        <w:t xml:space="preserve">3.9 Ethical Considerations</w:t>
      </w:r>
      <w:bookmarkEnd w:id="1043"/>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59"/>
    <w:bookmarkEnd w:id="60"/>
    <w:bookmarkStart w:id="73" w:name="X2971a2bc3f1973506a5daa95b277d527922fc52"/>
    <w:p>
      <w:pPr>
        <w:pStyle w:val="Heading1"/>
      </w:pPr>
      <w:bookmarkStart w:id="1044" w:name="ch_4"/>
      <w:r>
        <w:t xml:space="preserve">Chapter 4. The Tri-Lateral Retention Feasibility Model and the Crypto-Erasure by Invalidation Mechanism</w:t>
      </w:r>
      <w:bookmarkEnd w:id="1044"/>
    </w:p>
    <w:p>
      <w:pPr>
        <w:pStyle w:val="FirstParagraph"/>
      </w:pPr>
      <w:r>
        <w:rPr>
          <w:iCs/>
          <w:i/>
        </w:rPr>
        <w:t xml:space="preserve">Proposition statements and proofs in this chapter are the author’s own. Regulatory claims are anchored to the primary instruments cited at each point.</w:t>
      </w:r>
    </w:p>
    <w:bookmarkStart w:id="61" w:name="purpose-and-structure-of-the-chapter"/>
    <w:p>
      <w:pPr>
        <w:pStyle w:val="Heading2"/>
      </w:pPr>
      <w:bookmarkStart w:id="1045" w:name="sec_4_1"/>
      <w:r>
        <w:t xml:space="preserve">4.1 Purpose and Structure of the Chapter</w:t>
      </w:r>
      <w:bookmarkEnd w:id="1045"/>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an audit log may happen to retain.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1"/>
    <w:bookmarkStart w:id="62" w:name="Xffef421608dbde39858ce0190b0b9b95157db9d"/>
    <w:p>
      <w:pPr>
        <w:pStyle w:val="Heading2"/>
      </w:pPr>
      <w:bookmarkStart w:id="1046" w:name="sec_4_2"/>
      <w:r>
        <w:t xml:space="preserve">4.2 What Must Be Retained: The Necessity Analysis</w:t>
      </w:r>
      <w:bookmarkEnd w:id="1046"/>
    </w:p>
    <w:p>
      <w:pPr>
        <w:pStyle w:val="FirstParagraph"/>
      </w:pPr>
      <w:r>
        <w:t xml:space="preserve">The decomposition that makes the model possible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the length of the floor therefore exceeds what Article 17(3)(b) protects. Article 5(1)(c) positively requires that it not be retained where the purpose can be achieved without it.</w:t>
      </w:r>
    </w:p>
    <w:p>
      <w:pPr>
        <w:pStyle w:val="BodyText"/>
      </w:pPr>
      <w:r>
        <w:rPr>
          <w:iCs/>
          <w:i/>
        </w:rPr>
        <w:t xml:space="preserve">Per record class.</w:t>
      </w:r>
      <w:r>
        <w:t xml:space="preserve"> </w:t>
      </w:r>
      <w:r>
        <w:t xml:space="preserve">The argument has to be made for each class separately, because the payload is defined by where it comes from (</w:t>
      </w:r>
      <w:hyperlink w:anchor="sec_4_3" w:history="1">
        <w:r>
          <w:rPr>
            <w:rStyle w:val="Hyperlink"/>
          </w:rPr>
          <w:t xml:space="preserve">Section 4.3</w:t>
        </w:r>
      </w:hyperlink>
      <w:r>
        <w:t xml:space="preserve">),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w:t>
      </w:r>
      <w:r>
        <w:t xml:space="preserve"> </w:t>
      </w:r>
      <w:r>
        <w:t xml:space="preserve">“</w:t>
      </w:r>
      <w:r>
        <w:t xml:space="preserve">to verify and audit all processing operations in that environment</w:t>
      </w:r>
      <w:r>
        <w:t xml:space="preserve">”</w:t>
      </w:r>
      <w:r>
        <w:t xml:space="preserve">, and an auditor checking that an extraction stayed within its permit may need to know what was run. The thesis therefore does not assume that the whole activity content is unnecessary there; Corollary 2.3 states what follows if part of it is needed.</w:t>
      </w:r>
    </w:p>
    <w:p>
      <w:pPr>
        <w:pStyle w:val="BodyText"/>
      </w:pPr>
      <w:r>
        <w:rPr>
          <w:iCs/>
          <w:i/>
        </w:rPr>
        <w:t xml:space="preserve">The patient link.</w:t>
      </w:r>
      <w:r>
        <w:t xml:space="preserve"> </w:t>
      </w:r>
      <w:r>
        <w:t xml:space="preserve">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w:t>
      </w:r>
      <w:r>
        <w:t xml:space="preserve"> </w:t>
      </w:r>
      <w:r>
        <w:t xml:space="preserve">“</w:t>
      </w:r>
      <w:r>
        <w:t xml:space="preserve">information on the healthcare provider or other individuals who accessed the personal electronic health data</w:t>
      </w:r>
      <w:r>
        <w:t xml:space="preserve">”</w:t>
      </w:r>
      <w:r>
        <w:t xml:space="preserve">,</w:t>
      </w:r>
      <w:r>
        <w:t xml:space="preserve"> </w:t>
      </w:r>
      <w:r>
        <w:t xml:space="preserve">“</w:t>
      </w:r>
      <w:r>
        <w:t xml:space="preserve">the date and time of access</w:t>
      </w:r>
      <w:r>
        <w:t xml:space="preserve">”</w:t>
      </w:r>
      <w:r>
        <w:t xml:space="preserve"> </w:t>
      </w:r>
      <w:r>
        <w:t xml:space="preserve">and</w:t>
      </w:r>
      <w:r>
        <w:t xml:space="preserve"> </w:t>
      </w:r>
      <w:r>
        <w:t xml:space="preserve">“</w:t>
      </w:r>
      <w:r>
        <w:t xml:space="preserve">which personal electronic health data were accessed</w:t>
      </w:r>
      <w:r>
        <w:t xml:space="preserve">”</w:t>
      </w:r>
      <w:r>
        <w:t xml:space="preserve">, available</w:t>
      </w:r>
      <w:r>
        <w:t xml:space="preserve"> </w:t>
      </w:r>
      <w:r>
        <w:t xml:space="preserve">“</w:t>
      </w:r>
      <w:r>
        <w:t xml:space="preserve">for at least three years from each date of access to the data</w:t>
      </w:r>
      <w:r>
        <w:t xml:space="preserve">”</w:t>
      </w:r>
      <w:r>
        <w:t xml:space="preserve"> </w:t>
      </w:r>
      <w:r>
        <w:t xml:space="preserve">(Article 9(1)–(2) EHDS). That information cannot be produced from a record that no longer says whose data were accessed. Retaining the link is therefore necessary for compliance with a legal obligation within the meaning of Article 17(3)(b), and an erasure request reaches the payload but not the link, at least for the period Article 9(2) fixes. Article 9 is framed around the health professional access service, and whether every cross-border access event routed through a National Contact Point falls within it is a question of how the access is made; the patient-facing audit-log interface of MyHealth@EU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serves the same purpose for those that do not. Beyond the Article 9(2) period the link is kept for the rest of the floor on the strength of the deployment binding, which is illustrative here (</w:t>
      </w:r>
      <w:hyperlink w:anchor="sec_4_3" w:history="1">
        <w:r>
          <w:rPr>
            <w:rStyle w:val="Hyperlink"/>
          </w:rPr>
          <w:t xml:space="preserve">Section 4.3</w:t>
        </w:r>
      </w:hyperlink>
      <w:r>
        <w:t xml:space="preserve">), and it is removed at the terminal transition (</w:t>
      </w:r>
      <w:hyperlink w:anchor="sec_4_8" w:history="1">
        <w:r>
          <w:rPr>
            <w:rStyle w:val="Hyperlink"/>
          </w:rPr>
          <w:t xml:space="preserve">Section 4.8</w:t>
        </w:r>
      </w:hyperlink>
      <w:r>
        <w:t xml:space="preserve">). In a Secure Processing Environment the position differs, because the ceiling may reach the link (</w:t>
      </w:r>
      <w:hyperlink w:anchor="sec_4_6" w:history="1">
        <w:r>
          <w:rPr>
            <w:rStyle w:val="Hyperlink"/>
          </w:rPr>
          <w:t xml:space="preserve">Section 4.6</w:t>
        </w:r>
      </w:hyperlink>
      <w:r>
        <w:t xml:space="preserve">).</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bookmarkEnd w:id="62"/>
    <w:bookmarkStart w:id="63" w:name="the-model-objects-and-notation"/>
    <w:p>
      <w:pPr>
        <w:pStyle w:val="Heading2"/>
      </w:pPr>
      <w:bookmarkStart w:id="1047" w:name="sec_4_3"/>
      <w:r>
        <w:t xml:space="preserve">4.3 The Model: Objects and Notation</w:t>
      </w:r>
      <w:bookmarkEnd w:id="1047"/>
    </w:p>
    <w:p>
      <w:pPr>
        <w:pStyle w:val="FirstParagraph"/>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payload</w:t>
      </w:r>
      <w:r>
        <w:t xml:space="preserve">: the content the record carries about what was accessed, as distinct from who accessed it, when and under what authority. It is defined by its source, which depends on the record class; whether accountability needs it is argued per class in </w:t>
      </w:r>
      <w:hyperlink w:anchor="sec_4_2" w:history="1">
        <w:r>
          <w:rPr>
            <w:rStyle w:val="Hyperlink"/>
          </w:rPr>
          <w:t xml:space="preserve">Section 4.2</w:t>
        </w:r>
      </w:hyperlink>
      <w:r>
        <w:t xml:space="preserve">, and Corollary 2.3 states what follows if part of it is needed.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w:t>
      </w:r>
      <w:r>
        <w:t xml:space="preserve"> </w:t>
      </w:r>
      <w:r>
        <w:t xml:space="preserve">“</w:t>
      </w:r>
      <w:r>
        <w:t xml:space="preserve">access to electronic health data</w:t>
      </w:r>
      <w:r>
        <w:t xml:space="preserve">”</w:t>
      </w:r>
      <w:r>
        <w:t xml:space="preserve"> </w:t>
      </w:r>
      <w:r>
        <w:t xml:space="preserve">and</w:t>
      </w:r>
      <w:r>
        <w:t xml:space="preserve"> </w:t>
      </w:r>
      <w:r>
        <w:t xml:space="preserve">“</w:t>
      </w:r>
      <w:r>
        <w:t xml:space="preserve">data import, export, or release of outputs</w:t>
      </w:r>
      <w:r>
        <w:t xml:space="preserve">”</w:t>
      </w:r>
      <w:r>
        <w:t xml:space="preserve"> </w:t>
      </w:r>
      <w:r>
        <w:t xml:space="preserve">and fixes no fields (TEHDAS2, 2026, Table 5.4, OPR-17, p. 51); what an environment records under those headings beyond the accessor fields is</w:t>
      </w:r>
      <w:r>
        <w:t xml:space="preserve"> </w:t>
      </w:r>
      <m:oMath>
        <m:r>
          <m:t>p</m:t>
        </m:r>
        <m:d>
          <m:dPr>
            <m:begChr m:val="("/>
            <m:sepChr m:val=""/>
            <m:endChr m:val=")"/>
            <m:grow/>
          </m:dPr>
          <m:e>
            <m:r>
              <m:t>a</m:t>
            </m:r>
          </m:e>
        </m:d>
      </m:oMath>
      <w:r>
        <w:t xml:space="preserve">, and whether auditing</w:t>
      </w:r>
      <w:r>
        <w:t xml:space="preserve"> </w:t>
      </w:r>
      <w:r>
        <w:t xml:space="preserve">“</w:t>
      </w:r>
      <w:r>
        <w:t xml:space="preserve">all processing operations</w:t>
      </w:r>
      <w:r>
        <w:t xml:space="preserve">”</w:t>
      </w:r>
      <w:r>
        <w:t xml:space="preserve"> </w:t>
      </w:r>
      <w:r>
        <w:t xml:space="preserve">needs part of it is the question Corollary 2.3 answers conditionally. The model does not require</w:t>
      </w:r>
      <w:r>
        <w:t xml:space="preserve"> </w:t>
      </w:r>
      <m:oMath>
        <m:r>
          <m:t>p</m:t>
        </m:r>
        <m:d>
          <m:dPr>
            <m:begChr m:val="("/>
            <m:sepChr m:val=""/>
            <m:endChr m:val=")"/>
            <m:grow/>
          </m:dPr>
          <m:e>
            <m:r>
              <m:t>a</m:t>
            </m:r>
          </m:e>
        </m:d>
      </m:oMath>
      <w:r>
        <w:t xml:space="preserve"> </w:t>
      </w:r>
      <w:r>
        <w:t xml:space="preserve">to be a clinical document.</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3"/>
    <w:bookmarkStart w:id="64" w:name="the-three-constraints"/>
    <w:p>
      <w:pPr>
        <w:pStyle w:val="Heading2"/>
      </w:pPr>
      <w:bookmarkStart w:id="1048" w:name="sec_4_4"/>
      <w:r>
        <w:t xml:space="preserve">4.4 The Three Constraints</w:t>
      </w:r>
      <w:bookmarkEnd w:id="1048"/>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the eHDSI deployment baseline as reported, an illustrative value,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 In the secondary-use pathway two provisions narrow C2 further. Article 17(3)(d) GDPR disapplies the right where processing is necessary for</w:t>
      </w:r>
      <w:r>
        <w:t xml:space="preserve"> </w:t>
      </w:r>
      <w:r>
        <w:t xml:space="preserve">“</w:t>
      </w:r>
      <w:r>
        <w:t xml:space="preserve">scientific or historical research purposes or statistical purposes in accordance with Article 89(1) in so far as the right referred to in paragraph 1 is likely to render impossible or seriously impair the achievement of the objectives of that processing</w:t>
      </w:r>
      <w:r>
        <w:t xml:space="preserve">”</w:t>
      </w:r>
      <w:r>
        <w:t xml:space="preserve">,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4"/>
    <w:bookmarkStart w:id="65" w:name="two-semantics-of-verifiability"/>
    <w:p>
      <w:pPr>
        <w:pStyle w:val="Heading2"/>
      </w:pPr>
      <w:bookmarkStart w:id="1049" w:name="sec_4_5"/>
      <w:r>
        <w:t xml:space="preserve">4.5 Two Semantics of Verifiability</w:t>
      </w:r>
      <w:bookmarkEnd w:id="1049"/>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keeps such a log. OpenNCP’s audit record repository stores every received audit message whole, in a database column for the message content, with the patient identifier in a readable column and a further column for the participant-object query; it refuses to modify a stored message, and it contains no retention, purge or erasure logic, so how long the content stays readable is left to the operator (OpenNCP Project, 2017; Sundhedsdatastyrelsen, 2026). In the 2017 source inspected, the patient-discovery audit carries the patient identifier and the full SOAP security header of the request, though not the demographic query that ITI-55 asks gateways to record; the current schema, deployed with OpenNCP 9.1.0, keeps the column for it. How other deployments configure retention is not established here. No instrument states this semantics, and none states the alternative.</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5"/>
    <w:bookmarkStart w:id="66" w:name="X92b2126634aa6a7e3b60431749c90a4eaf881bd"/>
    <w:p>
      <w:pPr>
        <w:pStyle w:val="Heading2"/>
      </w:pPr>
      <w:bookmarkStart w:id="1050" w:name="sec_4_6"/>
      <w:r>
        <w:t xml:space="preserve">4.6 Propositions 1 and 3: Infeasibility, and Where the Ceiling Is Anchored</w:t>
      </w:r>
      <w:bookmarkEnd w:id="1050"/>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a conditional extension of the problem statement; the request-driven conflict of Corollary 1.1 does not depend on it.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conditional extension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6"/>
    <w:bookmarkStart w:id="67" w:name="X6dfe5408d6382a293db062cfe2ac490646497a6"/>
    <w:p>
      <w:pPr>
        <w:pStyle w:val="Heading2"/>
      </w:pPr>
      <w:bookmarkStart w:id="1051" w:name="sec_4_7"/>
      <w:r>
        <w:t xml:space="preserve">4.7 Proposition 2: Feasibility under Accountability-Preserving Verifiability</w:t>
      </w:r>
      <w:bookmarkEnd w:id="1051"/>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Corollary 2.3 (sensitivity to what auditing needs).</w:t>
      </w:r>
      <w:r>
        <w:t xml:space="preserve"> </w:t>
      </w:r>
      <w:r>
        <w:t xml:space="preserve">Partition the payload as</w:t>
      </w:r>
      <w:r>
        <w:t xml:space="preserve"> </w:t>
      </w:r>
      <m:oMath>
        <m:r>
          <m:t>p</m:t>
        </m:r>
        <m:d>
          <m:dPr>
            <m:begChr m:val="("/>
            <m:sepChr m:val=""/>
            <m:endChr m:val=")"/>
            <m:grow/>
          </m:dPr>
          <m:e>
            <m:r>
              <m:t>a</m:t>
            </m:r>
          </m:e>
        </m:d>
        <m:r>
          <m:rPr>
            <m:sty m:val="p"/>
          </m:rPr>
          <m:t>=</m:t>
        </m:r>
        <m:sSub>
          <m:e>
            <m:r>
              <m:t>p</m:t>
            </m:r>
          </m:e>
          <m:sub>
            <m:r>
              <m:t>n</m:t>
            </m:r>
          </m:sub>
        </m:sSub>
        <m:d>
          <m:dPr>
            <m:begChr m:val="("/>
            <m:sepChr m:val=""/>
            <m:endChr m:val=")"/>
            <m:grow/>
          </m:dPr>
          <m:e>
            <m:r>
              <m:t>a</m:t>
            </m:r>
          </m:e>
        </m:d>
        <m:r>
          <m:rPr>
            <m:sty m:val="p"/>
          </m:rPr>
          <m:t>∪</m:t>
        </m:r>
        <m:sSub>
          <m:e>
            <m:r>
              <m:t>p</m:t>
            </m:r>
          </m:e>
          <m:sub>
            <m:r>
              <m:t>r</m:t>
            </m:r>
          </m:sub>
        </m:sSub>
        <m:d>
          <m:dPr>
            <m:begChr m:val="("/>
            <m:sepChr m:val=""/>
            <m:endChr m:val=")"/>
            <m:grow/>
          </m:dPr>
          <m:e>
            <m:r>
              <m:t>a</m:t>
            </m:r>
          </m:e>
        </m:d>
      </m:oMath>
      <w:r>
        <w:t xml:space="preserve">, where</w:t>
      </w:r>
      <w:r>
        <w:t xml:space="preserve"> </w:t>
      </w:r>
      <m:oMath>
        <m:sSub>
          <m:e>
            <m:r>
              <m:t>p</m:t>
            </m:r>
          </m:e>
          <m:sub>
            <m:r>
              <m:t>n</m:t>
            </m:r>
          </m:sub>
        </m:sSub>
        <m:d>
          <m:dPr>
            <m:begChr m:val="("/>
            <m:sepChr m:val=""/>
            <m:endChr m:val=")"/>
            <m:grow/>
          </m:dPr>
          <m:e>
            <m:r>
              <m:t>a</m:t>
            </m:r>
          </m:e>
        </m:d>
      </m:oMath>
      <w:r>
        <w:t xml:space="preserve"> </w:t>
      </w:r>
      <w:r>
        <w:t xml:space="preserve">is any part that auditing turns out to need, and retain</w:t>
      </w:r>
      <w:r>
        <w:t xml:space="preserve"> </w:t>
      </w:r>
      <m:oMath>
        <m:sSub>
          <m:e>
            <m:r>
              <m:t>p</m:t>
            </m:r>
          </m:e>
          <m:sub>
            <m:r>
              <m:t>n</m:t>
            </m:r>
          </m:sub>
        </m:sSub>
        <m:d>
          <m:dPr>
            <m:begChr m:val="("/>
            <m:sepChr m:val=""/>
            <m:endChr m:val=")"/>
            <m:grow/>
          </m:dPr>
          <m:e>
            <m:r>
              <m:t>a</m:t>
            </m:r>
          </m:e>
        </m:d>
      </m:oMath>
      <w:r>
        <w:t xml:space="preserve"> </w:t>
      </w:r>
      <w:r>
        <w:t xml:space="preserve">with the accessor fields. The trajectory of Proposition 2, with</w:t>
      </w:r>
      <w:r>
        <w:t xml:space="preserve"> </w:t>
      </w:r>
      <m:oMath>
        <m:sSub>
          <m:e>
            <m:r>
              <m:t>p</m:t>
            </m:r>
          </m:e>
          <m:sub>
            <m:r>
              <m:t>r</m:t>
            </m:r>
          </m:sub>
        </m:sSub>
        <m:d>
          <m:dPr>
            <m:begChr m:val="("/>
            <m:sepChr m:val=""/>
            <m:endChr m:val=")"/>
            <m:grow/>
          </m:dPr>
          <m:e>
            <m:r>
              <m:t>a</m:t>
            </m:r>
          </m:e>
        </m:d>
      </m:oMath>
      <w:r>
        <w:t xml:space="preserve"> </w:t>
      </w:r>
      <w:r>
        <w:t xml:space="preserve">in place of</w:t>
      </w:r>
      <w:r>
        <w:t xml:space="preserve"> </w:t>
      </w:r>
      <m:oMath>
        <m:r>
          <m:t>p</m:t>
        </m:r>
        <m:d>
          <m:dPr>
            <m:begChr m:val="("/>
            <m:sepChr m:val=""/>
            <m:endChr m:val=")"/>
            <m:grow/>
          </m:dPr>
          <m:e>
            <m:r>
              <m:t>a</m:t>
            </m:r>
          </m:e>
        </m:d>
      </m:oMath>
      <w:r>
        <w:t xml:space="preserve">, satisfies C1 and C2, and it satisfies C3 unless</w:t>
      </w:r>
      <w:r>
        <w:t xml:space="preserve"> </w:t>
      </w:r>
      <m:oMath>
        <m:sSub>
          <m:e>
            <m:r>
              <m:t>p</m:t>
            </m:r>
          </m:e>
          <m:sub>
            <m:r>
              <m:t>n</m:t>
            </m:r>
          </m:sub>
        </m:sSub>
        <m:d>
          <m:dPr>
            <m:begChr m:val="("/>
            <m:sepChr m:val=""/>
            <m:endChr m:val=")"/>
            <m:grow/>
          </m:dPr>
          <m:e>
            <m:r>
              <m:t>a</m:t>
            </m:r>
          </m:e>
        </m:d>
      </m:oMath>
      <w:r>
        <w:t xml:space="preserve"> </w:t>
      </w:r>
      <w:r>
        <w:t xml:space="preserve">is itself electronic health data within the environment on the broad reading of Article 68(12). In that case C1 and C3 collide over</w:t>
      </w:r>
      <w:r>
        <w:t xml:space="preserve"> </w:t>
      </w:r>
      <m:oMath>
        <m:sSub>
          <m:e>
            <m:r>
              <m:t>p</m:t>
            </m:r>
          </m:e>
          <m:sub>
            <m:r>
              <m:t>n</m:t>
            </m:r>
          </m:sub>
        </m:sSub>
        <m:d>
          <m:dPr>
            <m:begChr m:val="("/>
            <m:sepChr m:val=""/>
            <m:endChr m:val=")"/>
            <m:grow/>
          </m:dPr>
          <m:e>
            <m:r>
              <m:t>a</m:t>
            </m:r>
          </m:e>
        </m:d>
      </m:oMath>
      <w:r>
        <w:t xml:space="preserve"> </w:t>
      </w:r>
      <w:r>
        <w:t xml:space="preserve">for exactly the records that Proposition 3(ii) identifies, and only relocation (</w:t>
      </w:r>
      <w:hyperlink w:anchor="sec_4_10" w:history="1">
        <w:r>
          <w:rPr>
            <w:rStyle w:val="Hyperlink"/>
          </w:rPr>
          <w:t xml:space="preserve">Section 4.10</w:t>
        </w:r>
      </w:hyperlink>
      <w:r>
        <w:t xml:space="preserve">, Rival 6) meets both.</w:t>
      </w:r>
    </w:p>
    <w:p>
      <w:pPr>
        <w:pStyle w:val="BodyText"/>
      </w:pPr>
      <w:r>
        <w:rPr>
          <w:iCs/>
          <w:i/>
        </w:rPr>
        <w:t xml:space="preserve">Proof sketch.</w:t>
      </w:r>
      <w:r>
        <w:t xml:space="preserve"> </w:t>
      </w:r>
      <w:r>
        <w:t xml:space="preserve">Replace</w:t>
      </w:r>
      <w:r>
        <w:t xml:space="preserve"> </w:t>
      </w:r>
      <m:oMath>
        <m:r>
          <m:t>p</m:t>
        </m:r>
      </m:oMath>
      <w:r>
        <w:t xml:space="preserve"> </w:t>
      </w:r>
      <w:r>
        <w:t xml:space="preserve">by</w:t>
      </w:r>
      <w:r>
        <w:t xml:space="preserve"> </w:t>
      </w:r>
      <m:oMath>
        <m:sSub>
          <m:e>
            <m:r>
              <m:t>p</m:t>
            </m:r>
          </m:e>
          <m:sub>
            <m:r>
              <m:t>r</m:t>
            </m:r>
          </m:sub>
        </m:sSub>
      </m:oMath>
      <w:r>
        <w:t xml:space="preserve"> </w:t>
      </w:r>
      <w:r>
        <w:t xml:space="preserve">in steps 1–4 and add</w:t>
      </w:r>
      <w:r>
        <w:t xml:space="preserve"> </w:t>
      </w:r>
      <m:oMath>
        <m:sSub>
          <m:e>
            <m:r>
              <m:t>p</m:t>
            </m:r>
          </m:e>
          <m:sub>
            <m:r>
              <m:t>n</m:t>
            </m:r>
          </m:sub>
        </m:sSub>
      </m:oMath>
      <w:r>
        <w:t xml:space="preserve"> </w:t>
      </w:r>
      <w:r>
        <w:t xml:space="preserve">to the fields that condition (i) of Semantics II keeps intact. C1 holds as before. C2 holds for</w:t>
      </w:r>
      <w:r>
        <w:t xml:space="preserve"> </w:t>
      </w:r>
      <m:oMath>
        <m:sSub>
          <m:e>
            <m:r>
              <m:t>p</m:t>
            </m:r>
          </m:e>
          <m:sub>
            <m:r>
              <m:t>r</m:t>
            </m:r>
          </m:sub>
        </m:sSub>
      </m:oMath>
      <w:r>
        <w:t xml:space="preserve"> </w:t>
      </w:r>
      <w:r>
        <w:t xml:space="preserve">as before, and for</w:t>
      </w:r>
      <w:r>
        <w:t xml:space="preserve"> </w:t>
      </w:r>
      <m:oMath>
        <m:sSub>
          <m:e>
            <m:r>
              <m:t>p</m:t>
            </m:r>
          </m:e>
          <m:sub>
            <m:r>
              <m:t>n</m:t>
            </m:r>
          </m:sub>
        </m:sSub>
      </m:oMath>
      <w:r>
        <w:t xml:space="preserve"> </w:t>
      </w:r>
      <w:r>
        <w:t xml:space="preserve">through Article 17(3)(b), which applies because</w:t>
      </w:r>
      <w:r>
        <w:t xml:space="preserve"> </w:t>
      </w:r>
      <m:oMath>
        <m:sSub>
          <m:e>
            <m:r>
              <m:t>p</m:t>
            </m:r>
          </m:e>
          <m:sub>
            <m:r>
              <m:t>n</m:t>
            </m:r>
          </m:sub>
        </m:sSub>
      </m:oMath>
      <w:r>
        <w:t xml:space="preserve"> </w:t>
      </w:r>
      <w:r>
        <w:t xml:space="preserve">is by assumption necessary. C3 constrains whatever is electronic health data within the environment: if</w:t>
      </w:r>
      <w:r>
        <w:t xml:space="preserve"> </w:t>
      </w:r>
      <m:oMath>
        <m:sSub>
          <m:e>
            <m:r>
              <m:t>p</m:t>
            </m:r>
          </m:e>
          <m:sub>
            <m:r>
              <m:t>n</m:t>
            </m:r>
          </m:sub>
        </m:sSub>
      </m:oMath>
      <w:r>
        <w:t xml:space="preserve"> </w:t>
      </w:r>
      <w:r>
        <w:t xml:space="preserve">is not, C3 is met as before; if it is, C3 requires it gone from</w:t>
      </w:r>
      <w:r>
        <w:t xml:space="preserve"> </w:t>
      </w:r>
      <m:oMath>
        <m:sSub>
          <m:e>
            <m:r>
              <m:t>t</m:t>
            </m:r>
          </m:e>
          <m:sub>
            <m:r>
              <m:t>π</m:t>
            </m:r>
          </m:sub>
        </m:sSub>
        <m:d>
          <m:dPr>
            <m:begChr m:val="("/>
            <m:sepChr m:val=""/>
            <m:endChr m:val=")"/>
            <m:grow/>
          </m:dPr>
          <m:e>
            <m:r>
              <m:t>a</m:t>
            </m:r>
          </m:e>
        </m:d>
        <m:r>
          <m:rPr>
            <m:sty m:val="p"/>
          </m:rPr>
          <m:t>+</m:t>
        </m:r>
        <m:r>
          <m:t>6</m:t>
        </m:r>
      </m:oMath>
      <w:r>
        <w:t xml:space="preserve"> </w:t>
      </w:r>
      <w:r>
        <w:t xml:space="preserve">while C1 requires it until</w:t>
      </w:r>
      <w:r>
        <w:t xml:space="preserve"> </w:t>
      </w:r>
      <m:oMath>
        <m:r>
          <m:t>t</m:t>
        </m:r>
        <m:d>
          <m:dPr>
            <m:begChr m:val="("/>
            <m:sepChr m:val=""/>
            <m:endChr m:val=")"/>
            <m:grow/>
          </m:dPr>
          <m:e>
            <m:r>
              <m:t>a</m:t>
            </m:r>
          </m:e>
        </m:d>
        <m:r>
          <m:rPr>
            <m:sty m:val="p"/>
          </m:rPr>
          <m:t>+</m:t>
        </m:r>
        <m:r>
          <m:t>F</m:t>
        </m:r>
        <m:d>
          <m:dPr>
            <m:begChr m:val="("/>
            <m:sepChr m:val=""/>
            <m:endChr m:val=")"/>
            <m:grow/>
          </m:dPr>
          <m:e>
            <m:r>
              <m:t>a</m:t>
            </m:r>
          </m:e>
        </m:d>
      </m:oMath>
      <w:r>
        <w:t xml:space="preserve">, and Proposition 3 gives the records for which these overlap. ∎</w:t>
      </w:r>
    </w:p>
    <w:p>
      <w:pPr>
        <w:pStyle w:val="BodyText"/>
      </w:pPr>
      <w:r>
        <w:t xml:space="preserve">Feasibility therefore survives any enlargement of what auditing needs, except an enlargement into data concerning health inside a Secure Processing Environment, where it fails exactly as Corollary 1.2 does and is answered the same way.</w:t>
      </w:r>
    </w:p>
    <w:p>
      <w:pPr>
        <w:pStyle w:val="BodyText"/>
      </w:pPr>
      <w:r>
        <w:rPr>
          <w:iCs/>
          <w:i/>
        </w:rPr>
        <w:t xml:space="preserve">A note on what kind of result this is.</w:t>
      </w:r>
      <w:r>
        <w:t xml:space="preserve"> </w:t>
      </w:r>
      <w:r>
        <w:t xml:space="preserve">The results of this chapter are stated as propositions rather than theorems, because their proofs are short once the semantics are fixed. The weight of the argument lies elsewhere: in </w:t>
      </w:r>
      <w:hyperlink w:anchor="sec_4_2" w:history="1">
        <w:r>
          <w:rPr>
            <w:rStyle w:val="Hyperlink"/>
          </w:rPr>
          <w:t xml:space="preserve">Section 4.2</w:t>
        </w:r>
      </w:hyperlink>
      <w:r>
        <w:t xml:space="preserve">’s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plaintext verifiability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10" w:history="1">
        <w:r>
          <w:rPr>
            <w:rStyle w:val="Hyperlink"/>
          </w:rPr>
          <w:t xml:space="preserve">Section 4.10</w:t>
        </w:r>
      </w:hyperlink>
      <w:r>
        <w:t xml:space="preserve"> concedes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67"/>
    <w:bookmarkStart w:id="68" w:name="Xbab0c38be3b68c0190d99bdc4068769bc35fcf9"/>
    <w:p>
      <w:pPr>
        <w:pStyle w:val="Heading2"/>
      </w:pPr>
      <w:bookmarkStart w:id="1052" w:name="sec_4_8"/>
      <w:r>
        <w:t xml:space="preserve">4.8 The Mechanism: Crypto-Erasure by Invalidation</w:t>
      </w:r>
      <w:bookmarkEnd w:id="1052"/>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erasure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erasing: the accessor fields, the creation month and the commitment, never the payload and never the subject fields.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 Redactable and chameleon-hash designs,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resolve the same tension the other way, by letting a key holder rewrite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A specific payload was bound to that event, which follows from</w:t>
      </w:r>
      <w:r>
        <w:t xml:space="preserve"> </w:t>
      </w:r>
      <m:oMath>
        <m:r>
          <m:t>c</m:t>
        </m:r>
        <m:d>
          <m:dPr>
            <m:begChr m:val="("/>
            <m:sepChr m:val=""/>
            <m:endChr m:val=")"/>
            <m:grow/>
          </m:dPr>
          <m:e>
            <m:r>
              <m:t>a</m:t>
            </m:r>
          </m:e>
        </m:d>
      </m:oMath>
      <w:r>
        <w:t xml:space="preser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The patient link is retained there through the floor, for the reason </w:t>
      </w:r>
      <w:hyperlink w:anchor="sec_4_2" w:history="1">
        <w:r>
          <w:rPr>
            <w:rStyle w:val="Hyperlink"/>
          </w:rPr>
          <w:t xml:space="preserve">Section 4.2</w:t>
        </w:r>
      </w:hyperlink>
      <w:r>
        <w:t xml:space="preserve"> gives, and removed at the terminal transition.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68"/>
    <w:bookmarkStart w:id="69" w:name="residue-analysis"/>
    <w:p>
      <w:pPr>
        <w:pStyle w:val="Heading2"/>
      </w:pPr>
      <w:bookmarkStart w:id="1053" w:name="sec_4_9"/>
      <w:r>
        <w:t xml:space="preserve">4.9 Residue Analysis</w:t>
      </w:r>
      <w:bookmarkEnd w:id="1053"/>
    </w:p>
    <w:p>
      <w:pPr>
        <w:pStyle w:val="FirstParagraph"/>
      </w:pPr>
      <w:r>
        <w:t xml:space="preserve">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69"/>
    <w:bookmarkStart w:id="70" w:name="rival-designs-and-proposition-4"/>
    <w:p>
      <w:pPr>
        <w:pStyle w:val="Heading2"/>
      </w:pPr>
      <w:bookmarkStart w:id="1054" w:name="sec_4_10"/>
      <w:r>
        <w:t xml:space="preserve">4.10 Rival Designs and Proposition 4</w:t>
      </w:r>
      <w:bookmarkEnd w:id="1054"/>
    </w:p>
    <w:p>
      <w:pPr>
        <w:pStyle w:val="FirstParagraph"/>
      </w:pPr>
      <w:r>
        <w:t xml:space="preserve">Six alternative designs are considered.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commitment bound into the log at write time constrains this only for a party that kept its own opening; once the salt and payload are destroyed no auditor can open it, so the commitment alone gives a narrower advantage than it may appear to. What does constrain substitution is the log: the entry written at the access event, commitment included, cannot be altered without failing its inclusion proof (</w:t>
      </w:r>
      <w:hyperlink w:anchor="sec_4_8" w:history="1">
        <w:r>
          <w:rPr>
            <w:rStyle w:val="Hyperlink"/>
          </w:rPr>
          <w:t xml:space="preserve">Section 4.8</w:t>
        </w:r>
      </w:hyperlink>
      <w:r>
        <w:t xml:space="preserve">).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as a legal premise rather than a mathematical consequence,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7" w:history="1">
        <w:r>
          <w:rPr>
            <w:rStyle w:val="Hyperlink"/>
          </w:rPr>
          <w:t xml:space="preserve">Section 4.7</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0"/>
    <w:bookmarkStart w:id="71" w:name="X51924fffb4499c77bcb597712556eecab7674b1"/>
    <w:p>
      <w:pPr>
        <w:pStyle w:val="Heading2"/>
      </w:pPr>
      <w:bookmarkStart w:id="1055" w:name="sec_4_11"/>
      <w:r>
        <w:t xml:space="preserve">4.11 Integration with the Norwegian Infrastructure</w:t>
      </w:r>
      <w:bookmarkEnd w:id="1055"/>
    </w:p>
    <w:p>
      <w:pPr>
        <w:pStyle w:val="FirstParagraph"/>
      </w:pPr>
      <w:r>
        <w:t xml:space="preserve">The mechanism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TableCaption"/>
      </w:pPr>
      <w:bookmarkStart w:id="1002" w:name="tbl_4_1"/>
      <w:r>
        <w:rPr>
          <w:b/>
          <w:color w:val="1F3864"/>
        </w:rPr>
        <w:t xml:space="preserve">Table 4.1.</w:t>
      </w:r>
      <w:r>
        <w:t xml:space="preserve"> Requirements traced to the mechanism</w:t>
      </w:r>
      <w:bookmarkEnd w:id="100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Key deletion may serve erasure where physical deletion is not possible; threat model documented</w:t>
            </w:r>
          </w:p>
        </w:tc>
        <w:tc>
          <w:tcPr/>
          <w:p>
            <w:pPr>
              <w:pStyle w:val="Compact"/>
              <w:jc w:val="left"/>
            </w:pPr>
            <w:r>
              <w:rPr>
                <w:sz w:val="20"/>
                <w:szCs w:val="20"/>
              </w:rPr>
              <w:t xml:space="preserve">EDPB Guidelines 02/2025 v2.0; Aikebaier (2026) on the threat model</w:t>
            </w:r>
          </w:p>
        </w:tc>
        <w:tc>
          <w:tcPr/>
          <w:p>
            <w:pPr>
              <w:pStyle w:val="Compact"/>
              <w:jc w:val="left"/>
            </w:pPr>
            <w:r>
              <w:rPr>
                <w:sz w:val="20"/>
                <w:szCs w:val="20"/>
              </w:rPr>
              <w:t xml:space="preserve">Per-record keys under a key-encrypting key; trust assumptions stated</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Hierarchy met in the optional module; hardware custody and the threat model by specification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1"/>
    <w:bookmarkStart w:id="72" w:name="summary"/>
    <w:p>
      <w:pPr>
        <w:pStyle w:val="Heading2"/>
      </w:pPr>
      <w:bookmarkStart w:id="1056" w:name="sec_4_12"/>
      <w:r>
        <w:t xml:space="preserve">4.12 Summary</w:t>
      </w:r>
      <w:bookmarkEnd w:id="1056"/>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 The terminal transition, the per-entry nonce, consistency proofs and the accumulator layer are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Propositions 1 and 2 executably, over synthetic records generated as described in Chapter 3.</w:t>
      </w:r>
    </w:p>
    <w:bookmarkEnd w:id="72"/>
    <w:bookmarkEnd w:id="73"/>
    <w:bookmarkStart w:id="82" w:name="chapter-5.-demonstration"/>
    <w:p>
      <w:pPr>
        <w:pStyle w:val="Heading1"/>
      </w:pPr>
      <w:bookmarkStart w:id="1057" w:name="ch_5"/>
      <w:r>
        <w:t xml:space="preserve">Chapter 5. Demonstration</w:t>
      </w:r>
      <w:bookmarkEnd w:id="1057"/>
    </w:p>
    <w:p>
      <w:pPr>
        <w:pStyle w:val="FirstParagraph"/>
      </w:pPr>
      <w:r>
        <w:rPr>
          <w:iCs/>
          <w:i/>
        </w:rPr>
        <w:t xml:space="preserve">Every figure reported in this chapter was produced by the code listed in Appendix A, executed under seed 20260915. The full-cohort comparison of </w:t>
      </w:r>
      <w:hyperlink w:anchor="tbl_5_7" w:history="1">
        <w:r>
          <w:rPr>
            <w:rStyle w:val="Hyperlink"/>
            <w:iCs/>
            <w:i/>
          </w:rPr>
          <w:t xml:space="preserve">Table 5.7</w:t>
        </w:r>
      </w:hyperlink>
      <w:r>
        <w:rPr>
          <w:iCs/>
          <w:i/>
        </w:rPr>
        <w:t xml:space="preserve"> was recorded on 28 September with the code of that date; the committed-subset run (Appendix A, A.21) repeats it with the current code and gives the same figures.</w:t>
      </w:r>
    </w:p>
    <w:bookmarkStart w:id="74" w:name="purpose-and-claim"/>
    <w:p>
      <w:pPr>
        <w:pStyle w:val="Heading2"/>
      </w:pPr>
      <w:bookmarkStart w:id="1058" w:name="sec_5_1"/>
      <w:r>
        <w:t xml:space="preserve">5.1 Purpose and Claim</w:t>
      </w:r>
      <w:bookmarkEnd w:id="1058"/>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Propositions 3 and 4 are analytic and are not executed here, although </w:t>
      </w:r>
      <w:hyperlink w:anchor="sec_5_4" w:history="1">
        <w:r>
          <w:rPr>
            <w:rStyle w:val="Hyperlink"/>
          </w:rPr>
          <w:t xml:space="preserve">Section 5.4</w:t>
        </w:r>
      </w:hyperlink>
      <w:r>
        <w:t xml:space="preserve"> computes the condition of Proposition 3.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 a number the generator determines (</w:t>
      </w:r>
      <w:hyperlink w:anchor="sec_5_4" w:history="1">
        <w:r>
          <w:rPr>
            <w:rStyle w:val="Hyperlink"/>
          </w:rPr>
          <w:t xml:space="preserve">Section 5.4</w:t>
        </w:r>
      </w:hyperlink>
      <w:r>
        <w:t xml:space="preserve">).</w:t>
      </w:r>
    </w:p>
    <w:bookmarkEnd w:id="74"/>
    <w:bookmarkStart w:id="75" w:name="implementation"/>
    <w:p>
      <w:pPr>
        <w:pStyle w:val="Heading2"/>
      </w:pPr>
      <w:bookmarkStart w:id="1059" w:name="sec_5_2"/>
      <w:r>
        <w:t xml:space="preserve">5.2 Implementation</w:t>
      </w:r>
      <w:bookmarkEnd w:id="1059"/>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TableCaption"/>
      </w:pPr>
      <w:bookmarkStart w:id="1003" w:name="tbl_5_1"/>
      <w:r>
        <w:rPr>
          <w:b/>
          <w:color w:val="1F3864"/>
        </w:rPr>
        <w:t xml:space="preserve">Table 5.1.</w:t>
      </w:r>
      <w:r>
        <w:t xml:space="preserve"> The artefact as published</w:t>
      </w:r>
      <w:bookmarkEnd w:id="100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533</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671</w:t>
            </w:r>
          </w:p>
        </w:tc>
        <w:tc>
          <w:tcPr/>
          <w:p>
            <w:pPr>
              <w:pStyle w:val="Compact"/>
              <w:jc w:val="left"/>
            </w:pPr>
            <w:r>
              <w:rPr>
                <w:sz w:val="20"/>
                <w:szCs w:val="20"/>
              </w:rPr>
              <w:t xml:space="preserve">Six-tab viewer over the artefact;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135</w:t>
            </w:r>
          </w:p>
        </w:tc>
        <w:tc>
          <w:tcPr/>
          <w:p>
            <w:pPr>
              <w:pStyle w:val="Compact"/>
              <w:jc w:val="left"/>
            </w:pPr>
            <w:r>
              <w:rPr>
                <w:sz w:val="20"/>
                <w:szCs w:val="20"/>
              </w:rPr>
              <w:t xml:space="preserve">Optional: bounded SMT check of Propositions 1–3 (needs</w:t>
            </w:r>
            <w:r>
              <w:rPr>
                <w:sz w:val="20"/>
                <w:szCs w:val="20"/>
              </w:rPr>
              <w:t xml:space="preserve"> </w:t>
            </w:r>
            <w:r>
              <w:rPr>
                <w:rStyle w:val="VerbatimChar"/>
                <w:sz w:val="20"/>
                <w:szCs w:val="20"/>
              </w:rPr>
              <w:t xml:space="preserve">z3-solver</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Seed 20260915 is fixed and reported; the run is deterministic and reproduces identically.</w:t>
      </w:r>
    </w:p>
    <w:p>
      <w:pPr>
        <w:pStyle w:val="TableCaption"/>
      </w:pPr>
      <w:bookmarkStart w:id="1004" w:name="tbl_5_2"/>
      <w:r>
        <w:rPr>
          <w:b/>
          <w:color w:val="1F3864"/>
        </w:rPr>
        <w:t xml:space="preserve">Table 5.2.</w:t>
      </w:r>
      <w:r>
        <w:t xml:space="preserve"> Generation parameters (complete)</w:t>
      </w:r>
      <w:bookmarkEnd w:id="100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(eHDSI baseline as reported; illustrative)</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w:t>
      </w:r>
      <w:r>
        <w:t xml:space="preserve"> </w:t>
      </w:r>
      <m:oMath>
        <m:r>
          <m:t>p</m:t>
        </m:r>
        <m:d>
          <m:dPr>
            <m:begChr m:val="("/>
            <m:sepChr m:val=""/>
            <m:endChr m:val=")"/>
            <m:grow/>
          </m:dPr>
          <m:e>
            <m:r>
              <m:t>a</m:t>
            </m:r>
          </m:e>
        </m:d>
      </m:oMath>
      <w:r>
        <w:t xml:space="preserve"> </w:t>
      </w:r>
      <w:r>
        <w:t xml:space="preserve">is in either record class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w:t>
      </w:r>
      <w:hyperlink w:anchor="sec_5_8" w:history="1">
        <w:r>
          <w:rPr>
            <w:rStyle w:val="Hyperlink"/>
          </w:rPr>
          <w:t xml:space="preserve">Section 5.8</w:t>
        </w:r>
      </w:hyperlink>
      <w:r>
        <w:t xml:space="preserve"> uses them only to test that no figure depends on payload content.</w:t>
      </w:r>
    </w:p>
    <w:bookmarkEnd w:id="75"/>
    <w:bookmarkStart w:id="76" w:name="results-under-semantics-i"/>
    <w:p>
      <w:pPr>
        <w:pStyle w:val="Heading2"/>
      </w:pPr>
      <w:bookmarkStart w:id="1060" w:name="sec_5_3"/>
      <w:r>
        <w:t xml:space="preserve">5.3 Results under Semantics I</w:t>
      </w:r>
      <w:bookmarkEnd w:id="1060"/>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05" w:name="tbl_5_3"/>
      <w:r>
        <w:rPr>
          <w:b/>
          <w:color w:val="1F3864"/>
        </w:rPr>
        <w:t xml:space="preserve">Table 5.3.</w:t>
      </w:r>
      <w:r>
        <w:t xml:space="preserve"> Violations under Semantics I (seed 20260915, n = 200)</w:t>
      </w:r>
      <w:bookmarkEnd w:id="100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w:t>
      </w:r>
      <w:r>
        <w:t xml:space="preserve"> </w:t>
      </w:r>
      <w:r>
        <w:rPr>
          <w:iCs/>
          <w:i/>
        </w:rPr>
        <w:t xml:space="preserve">lower</w:t>
      </w:r>
      <w:r>
        <w:t xml:space="preserve"> </w:t>
      </w:r>
      <w:r>
        <w:t xml:space="preserve">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w:t>
      </w:r>
      <w:hyperlink w:anchor="sec_5_4" w:history="1">
        <w:r>
          <w:rPr>
            <w:rStyle w:val="Hyperlink"/>
          </w:rPr>
          <w:t xml:space="preserve">Section 5.4</w:t>
        </w:r>
      </w:hyperlink>
      <w:r>
        <w:t xml:space="preserve"> isolates the structural ones.</w:t>
      </w:r>
    </w:p>
    <w:bookmarkEnd w:id="76"/>
    <w:bookmarkStart w:id="77" w:name="Xa78c7cc063bc28a699e62b8492f8426c0d63645"/>
    <w:p>
      <w:pPr>
        <w:pStyle w:val="Heading2"/>
      </w:pPr>
      <w:bookmarkStart w:id="1061" w:name="sec_5_4"/>
      <w:r>
        <w:t xml:space="preserve">5.4 Corollary 1.2: Infeasibility Without an Erasure Request</w:t>
      </w:r>
      <w:bookmarkEnd w:id="1061"/>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it would not remove the erasure-driven ones.</w:t>
      </w:r>
    </w:p>
    <w:p>
      <w:pPr>
        <w:pStyle w:val="BodyText"/>
      </w:pPr>
      <w:r>
        <w:t xml:space="preserve">The fifty per cent figure follows from the generator.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and permit lengths were drawn uniformly from one to twelve months, so half fall at or below six. Article 68(12) allows permits of up to ten years; with the remaining duration drawn uniformly over a five-year permit, about one log in ten would fall in the window. A longer horizon lowers the rate as</w:t>
      </w:r>
      <w:r>
        <w:t xml:space="preserve"> </w:t>
      </w:r>
      <m:oMath>
        <m:r>
          <m:t>6</m:t>
        </m:r>
        <m:r>
          <m:rPr>
            <m:sty m:val="p"/>
          </m:rPr>
          <m:t>/</m:t>
        </m:r>
        <m:sSub>
          <m:e>
            <m:r>
              <m:t>π</m:t>
            </m:r>
          </m:e>
          <m:sub>
            <m:r>
              <m:rPr>
                <m:sty m:val="p"/>
              </m:rPr>
              <m:t>max</m:t>
            </m:r>
          </m:sub>
        </m:sSub>
      </m:oMath>
      <w:r>
        <w:t xml:space="preserve"> </w:t>
      </w:r>
      <w:r>
        <w:t xml:space="preserve">without removing the collision, which Proposition 1 establishes independently of any distribution.</w:t>
      </w:r>
    </w:p>
    <w:bookmarkEnd w:id="77"/>
    <w:bookmarkStart w:id="78" w:name="independent-cross-check"/>
    <w:p>
      <w:pPr>
        <w:pStyle w:val="Heading2"/>
      </w:pPr>
      <w:bookmarkStart w:id="1062" w:name="sec_5_5"/>
      <w:r>
        <w:t xml:space="preserve">5.5 Independent Cross-Check</w:t>
      </w:r>
      <w:bookmarkEnd w:id="1062"/>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TableCaption"/>
      </w:pPr>
      <w:bookmarkStart w:id="1006"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0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A bounded check in a different formalism narrows that limitation. An optional module poses each proposition to the Z3 SMT solver as a request for a counterexample: a record with any parameter values inside stated bounds (creation month 0–12, floor 1–24 months, response period 1–3 months, request month and ceiling anchor anywhere up to a 64-month horizon, ceiling 1–24 months) that contradicts either direction of Proposition 1, the constructive trajectory of Proposition 2, or either direction of Proposition 3 and its two cases. The solver finds none in any of the nine checks. It does find counterexamples to deliberately wrong versions of Proposition 3 shifted by one month, which shows the checks can fail (Appendix A, A.23 and A.24). The check covers every parameter combination within the bounds rather than a sample, and it shares no code with the checker; it takes the constraint definitions from </w:t>
      </w:r>
      <w:hyperlink w:anchor="sec_4_4" w:history="1">
        <w:r>
          <w:rPr>
            <w:rStyle w:val="Hyperlink"/>
          </w:rPr>
          <w:t xml:space="preserve">Section 4.4</w:t>
        </w:r>
      </w:hyperlink>
      <w:r>
        <w:t xml:space="preserve">, so it checks that the propositions follow from the constraints, not that the constraints translate the law, and it is bounded rather than general.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demonstration where a parameter was altered for tractability.</w:t>
      </w:r>
    </w:p>
    <w:bookmarkEnd w:id="78"/>
    <w:bookmarkStart w:id="79" w:name="witness-at-the-extended-response-period"/>
    <w:p>
      <w:pPr>
        <w:pStyle w:val="Heading2"/>
      </w:pPr>
      <w:bookmarkStart w:id="1063" w:name="sec_5_6"/>
      <w:r>
        <w:t xml:space="preserve">5.6 Witness at the Extended Response Period</w:t>
      </w:r>
      <w:bookmarkEnd w:id="1063"/>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07"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0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79"/>
    <w:bookmarkStart w:id="80" w:name="results-under-semantics-ii"/>
    <w:p>
      <w:pPr>
        <w:pStyle w:val="Heading2"/>
      </w:pPr>
      <w:bookmarkStart w:id="1064" w:name="sec_5_7"/>
      <w:r>
        <w:t xml:space="preserve">5.7 Results under Semantics II</w:t>
      </w:r>
      <w:bookmarkEnd w:id="1064"/>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TableCaption"/>
      </w:pPr>
      <w:bookmarkStart w:id="1008" w:name="tbl_5_6"/>
      <w:r>
        <w:rPr>
          <w:b/>
          <w:color w:val="1F3864"/>
        </w:rPr>
        <w:t xml:space="preserve">Table 5.6.</w:t>
      </w:r>
      <w:r>
        <w:t xml:space="preserve"> Results under Semantics II (same 200 records, same seed)</w:t>
      </w:r>
      <w:bookmarkEnd w:id="1008"/>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a cross-border record keeps the link through the floor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binding to a specific payload survives in the commitment. The invalidation is itself a logged, grounded, attributed event rather than a silent absence. And the payload is unreadable, at month nineteen as at month sixteen. An auditor examining this record learns what the accountability purpose is argued to require (</w:t>
      </w:r>
      <w:hyperlink w:anchor="sec_4_2" w:history="1">
        <w:r>
          <w:rPr>
            <w:rStyle w:val="Hyperlink"/>
          </w:rPr>
          <w:t xml:space="preserve">Section 4.2</w:t>
        </w:r>
      </w:hyperlink>
      <w:r>
        <w:t xml:space="preserve">), while the payload is unreadable.</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A.16). The Semantics II result of </w:t>
      </w:r>
      <w:hyperlink w:anchor="tbl_5_6" w:history="1">
        <w:r>
          <w:rPr>
            <w:rStyle w:val="Hyperlink"/>
          </w:rPr>
          <w:t xml:space="preserve">Table 5.6</w:t>
        </w:r>
      </w:hyperlink>
      <w:r>
        <w:t xml:space="preserve"> therefore rests on a check that can fail, which a test of the fields’ presence alone could not.</w:t>
      </w:r>
    </w:p>
    <w:bookmarkEnd w:id="80"/>
    <w:bookmarkStart w:id="81" w:name="X118c29104845627cee32a0e9a3002454d83401c"/>
    <w:p>
      <w:pPr>
        <w:pStyle w:val="Heading2"/>
      </w:pPr>
      <w:bookmarkStart w:id="1065" w:name="sec_5_8"/>
      <w:r>
        <w:t xml:space="preserve">5.8 What the Demonstration Establishes, and What It Does Not</w:t>
      </w:r>
      <w:bookmarkEnd w:id="1065"/>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and Propositions 1–3 survive a bounded SMT check over every parameter combination within its bounds.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TableCaption"/>
      </w:pPr>
      <w:bookmarkStart w:id="1009" w:name="tbl_5_7"/>
      <w:r>
        <w:rPr>
          <w:b/>
          <w:color w:val="1F3864"/>
        </w:rPr>
        <w:t xml:space="preserve">Table 5.7.</w:t>
      </w:r>
      <w:r>
        <w:t xml:space="preserve"> Constructed against Synthea-generated payloads (same seed, same timings)</w:t>
      </w:r>
      <w:bookmarkEnd w:id="1009"/>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81"/>
    <w:bookmarkEnd w:id="82"/>
    <w:bookmarkStart w:id="95" w:name="chapter-6.-discussion"/>
    <w:p>
      <w:pPr>
        <w:pStyle w:val="Heading1"/>
      </w:pPr>
      <w:bookmarkStart w:id="1066" w:name="ch_6"/>
      <w:r>
        <w:t xml:space="preserve">Chapter 6. Discussion</w:t>
      </w:r>
      <w:bookmarkEnd w:id="1066"/>
    </w:p>
    <w:bookmarkStart w:id="83" w:name="what-the-thesis-establishes"/>
    <w:p>
      <w:pPr>
        <w:pStyle w:val="Heading2"/>
      </w:pPr>
      <w:bookmarkStart w:id="1067" w:name="sec_6_1"/>
      <w:r>
        <w:t xml:space="preserve">6.1 What the Thesis Establishes</w:t>
      </w:r>
      <w:bookmarkEnd w:id="1067"/>
    </w:p>
    <w:p>
      <w:pPr>
        <w:pStyle w:val="FirstParagraph"/>
      </w:pPr>
      <w:r>
        <w:t xml:space="preserve">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proves both results; </w:t>
      </w:r>
      <w:hyperlink w:anchor="ch_5" w:history="1">
        <w:r>
          <w:rPr>
            <w:rStyle w:val="Hyperlink"/>
          </w:rPr>
          <w:t xml:space="preserve">Chapter 5</w:t>
        </w:r>
      </w:hyperlink>
      <w:r>
        <w:t xml:space="preserve">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Cryptographic invalidation is therefore necessary where a data subject’s request meets a retention floor, and in the cross-border pathway that is every request arriving inside the floor, because the patient-discovery transaction puts the patient’s identifying query into the audit record by design.</w:t>
      </w:r>
    </w:p>
    <w:p>
      <w:pPr>
        <w:pStyle w:val="BodyText"/>
      </w:pPr>
      <w:r>
        <w:t xml:space="preserve">A conditional extension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witnesses of this collision in the model; how many depends on the permit lengths the generator draws, and the count is not an estimate of real frequency (</w:t>
      </w:r>
      <w:hyperlink w:anchor="ch_5" w:history="1">
        <w:r>
          <w:rPr>
            <w:rStyle w:val="Hyperlink"/>
          </w:rPr>
          <w:t xml:space="preserve">Chapter 5</w:t>
        </w:r>
      </w:hyperlink>
      <w:r>
        <w:t xml:space="preserve">, </w:t>
      </w:r>
      <w:hyperlink w:anchor="sec_5_4" w:history="1">
        <w:r>
          <w:rPr>
            <w:rStyle w:val="Hyperlink"/>
          </w:rPr>
          <w:t xml:space="preserve">Section 5.4</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hyperlink w:anchor="sec_4_8" w:history="1">
        <w:r>
          <w:rPr>
            <w:rStyle w:val="Hyperlink"/>
          </w:rPr>
          <w:t xml:space="preserve">Section 4.8</w:t>
        </w:r>
      </w:hyperlink>
      <w:r>
        <w:t xml:space="preserve"> specifies and the checker does not implement; nor does it implement the per-entry nonce that keeps surviving leaf hashes from confirming guesses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83"/>
    <w:bookmarkStart w:id="84" w:name="the-authority-problem"/>
    <w:p>
      <w:pPr>
        <w:pStyle w:val="Heading2"/>
      </w:pPr>
      <w:bookmarkStart w:id="1068" w:name="sec_6_2"/>
      <w:r>
        <w:t xml:space="preserve">6.2 The Authority Problem</w:t>
      </w:r>
      <w:bookmarkEnd w:id="1068"/>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4"/>
    <w:bookmarkStart w:id="85" w:name="Xded207afce20f277dc3fb975fe95ea550887e42"/>
    <w:p>
      <w:pPr>
        <w:pStyle w:val="Heading2"/>
      </w:pPr>
      <w:bookmarkStart w:id="1069" w:name="sec_6_3"/>
      <w:r>
        <w:t xml:space="preserve">6.3 Key Destruction and the Limits of Assurance</w:t>
      </w:r>
      <w:bookmarkEnd w:id="1069"/>
    </w:p>
    <w:p>
      <w:pPr>
        <w:pStyle w:val="FirstParagraph"/>
      </w:pPr>
      <w:r>
        <w:t xml:space="preserve">The second objection is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85"/>
    <w:bookmarkStart w:id="86" w:name="the-cost-objection"/>
    <w:p>
      <w:pPr>
        <w:pStyle w:val="Heading2"/>
      </w:pPr>
      <w:bookmarkStart w:id="1070" w:name="sec_6_4"/>
      <w:r>
        <w:t xml:space="preserve">6.4 The Cost Objection</w:t>
      </w:r>
      <w:bookmarkEnd w:id="1070"/>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requires per-record key granularity,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86"/>
    <w:bookmarkStart w:id="87" w:name="scalability"/>
    <w:p>
      <w:pPr>
        <w:pStyle w:val="Heading2"/>
      </w:pPr>
      <w:bookmarkStart w:id="1071" w:name="sec_6_5"/>
      <w:r>
        <w:t xml:space="preserve">6.5 Scalability</w:t>
      </w:r>
      <w:bookmarkEnd w:id="1071"/>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87"/>
    <w:bookmarkStart w:id="88" w:name="X44fba077a1d6c8b053ceb66fb0b4946e89febc8"/>
    <w:p>
      <w:pPr>
        <w:pStyle w:val="Heading2"/>
      </w:pPr>
      <w:bookmarkStart w:id="1072" w:name="sec_6_6"/>
      <w:r>
        <w:t xml:space="preserve">6.6 Evaluation Design and the Role of Stakeholder Assessment</w:t>
      </w:r>
      <w:bookmarkEnd w:id="1072"/>
    </w:p>
    <w:p>
      <w:pPr>
        <w:pStyle w:val="FirstParagraph"/>
      </w:pPr>
      <w:r>
        <w:t xml:space="preserve">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88"/>
    <w:bookmarkStart w:id="89" w:name="Xb09e9d760b9049b450198be4ab64b306a64bdc7"/>
    <w:p>
      <w:pPr>
        <w:pStyle w:val="Heading2"/>
      </w:pPr>
      <w:bookmarkStart w:id="1073" w:name="sec_6_7"/>
      <w:r>
        <w:t xml:space="preserve">6.7 Synthetic Data and the Limits of the Demonstration</w:t>
      </w:r>
      <w:bookmarkEnd w:id="1073"/>
    </w:p>
    <w:p>
      <w:pPr>
        <w:pStyle w:val="FirstParagraph"/>
      </w:pPr>
      <w:r>
        <w:t xml:space="preserve">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the exhaustive cross-check and the bounded SMT check reduce the probability that an error in the proofs has gone unnoticed; they do not eliminate it, and none of them can show that the constraints translate the law.</w:t>
      </w:r>
    </w:p>
    <w:bookmarkEnd w:id="89"/>
    <w:bookmarkStart w:id="90" w:name="implications-for-practice-and-policy"/>
    <w:p>
      <w:pPr>
        <w:pStyle w:val="Heading2"/>
      </w:pPr>
      <w:bookmarkStart w:id="1074" w:name="sec_6_8"/>
      <w:r>
        <w:t xml:space="preserve">6.8 Implications for Practice and Policy</w:t>
      </w:r>
      <w:bookmarkEnd w:id="1074"/>
    </w:p>
    <w:p>
      <w:pPr>
        <w:pStyle w:val="FirstParagraph"/>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90"/>
    <w:bookmarkStart w:id="91" w:name="theoretical-implications"/>
    <w:p>
      <w:pPr>
        <w:pStyle w:val="Heading2"/>
      </w:pPr>
      <w:bookmarkStart w:id="1075" w:name="sec_6_9"/>
      <w:r>
        <w:t xml:space="preserve">6.9 Theoretical Implications</w:t>
      </w:r>
      <w:bookmarkEnd w:id="1075"/>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bookmarkEnd w:id="91"/>
    <w:bookmarkStart w:id="92" w:name="Xf98bccb8ca371ce0fd1679988a5911c6b05ad19"/>
    <w:p>
      <w:pPr>
        <w:pStyle w:val="Heading2"/>
      </w:pPr>
      <w:bookmarkStart w:id="1076" w:name="sec_6_10"/>
      <w:r>
        <w:t xml:space="preserve">6.10 Where the Ceiling Is Anchored: a Cross-Sector Test</w:t>
      </w:r>
      <w:bookmarkEnd w:id="1076"/>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2"/>
    <w:bookmarkStart w:id="93" w:name="boundaries-as-contribution"/>
    <w:p>
      <w:pPr>
        <w:pStyle w:val="Heading2"/>
      </w:pPr>
      <w:bookmarkStart w:id="1077" w:name="sec_6_11"/>
      <w:r>
        <w:t xml:space="preserve">6.11 Boundaries as Contribution</w:t>
      </w:r>
      <w:bookmarkEnd w:id="1077"/>
    </w:p>
    <w:p>
      <w:pPr>
        <w:pStyle w:val="FirstParagraph"/>
      </w:pPr>
      <w:r>
        <w:t xml:space="preserve">The limitations that bound the claim are stated once,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None of them was claimed, so none of them reduces what was: a contribution that states its boundaries can be checked at them.</w:t>
      </w:r>
    </w:p>
    <w:bookmarkEnd w:id="93"/>
    <w:bookmarkStart w:id="94" w:name="summary-1"/>
    <w:p>
      <w:pPr>
        <w:pStyle w:val="Heading2"/>
      </w:pPr>
      <w:bookmarkStart w:id="1078" w:name="sec_6_12"/>
      <w:r>
        <w:t xml:space="preserve">6.12 Summary</w:t>
      </w:r>
      <w:bookmarkEnd w:id="1078"/>
    </w:p>
    <w:p>
      <w:pPr>
        <w:pStyle w:val="FirstParagraph"/>
      </w:pPr>
      <w:r>
        <w:t xml:space="preserve">The thesis establishes that audit-retention floors, the right to erasure and the deletion ceiling conflict only under an assumption about verifiability, and not because of the obligations themselves; that, on the broad reading of Article 68(12) and for logs kept at patient-record granularity, the conflict arises inside the European Health Data Space Regulation with no data subject acting; that a ceiling collides with a floor exactly when Proposition 3 says, and that relocation escapes the ceiling but not the right (Proposition 4). It exhibits the mechanism that dissolves the conflict and demonstrates Propositions 1 and 2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w:t>
      </w:r>
      <w:hyperlink w:anchor="ch_7" w:history="1">
        <w:r>
          <w:rPr>
            <w:rStyle w:val="Hyperlink"/>
          </w:rPr>
          <w:t xml:space="preserve">Chapter 7</w:t>
        </w:r>
      </w:hyperlink>
      <w:r>
        <w:t xml:space="preserve"> draws the conclusions and states the work that follows.</w:t>
      </w:r>
    </w:p>
    <w:bookmarkEnd w:id="94"/>
    <w:bookmarkEnd w:id="95"/>
    <w:bookmarkStart w:id="102" w:name="chapter-7.-conclusion"/>
    <w:p>
      <w:pPr>
        <w:pStyle w:val="Heading1"/>
      </w:pPr>
      <w:bookmarkStart w:id="1079" w:name="ch_7"/>
      <w:r>
        <w:t xml:space="preserve">Chapter 7. Conclusion</w:t>
      </w:r>
      <w:bookmarkEnd w:id="1079"/>
    </w:p>
    <w:bookmarkStart w:id="96" w:name="the-problem-and-the-answer"/>
    <w:p>
      <w:pPr>
        <w:pStyle w:val="Heading2"/>
      </w:pPr>
      <w:bookmarkStart w:id="1080" w:name="sec_7_1"/>
      <w:r>
        <w:t xml:space="preserve">7.1 The Problem and the Answer</w:t>
      </w:r>
      <w:bookmarkEnd w:id="1080"/>
    </w:p>
    <w:p>
      <w:pPr>
        <w:pStyle w:val="FirstParagraph"/>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collides with a retention floor exactly when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while cross-border records keep it through the floor, because the person’s right to learn who accessed their data needs it.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 that transition is specified, not implemented.</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bookmarkEnd w:id="96"/>
    <w:bookmarkStart w:id="97" w:name="contributions"/>
    <w:p>
      <w:pPr>
        <w:pStyle w:val="Heading2"/>
      </w:pPr>
      <w:bookmarkStart w:id="1081" w:name="sec_7_2"/>
      <w:r>
        <w:t xml:space="preserve">7.2 Contributions</w:t>
      </w:r>
      <w:bookmarkEnd w:id="1081"/>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illustrated on a statute outside health (an instance generated by the thesis’s own code, which checks the code rather than independently confirming the proposition); Proposition 4 shows why relocation answers the ceiling and not the right. Both were checked over two hundred generated records, with violations under the first semantics and none under the second (their number is set by the generator), a separately written exhaustive search confirmed that under the first semantics no assignment of payload accessibility succeeds in the cases it covers, and a bounded SMT check found no counterexample to Propositions 1–3 within its bounds.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97"/>
    <w:bookmarkStart w:id="98" w:name="what-the-thesis-does-not-establish"/>
    <w:p>
      <w:pPr>
        <w:pStyle w:val="Heading2"/>
      </w:pPr>
      <w:bookmarkStart w:id="1082" w:name="sec_7_3"/>
      <w:r>
        <w:t xml:space="preserve">7.3 What the Thesis Does Not Establish</w:t>
      </w:r>
      <w:bookmarkEnd w:id="1082"/>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98"/>
    <w:bookmarkStart w:id="99" w:name="the-two-open-questions-of-authority"/>
    <w:p>
      <w:pPr>
        <w:pStyle w:val="Heading2"/>
      </w:pPr>
      <w:bookmarkStart w:id="1083" w:name="sec_7_4"/>
      <w:r>
        <w:t xml:space="preserve">7.4 The Two Open Questions of Authority</w:t>
      </w:r>
      <w:bookmarkEnd w:id="1083"/>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and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99"/>
    <w:bookmarkStart w:id="100" w:name="future-work"/>
    <w:p>
      <w:pPr>
        <w:pStyle w:val="Heading2"/>
      </w:pPr>
      <w:bookmarkStart w:id="1084" w:name="sec_7_5"/>
      <w:r>
        <w:t xml:space="preserve">7.5 Future Work</w:t>
      </w:r>
      <w:bookmarkEnd w:id="1084"/>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suggests it may be necessary here, though alternatives are not excluded.</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0"/>
    <w:bookmarkStart w:id="101" w:name="closing"/>
    <w:p>
      <w:pPr>
        <w:pStyle w:val="Heading2"/>
      </w:pPr>
      <w:bookmarkStart w:id="1085" w:name="sec_7_6"/>
      <w:r>
        <w:t xml:space="preserve">7.6 Closing</w:t>
      </w:r>
      <w:bookmarkEnd w:id="1085"/>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bookmarkEnd w:id="101"/>
    <w:bookmarkEnd w:id="102"/>
    <w:bookmarkStart w:id="103" w:name="references"/>
    <w:p>
      <w:pPr>
        <w:pStyle w:val="Heading1"/>
      </w:pPr>
      <w:bookmarkStart w:id="1086" w:name="h_References"/>
      <w:r>
        <w:t xml:space="preserve">References</w:t>
      </w:r>
      <w:bookmarkEnd w:id="1086"/>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Ateniese, G., Chou, D. H., de Medeiros, B., &amp; Tsudik, G. (2005). Sanitizable signatures. In S. de Capitani di Vimercati, P. Syverson, &amp; D. Gollmann (Eds.),</w:t>
      </w:r>
      <w:r>
        <w:t xml:space="preserve"> </w:t>
      </w:r>
      <w:r>
        <w:rPr>
          <w:iCs/>
          <w:i/>
        </w:rPr>
        <w:t xml:space="preserve">Computer Security – ESORICS 2005</w:t>
      </w:r>
      <w:r>
        <w:t xml:space="preserve"> </w:t>
      </w:r>
      <w:r>
        <w:t xml:space="preserve">(LNCS 3679, pp. 159–177). Springer. https://doi.org/10.1007/11555827_10</w:t>
      </w:r>
    </w:p>
    <w:p>
      <w:pPr>
        <w:pStyle w:val="Bibliography"/>
      </w:pPr>
      <w:r>
        <w:t xml:space="preserve">Ateniese, G., Magri, B., Venturi, D., &amp; Andrade, E. R. (2017). Redactable blockchain – or – rewriting history in Bitcoin and friends. In</w:t>
      </w:r>
      <w:r>
        <w:t xml:space="preserve"> </w:t>
      </w:r>
      <w:r>
        <w:rPr>
          <w:iCs/>
          <w:i/>
        </w:rPr>
        <w:t xml:space="preserve">2017 IEEE European Symposium on Security and Privacy (EuroS&amp;P)</w:t>
      </w:r>
      <w:r>
        <w:t xml:space="preserve"> </w:t>
      </w:r>
      <w:r>
        <w:t xml:space="preserve">(pp. 111–126). IEEE. https://doi.org/10.1109/EuroSP.2017.37</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Derler, D., Samelin, K., Slamanig, D., &amp; Striecks, C. (2019). Fine-grained and controlled rewriting in blockchains: Chameleon-hashing gone attribute-based. In</w:t>
      </w:r>
      <w:r>
        <w:t xml:space="preserve"> </w:t>
      </w:r>
      <w:r>
        <w:rPr>
          <w:iCs/>
          <w:i/>
        </w:rPr>
        <w:t xml:space="preserve">Network and Distributed System Security Symposium (NDSS 2019)</w:t>
      </w:r>
      <w:r>
        <w:t xml:space="preserve">. Internet Society. https://doi.org/10.14722/ndss.2019.23066</w:t>
      </w:r>
    </w:p>
    <w:p>
      <w:pPr>
        <w:pStyle w:val="Bibliography"/>
      </w:pPr>
      <w:r>
        <w:t xml:space="preserve">Deuber, D., Magri, B., &amp; Thyagarajan, S. A. K. (2019). Redactable blockchain in the permissionless setting. In</w:t>
      </w:r>
      <w:r>
        <w:t xml:space="preserve"> </w:t>
      </w:r>
      <w:r>
        <w:rPr>
          <w:iCs/>
          <w:i/>
        </w:rPr>
        <w:t xml:space="preserve">2019 IEEE Symposium on Security and Privacy (SP)</w:t>
      </w:r>
      <w:r>
        <w:t xml:space="preserve"> </w:t>
      </w:r>
      <w:r>
        <w:t xml:space="preserve">(pp. 124–138). IEEE. https://doi.org/10.1109/SP.2019.00039</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Johnson, R., Molnar, D., Song, D., &amp; Wagner, D. (2002). Homomorphic signature schemes. In B. Preneel (Ed.),</w:t>
      </w:r>
      <w:r>
        <w:t xml:space="preserve"> </w:t>
      </w:r>
      <w:r>
        <w:rPr>
          <w:iCs/>
          <w:i/>
        </w:rPr>
        <w:t xml:space="preserve">Topics in Cryptology – CT-RSA 2002</w:t>
      </w:r>
      <w:r>
        <w:t xml:space="preserve"> </w:t>
      </w:r>
      <w:r>
        <w:t xml:space="preserve">(LNCS 2271, pp. 244–262). Springer. https://doi.org/10.1007/3-540-45760-7_17</w:t>
      </w:r>
    </w:p>
    <w:p>
      <w:pPr>
        <w:pStyle w:val="Bibliography"/>
      </w:pPr>
      <w:r>
        <w:t xml:space="preserve">Krawczyk, H., &amp; Rabin, T. (1998).</w:t>
      </w:r>
      <w:r>
        <w:t xml:space="preserve"> </w:t>
      </w:r>
      <w:r>
        <w:rPr>
          <w:iCs/>
          <w:i/>
        </w:rPr>
        <w:t xml:space="preserve">Chameleon hashing and signatures</w:t>
      </w:r>
      <w:r>
        <w:t xml:space="preserve"> </w:t>
      </w:r>
      <w:r>
        <w:t xml:space="preserve">(Cryptology ePrint Archive, Paper 1998/010; full version of the NDSS 2000 paper). https://eprint.iacr.org/1998/010</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OpenNCP Project. (2017).</w:t>
      </w:r>
      <w:r>
        <w:t xml:space="preserve"> </w:t>
      </w:r>
      <w:r>
        <w:rPr>
          <w:iCs/>
          <w:i/>
        </w:rPr>
        <w:t xml:space="preserve">OpenNCP</w:t>
      </w:r>
      <w:r>
        <w:t xml:space="preserve"> </w:t>
      </w:r>
      <w:r>
        <w:t xml:space="preserve">[Computer software; GitHub mirror of the epSOS/eHDSI source, commit c8a82d8, 21 April 2017]. GitHub. https://github.com/khypponen/openncp</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ibliography"/>
      </w:pPr>
      <w:r>
        <w:t xml:space="preserve">Politou, E., Casino, F., Alepis, E., &amp; Patsakis, C. (2021). Blockchain mutability: Challenges and proposed solutions.</w:t>
      </w:r>
      <w:r>
        <w:t xml:space="preserve"> </w:t>
      </w:r>
      <w:r>
        <w:rPr>
          <w:iCs/>
          <w:i/>
        </w:rPr>
        <w:t xml:space="preserve">IEEE Transactions on Emerging Topics in Computing, 9</w:t>
      </w:r>
      <w:r>
        <w:t xml:space="preserve">(4), 1972–1986. https://doi.org/10.1109/TETC.2019.2949510</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Sundhedsdatastyrelsen. (2026).</w:t>
      </w:r>
      <w:r>
        <w:t xml:space="preserve"> </w:t>
      </w:r>
      <w:r>
        <w:rPr>
          <w:iCs/>
          <w:i/>
        </w:rPr>
        <w:t xml:space="preserve">ehdsi</w:t>
      </w:r>
      <w:r>
        <w:t xml:space="preserve"> </w:t>
      </w:r>
      <w:r>
        <w:t xml:space="preserve">[Computer software; Danish NCPeH deployment of OpenNCP 9.1.0, commit 61094e6, 28 September 2026]. GitHub. https://github.com/Sundhedsdatastyrelsen/ehdsi</w:t>
      </w:r>
    </w:p>
    <w:p>
      <w:pPr>
        <w:pStyle w:val="Bibliography"/>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ibliography"/>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bookmarkEnd w:id="103"/>
    <w:bookmarkStart w:id="130" w:name="Xf671d6a047e29416c79aabf8b10d80280f04f69"/>
    <w:p>
      <w:pPr>
        <w:pStyle w:val="Heading1"/>
      </w:pPr>
      <w:bookmarkStart w:id="1087" w:name="app_A"/>
      <w:r>
        <w:t xml:space="preserve">Appendix A. Code Artefacts and Reproduction Record</w:t>
      </w:r>
      <w:bookmarkEnd w:id="1087"/>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 revised 3–4 October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04"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repository is the citable artefact. It contains seven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presents six tabs. Tab 1 runs the thesis configuration, reproduces </w:t>
      </w:r>
      <w:hyperlink w:anchor="tbl_5_3" w:history="1">
        <w:r>
          <w:rPr>
            <w:rStyle w:val="Hyperlink"/>
          </w:rPr>
          <w:t xml:space="preserve">Tables 5.3</w:t>
        </w:r>
      </w:hyperlink>
      <w:r>
        <w:t xml:space="preserve"> and 5.6, and shows the audit-log integrity check and both tamper tests of </w:t>
      </w:r>
      <w:hyperlink w:anchor="sec_5_7" w:history="1">
        <w:r>
          <w:rPr>
            <w:rStyle w:val="Hyperlink"/>
          </w:rPr>
          <w:t xml:space="preserve">Section 5.7</w:t>
        </w:r>
      </w:hyperlink>
      <w:r>
        <w:t xml:space="preserve">. Tab 2 varies population parameters as a teaching aid and is explicitly outside the thesis claims. Tab 3 runs the realism layer and reproduces </w:t>
      </w:r>
      <w:hyperlink w:anchor="tbl_5_7" w:history="1">
        <w:r>
          <w:rPr>
            <w:rStyle w:val="Hyperlink"/>
          </w:rPr>
          <w:t xml:space="preserve">Table 5.7</w:t>
        </w:r>
      </w:hyperlink>
      <w:r>
        <w:t xml:space="preserve">. Tab 4 runs the Norwegian context modules, which are illustrative and report no thesis figure. Tab 5 runs the robustness checks: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 Tab 6 evaluates the condition of Proposition 3 for any floor and ceiling, with Article 68(12) and politiregisterloven § 17 as presets.</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4"/>
    <w:bookmarkStart w:id="105"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533</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Six-tab demonstration viewer over the artefact, never a source of results</w:t>
            </w:r>
          </w:p>
        </w:tc>
        <w:tc>
          <w:tcPr/>
          <w:p>
            <w:pPr>
              <w:pStyle w:val="Compact"/>
              <w:jc w:val="left"/>
            </w:pPr>
            <w:r>
              <w:rPr>
                <w:sz w:val="20"/>
                <w:szCs w:val="20"/>
              </w:rPr>
              <w:t xml:space="preserve">671</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Optional: bounded SMT check of Propositions 1–3 with the Z3 solver; needs the</w:t>
            </w:r>
            <w:r>
              <w:rPr>
                <w:sz w:val="20"/>
                <w:szCs w:val="20"/>
              </w:rPr>
              <w:t xml:space="preserve"> </w:t>
            </w:r>
            <w:r>
              <w:rPr>
                <w:rStyle w:val="VerbatimChar"/>
                <w:sz w:val="20"/>
                <w:szCs w:val="20"/>
              </w:rPr>
              <w:t xml:space="preserve">z3-solver</w:t>
            </w:r>
            <w:r>
              <w:rPr>
                <w:sz w:val="20"/>
                <w:szCs w:val="20"/>
              </w:rPr>
              <w:t xml:space="preserve"> </w:t>
            </w:r>
            <w:r>
              <w:rPr>
                <w:sz w:val="20"/>
                <w:szCs w:val="20"/>
              </w:rPr>
              <w:t xml:space="preserve">package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streamlit&gt;=1.30</w:t>
            </w:r>
            <w:r>
              <w:rPr>
                <w:sz w:val="20"/>
                <w:szCs w:val="20"/>
              </w:rPr>
              <w:t xml:space="preserve">; the checker itself needs nothing</w:t>
            </w:r>
          </w:p>
        </w:tc>
        <w:tc>
          <w:tcPr/>
          <w:p>
            <w:pPr>
              <w:pStyle w:val="Compact"/>
              <w:jc w:val="left"/>
            </w:pPr>
            <w:r>
              <w:rPr>
                <w:sz w:val="20"/>
                <w:szCs w:val="20"/>
              </w:rPr>
              <w:t xml:space="preserve">1</w:t>
            </w:r>
          </w:p>
        </w:tc>
      </w:tr>
      <w:tr>
        <w:trPr>
          <w:cantSplit/>
        </w:trPr>
        <w:tc>
          <w:tcPr/>
          <w:p>
            <w:pPr>
              <w:pStyle w:val="Compact"/>
              <w:jc w:val="left"/>
            </w:pPr>
            <w:r>
              <w:rPr>
                <w:rStyle w:val="VerbatimChar"/>
                <w:sz w:val="20"/>
                <w:szCs w:val="20"/>
              </w:rPr>
              <w:t xml:space="preserve">build_substrate_patch1.py</w:t>
            </w:r>
            <w:r>
              <w:rPr>
                <w:sz w:val="20"/>
                <w:szCs w:val="20"/>
              </w:rPr>
              <w:t xml:space="preserve">,</w:t>
            </w:r>
            <w:r>
              <w:rPr>
                <w:sz w:val="20"/>
                <w:szCs w:val="20"/>
              </w:rPr>
              <w:t xml:space="preserve"> </w:t>
            </w:r>
            <w:r>
              <w:rPr>
                <w:rStyle w:val="VerbatimChar"/>
                <w:sz w:val="20"/>
                <w:szCs w:val="20"/>
              </w:rPr>
              <w:t xml:space="preserve">build_substrate_patch2.py</w:t>
            </w:r>
          </w:p>
        </w:tc>
        <w:tc>
          <w:tcPr/>
          <w:p>
            <w:pPr>
              <w:pStyle w:val="Compact"/>
              <w:jc w:val="left"/>
            </w:pPr>
            <w:r>
              <w:rPr>
                <w:sz w:val="20"/>
                <w:szCs w:val="20"/>
              </w:rPr>
              <w:t xml:space="preserve">Generators for the research-substrate patch workbooks; no thesis result depends on them</w:t>
            </w:r>
          </w:p>
        </w:tc>
        <w:tc>
          <w:tcPr/>
          <w:p>
            <w:pPr>
              <w:pStyle w:val="Compact"/>
              <w:jc w:val="left"/>
            </w:pPr>
            <w:r>
              <w:rPr>
                <w:sz w:val="20"/>
                <w:szCs w:val="20"/>
              </w:rPr>
              <w:t xml:space="preserve">—</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05"/>
    <w:bookmarkStart w:id="106"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06"/>
    <w:bookmarkStart w:id="107"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07"/>
    <w:bookmarkStart w:id="108"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A.2. A difference means a file changed, not that the result changed.</w:t>
      </w:r>
    </w:p>
    <w:bookmarkEnd w:id="108"/>
    <w:bookmarkStart w:id="111" w:name="a.6-what-the-code-does"/>
    <w:p>
      <w:pPr>
        <w:pStyle w:val="Heading2"/>
      </w:pPr>
      <w:r>
        <w:t xml:space="preserve">A.6 What the code does</w:t>
      </w:r>
    </w:p>
    <w:bookmarkStart w:id="109"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Four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09"/>
    <w:bookmarkStart w:id="110"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A.17). The model reads timing and accessibility, never payload content; running the comparison rather than asserting the invariance lets a reader see the claim tested against inputs that demonstrably changed.</w:t>
      </w:r>
    </w:p>
    <w:bookmarkEnd w:id="110"/>
    <w:bookmarkEnd w:id="111"/>
    <w:bookmarkStart w:id="112"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12"/>
    <w:bookmarkStart w:id="113"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both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13"/>
    <w:bookmarkStart w:id="114"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14"/>
    <w:bookmarkStart w:id="115"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Beyond the constraint check itself:</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w:t>
      </w:r>
      <w:r>
        <w:br/>
      </w:r>
      <w:r>
        <w:rPr>
          <w:rStyle w:val="CommentTok"/>
        </w:rPr>
        <w:t xml:space="preserve">  - make_salt() derives salts from the record id for reproducibility; --random-salts draws them</w:t>
      </w:r>
      <w:r>
        <w:br/>
      </w:r>
      <w:r>
        <w:rPr>
          <w:rStyle w:val="CommentTok"/>
        </w:rPr>
        <w:t xml:space="preserve">    from os.urandom, as a deployment must</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baseline as reported; illustrative (Ch4 s4.3)</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15"/>
    <w:bookmarkStart w:id="116"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6"/>
    <w:bookmarkStart w:id="117"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17"/>
    <w:bookmarkStart w:id="118"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8"/>
    <w:bookmarkStart w:id="119" w:name="a.14-source-listing-app.py"/>
    <w:p>
      <w:pPr>
        <w:pStyle w:val="Heading2"/>
      </w:pPr>
      <w:r>
        <w:t xml:space="preserve">A.14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5.7.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"with an explorer for Proposition 3.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tab6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     </w:t>
      </w:r>
      <w:r>
        <w:rPr>
          <w:rStyle w:val="StringTok"/>
        </w:rPr>
        <w:t xml:space="preserve">"Where the ceiling is anchored"</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5.3 and 5.6, "</w:t>
      </w:r>
      <w:r>
        <w:br/>
      </w:r>
      <w:r>
        <w:rPr>
          <w:rStyle w:val="NormalTok"/>
        </w:rPr>
        <w:t xml:space="preserve">        </w:t>
      </w:r>
      <w:r>
        <w:rPr>
          <w:rStyle w:val="StringTok"/>
        </w:rPr>
        <w:t xml:space="preserve">"and the audit-log integrity check of Section 5.7.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5.3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on the broad reading of "</w:t>
      </w:r>
      <w:r>
        <w:br/>
      </w:r>
      <w:r>
        <w:rPr>
          <w:rStyle w:val="NormalTok"/>
        </w:rPr>
        <w:t xml:space="preserve">            </w:t>
      </w:r>
      <w:r>
        <w:rPr>
          <w:rStyle w:val="StringTok"/>
        </w:rPr>
        <w:t xml:space="preserve">"Article 68(12) and for logs kept at patient-record granularity "</w:t>
      </w:r>
      <w:r>
        <w:br/>
      </w:r>
      <w:r>
        <w:rPr>
          <w:rStyle w:val="NormalTok"/>
        </w:rPr>
        <w:t xml:space="preserve">            </w:t>
      </w:r>
      <w:r>
        <w:rPr>
          <w:rStyle w:val="StringTok"/>
        </w:rPr>
        <w:t xml:space="preserve">"(Chapter 4, Section 4.6). On the narrow reading these witnesses lapse."</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5.6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st.markdown(</w:t>
      </w:r>
      <w:r>
        <w:rPr>
          <w:rStyle w:val="StringTok"/>
        </w:rPr>
        <w:t xml:space="preserve">"**Audit-log integrity — Chapter 5, Section 5.7**"</w:t>
      </w:r>
      <w:r>
        <w:rPr>
          <w:rStyle w:val="NormalTok"/>
        </w:rPr>
        <w:t xml:space="preserve">)</w:t>
      </w:r>
      <w:r>
        <w:br/>
      </w:r>
      <w:r>
        <w:rPr>
          <w:rStyle w:val="NormalTok"/>
        </w:rPr>
        <w:t xml:space="preserve">        st.write(</w:t>
      </w:r>
      <w:r>
        <w:br/>
      </w:r>
      <w:r>
        <w:rPr>
          <w:rStyle w:val="NormalTok"/>
        </w:rPr>
        <w:t xml:space="preserve">            </w:t>
      </w:r>
      <w:r>
        <w:rPr>
          <w:rStyle w:val="StringTok"/>
        </w:rPr>
        <w:t xml:space="preserve">"Every access, invalidation and subject-link removal is a leaf of an "</w:t>
      </w:r>
      <w:r>
        <w:br/>
      </w:r>
      <w:r>
        <w:rPr>
          <w:rStyle w:val="NormalTok"/>
        </w:rPr>
        <w:t xml:space="preserve">            </w:t>
      </w:r>
      <w:r>
        <w:rPr>
          <w:rStyle w:val="StringTok"/>
        </w:rPr>
        <w:t xml:space="preserve">"append-only Merkle log (RFC 6962 hashing). A record counts as verifiable "</w:t>
      </w:r>
      <w:r>
        <w:br/>
      </w:r>
      <w:r>
        <w:rPr>
          <w:rStyle w:val="NormalTok"/>
        </w:rPr>
        <w:t xml:space="preserve">            </w:t>
      </w:r>
      <w:r>
        <w:rPr>
          <w:rStyle w:val="StringTok"/>
        </w:rPr>
        <w:t xml:space="preserve">"under Semantics II only if each of its entries passes an inclusion proof "</w:t>
      </w:r>
      <w:r>
        <w:br/>
      </w:r>
      <w:r>
        <w:rPr>
          <w:rStyle w:val="NormalTok"/>
        </w:rPr>
        <w:t xml:space="preserve">            </w:t>
      </w:r>
      <w:r>
        <w:rPr>
          <w:rStyle w:val="StringTok"/>
        </w:rPr>
        <w:t xml:space="preserve">"against the log root. Leaves hold the accessor fields and the commitment, "</w:t>
      </w:r>
      <w:r>
        <w:br/>
      </w:r>
      <w:r>
        <w:rPr>
          <w:rStyle w:val="NormalTok"/>
        </w:rPr>
        <w:t xml:space="preserve">            </w:t>
      </w:r>
      <w:r>
        <w:rPr>
          <w:rStyle w:val="StringTok"/>
        </w:rPr>
        <w:t xml:space="preserve">"never the payload or the patient link, so the log never needs erasing."</w:t>
      </w:r>
      <w:r>
        <w:br/>
      </w:r>
      <w:r>
        <w:rPr>
          <w:rStyle w:val="NormalTok"/>
        </w:rPr>
        <w:t xml:space="preserve">        )</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trf.integrity(r)[</w:t>
      </w:r>
      <w:r>
        <w:rPr>
          <w:rStyle w:val="DecValTok"/>
        </w:rPr>
        <w:t xml:space="preserve">0</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br/>
      </w:r>
      <w:r>
        <w:rPr>
          <w:rStyle w:val="NormalTok"/>
        </w:rPr>
        <w:t xml:space="preserve">        ok_t, why_t </w:t>
      </w:r>
      <w:r>
        <w:rPr>
          <w:rStyle w:val="OperatorTok"/>
        </w:rPr>
        <w:t xml:space="preserve">=</w:t>
      </w:r>
      <w:r>
        <w:rPr>
          <w:rStyle w:val="NormalTok"/>
        </w:rPr>
        <w:t xml:space="preserve"> trf.V_II(demo,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br/>
      </w:r>
      <w:r>
        <w:rPr>
          <w:rStyle w:val="NormalTok"/>
        </w:rPr>
        <w:t xml:space="preserve">        ok_g, why_g </w:t>
      </w:r>
      <w:r>
        <w:rPr>
          <w:rStyle w:val="OperatorTok"/>
        </w:rPr>
        <w:t xml:space="preserve">=</w:t>
      </w:r>
      <w:r>
        <w:rPr>
          <w:rStyle w:val="NormalTok"/>
        </w:rPr>
        <w:t xml:space="preserve"> trf.V_II(demo,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ok_r </w:t>
      </w:r>
      <w:r>
        <w:rPr>
          <w:rStyle w:val="OperatorTok"/>
        </w:rPr>
        <w:t xml:space="preserve">=</w:t>
      </w:r>
      <w:r>
        <w:rPr>
          <w:rStyle w:val="NormalTok"/>
        </w:rPr>
        <w:t xml:space="preserve"> trf.V_II(demo, demo.t_a)[</w:t>
      </w:r>
      <w:r>
        <w:rPr>
          <w:rStyle w:val="DecValTok"/>
        </w:rPr>
        <w:t xml:space="preserve">0</w:t>
      </w:r>
      <w:r>
        <w:rPr>
          <w:rStyle w:val="NormalTok"/>
        </w:rPr>
        <w:t xml:space="preserve">]</w:t>
      </w:r>
      <w:r>
        <w:br/>
      </w:r>
      <w:r>
        <w:rPr>
          <w:rStyle w:val="NormalTok"/>
        </w:rPr>
        <w:t xml:space="preserve">        i1, i2, i3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i1.metric(</w:t>
      </w:r>
      <w:r>
        <w:rPr>
          <w:rStyle w:val="StringTok"/>
        </w:rPr>
        <w:t xml:space="preserve">"Records verifying"</w:t>
      </w:r>
      <w:r>
        <w:rPr>
          <w:rStyle w:val="NormalTok"/>
        </w:rPr>
        <w:t xml:space="preserve">, </w:t>
      </w:r>
      <w:r>
        <w:rPr>
          <w:rStyle w:val="SpecialStringTok"/>
        </w:rPr>
        <w:t xml:space="preserve">f"</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i2.metric(</w:t>
      </w:r>
      <w:r>
        <w:rPr>
          <w:rStyle w:val="StringTok"/>
        </w:rPr>
        <w:t xml:space="preserve">"Tamper: actor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ok_t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i3.metric(</w:t>
      </w:r>
      <w:r>
        <w:rPr>
          <w:rStyle w:val="StringTok"/>
        </w:rPr>
        <w:t xml:space="preserve">"Tamper: ground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ok_g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st.code(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R-008 -&gt; R-999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-&gt; 'none'    :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f"after restoring both          : V_II=</w:t>
      </w:r>
      <w:r>
        <w:rPr>
          <w:rStyle w:val="SpecialCharTok"/>
        </w:rPr>
        <w:t xml:space="preserve">{</w:t>
      </w:r>
      <w:r>
        <w:rPr>
          <w:rStyle w:val="NormalTok"/>
        </w:rPr>
        <w:t xml:space="preserve">ok_r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br/>
      </w:r>
      <w:r>
        <w:rPr>
          <w:rStyle w:val="NormalTok"/>
        </w:rPr>
        <w:t xml:space="preserve">                </w:t>
      </w:r>
      <w:r>
        <w:rPr>
          <w:rStyle w:val="KeywordTok"/>
        </w:rPr>
        <w:t xml:space="preserve">and</w:t>
      </w:r>
      <w:r>
        <w:rPr>
          <w:rStyle w:val="NormalTok"/>
        </w:rPr>
        <w:t xml:space="preserve"> n_ok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w:t>
      </w:r>
      <w:r>
        <w:rPr>
          <w:rStyle w:val="KeywordTok"/>
        </w:rPr>
        <w:t xml:space="preserve">not</w:t>
      </w:r>
      <w:r>
        <w:rPr>
          <w:rStyle w:val="NormalTok"/>
        </w:rPr>
        <w:t xml:space="preserve"> ok_t </w:t>
      </w:r>
      <w:r>
        <w:rPr>
          <w:rStyle w:val="KeywordTok"/>
        </w:rPr>
        <w:t xml:space="preserve">and</w:t>
      </w:r>
      <w:r>
        <w:rPr>
          <w:rStyle w:val="NormalTok"/>
        </w:rPr>
        <w:t xml:space="preserve"> </w:t>
      </w:r>
      <w:r>
        <w:rPr>
          <w:rStyle w:val="KeywordTok"/>
        </w:rPr>
        <w:t xml:space="preserve">not</w:t>
      </w:r>
      <w:r>
        <w:rPr>
          <w:rStyle w:val="NormalTok"/>
        </w:rPr>
        <w:t xml:space="preserve"> ok_g </w:t>
      </w:r>
      <w:r>
        <w:rPr>
          <w:rStyle w:val="KeywordTok"/>
        </w:rPr>
        <w:t xml:space="preserve">and</w:t>
      </w:r>
      <w:r>
        <w:rPr>
          <w:rStyle w:val="NormalTok"/>
        </w:rPr>
        <w:t xml:space="preserve"> ok_r):</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 200/200 records verifying, both tamper tests failing."</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5.7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§5.5, §5.6 and §5.8)</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§5.5**"</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§5.6**"</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§5.6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"**Real envelope encryption — optional module, Chapter 5 §5.8**"</w:t>
      </w:r>
      <w:r>
        <w:rPr>
          <w:rStyle w:val="NormalTok"/>
        </w:rPr>
        <w:t xml:space="preserve">)</w:t>
      </w:r>
      <w:r>
        <w:br/>
      </w:r>
      <w:r>
        <w:rPr>
          <w:rStyle w:val="NormalTok"/>
        </w:rPr>
        <w:t xml:space="preserve">    st.write(</w:t>
      </w:r>
      <w:r>
        <w:br/>
      </w:r>
      <w:r>
        <w:rPr>
          <w:rStyle w:val="NormalTok"/>
        </w:rPr>
        <w:t xml:space="preserve">        </w:t>
      </w:r>
      <w:r>
        <w:rPr>
          <w:rStyle w:val="StringTok"/>
        </w:rPr>
        <w:t xml:space="preserve">"The checker models key destruction as removing a reference. This module "</w:t>
      </w:r>
      <w:r>
        <w:br/>
      </w:r>
      <w:r>
        <w:rPr>
          <w:rStyle w:val="NormalTok"/>
        </w:rPr>
        <w:t xml:space="preserve">        </w:t>
      </w:r>
      <w:r>
        <w:rPr>
          <w:rStyle w:val="StringTok"/>
        </w:rPr>
        <w:t xml:space="preserve">"repeats the lifecycle with real AES-256-GCM: each record under its own data "</w:t>
      </w:r>
      <w:r>
        <w:br/>
      </w:r>
      <w:r>
        <w:rPr>
          <w:rStyle w:val="NormalTok"/>
        </w:rPr>
        <w:t xml:space="preserve">        </w:t>
      </w:r>
      <w:r>
        <w:rPr>
          <w:rStyle w:val="StringTok"/>
        </w:rPr>
        <w:t xml:space="preserve">"key, each data key wrapped under a key-encrypting key, and the wrapped key "</w:t>
      </w:r>
      <w:r>
        <w:br/>
      </w:r>
      <w:r>
        <w:rPr>
          <w:rStyle w:val="NormalTok"/>
        </w:rPr>
        <w:t xml:space="preserve">        </w:t>
      </w:r>
      <w:r>
        <w:rPr>
          <w:rStyle w:val="StringTok"/>
        </w:rPr>
        <w:t xml:space="preserve">"destroyed at the record's invalidation month. Keys are random on every run; "</w:t>
      </w:r>
      <w:r>
        <w:br/>
      </w:r>
      <w:r>
        <w:rPr>
          <w:rStyle w:val="NormalTok"/>
        </w:rPr>
        <w:t xml:space="preserve">        </w:t>
      </w:r>
      <w:r>
        <w:rPr>
          <w:rStyle w:val="StringTok"/>
        </w:rPr>
        <w:t xml:space="preserve">"the counts are not."</w:t>
      </w:r>
      <w:r>
        <w:br/>
      </w:r>
      <w:r>
        <w:rPr>
          <w:rStyle w:val="NormalTok"/>
        </w:rPr>
        <w:t xml:space="preserve">    )</w:t>
      </w:r>
      <w:r>
        <w:br/>
      </w:r>
      <w:r>
        <w:rPr>
          <w:rStyle w:val="NormalTok"/>
        </w:rPr>
        <w:t xml:space="preserve">    </w:t>
      </w:r>
      <w:r>
        <w:rPr>
          <w:rStyle w:val="ControlFlowTok"/>
        </w:rPr>
        <w:t xml:space="preserve">if</w:t>
      </w:r>
      <w:r>
        <w:rPr>
          <w:rStyle w:val="NormalTok"/>
        </w:rPr>
        <w:t xml:space="preserve"> st.button(</w:t>
      </w:r>
      <w:r>
        <w:rPr>
          <w:rStyle w:val="StringTok"/>
        </w:rPr>
        <w:t xml:space="preserve">"Run envelope encryption"</w:t>
      </w:r>
      <w:r>
        <w:rPr>
          <w:rStyle w:val="NormalTok"/>
        </w:rPr>
        <w:t xml:space="preserve">, key</w:t>
      </w:r>
      <w:r>
        <w:rPr>
          <w:rStyle w:val="OperatorTok"/>
        </w:rPr>
        <w:t xml:space="preserve">=</w:t>
      </w:r>
      <w:r>
        <w:rPr>
          <w:rStyle w:val="StringTok"/>
        </w:rPr>
        <w:t xml:space="preserve">"run_crypto"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crypto_envelope </w:t>
      </w:r>
      <w:r>
        <w:rPr>
          <w:rStyle w:val="ImportTok"/>
        </w:rPr>
        <w:t xml:space="preserve">as</w:t>
      </w:r>
      <w:r>
        <w:rPr>
          <w:rStyle w:val="NormalTok"/>
        </w:rPr>
        <w:t xml:space="preserve"> ce</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"Encrypting 200 records, destroying keys, decrypting ..."</w:t>
      </w:r>
      <w:r>
        <w:rPr>
          <w:rStyle w:val="NormalTok"/>
        </w:rPr>
        <w:t xml:space="preserve">):</w:t>
      </w:r>
      <w:r>
        <w:br/>
      </w:r>
      <w:r>
        <w:rPr>
          <w:rStyle w:val="NormalTok"/>
        </w:rPr>
        <w:t xml:space="preserve">                recs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ce.Custody()</w:t>
      </w:r>
      <w:r>
        <w:br/>
      </w:r>
      <w:r>
        <w:rPr>
          <w:rStyle w:val="NormalTok"/>
        </w:rPr>
        <w:t xml:space="preserve">                store </w:t>
      </w:r>
      <w:r>
        <w:rPr>
          <w:rStyle w:val="OperatorTok"/>
        </w:rPr>
        <w:t xml:space="preserve">=</w:t>
      </w:r>
      <w:r>
        <w:rPr>
          <w:rStyle w:val="NormalTok"/>
        </w:rPr>
        <w:t xml:space="preserve"> {r.rid: ce.encrypt(custody,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inval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w:t>
      </w:r>
      <w:r>
        <w:br/>
      </w:r>
      <w:r>
        <w:rPr>
          <w:rStyle w:val="NormalTok"/>
        </w:rPr>
        <w:t xml:space="preserve">                    custody.destroy(r.rid)</w:t>
      </w:r>
      <w:r>
        <w:br/>
      </w:r>
      <w:r>
        <w:rPr>
          <w:rStyle w:val="NormalTok"/>
        </w:rPr>
        <w:t xml:space="preserve">                readable </w:t>
      </w:r>
      <w:r>
        <w:rPr>
          <w:rStyle w:val="OperatorTok"/>
        </w:rPr>
        <w:t xml:space="preserve">=</w:t>
      </w:r>
      <w:r>
        <w:rPr>
          <w:rStyle w:val="NormalTok"/>
        </w:rPr>
        <w:t xml:space="preserve"> refused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try</w:t>
      </w:r>
      <w:r>
        <w:rPr>
          <w:rStyle w:val="NormalTok"/>
        </w:rPr>
        <w:t xml:space="preserve">:</w:t>
      </w:r>
      <w:r>
        <w:br/>
      </w:r>
      <w:r>
        <w:rPr>
          <w:rStyle w:val="NormalTok"/>
        </w:rPr>
        <w:t xml:space="preserve">                        ce.decrypt(custody,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e1, e2, e3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e1.metric(</w:t>
      </w:r>
      <w:r>
        <w:rPr>
          <w:rStyle w:val="StringTok"/>
        </w:rPr>
        <w:t xml:space="preserve">"Records encrypted"</w:t>
      </w:r>
      <w:r>
        <w:rPr>
          <w:rStyle w:val="NormalTok"/>
        </w:rPr>
        <w:t xml:space="preserve">, </w:t>
      </w:r>
      <w:r>
        <w:rPr>
          <w:rStyle w:val="BuiltInTok"/>
        </w:rPr>
        <w:t xml:space="preserve">len</w:t>
      </w:r>
      <w:r>
        <w:rPr>
          <w:rStyle w:val="NormalTok"/>
        </w:rPr>
        <w:t xml:space="preserve">(recs))</w:t>
      </w:r>
      <w:r>
        <w:br/>
      </w:r>
      <w:r>
        <w:rPr>
          <w:rStyle w:val="NormalTok"/>
        </w:rPr>
        <w:t xml:space="preserve">            e2.metric(</w:t>
      </w:r>
      <w:r>
        <w:rPr>
          <w:rStyle w:val="StringTok"/>
        </w:rPr>
        <w:t xml:space="preserve">"Refused after key destruction"</w:t>
      </w:r>
      <w:r>
        <w:rPr>
          <w:rStyle w:val="NormalTok"/>
        </w:rPr>
        <w:t xml:space="preserve">, refused)</w:t>
      </w:r>
      <w:r>
        <w:br/>
      </w:r>
      <w:r>
        <w:rPr>
          <w:rStyle w:val="NormalTok"/>
        </w:rPr>
        <w:t xml:space="preserve">            e3.metric(</w:t>
      </w:r>
      <w:r>
        <w:rPr>
          <w:rStyle w:val="StringTok"/>
        </w:rPr>
        <w:t xml:space="preserve">"Still readable"</w:t>
      </w:r>
      <w:r>
        <w:rPr>
          <w:rStyle w:val="NormalTok"/>
        </w:rPr>
        <w:t xml:space="preserve">, readable)</w:t>
      </w:r>
      <w:r>
        <w:br/>
      </w:r>
      <w:r>
        <w:rPr>
          <w:rStyle w:val="NormalTok"/>
        </w:rPr>
        <w:t xml:space="preserve">            </w:t>
      </w:r>
      <w:r>
        <w:rPr>
          <w:rStyle w:val="ControlFlowTok"/>
        </w:rPr>
        <w:t xml:space="preserve">if</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 </w:t>
      </w:r>
      <w:r>
        <w:rPr>
          <w:rStyle w:val="OperatorTok"/>
        </w:rPr>
        <w:t xml:space="preserve">==</w:t>
      </w:r>
      <w:r>
        <w:rPr>
          <w:rStyle w:val="NormalTok"/>
        </w:rPr>
        <w:t xml:space="preserve"> </w:t>
      </w:r>
      <w:r>
        <w:rPr>
          <w:rStyle w:val="DecValTok"/>
        </w:rPr>
        <w:t xml:space="preserve">138</w:t>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DecValTok"/>
        </w:rPr>
        <w:t xml:space="preserve">62</w:t>
      </w:r>
      <w:r>
        <w:rPr>
          <w:rStyle w:val="NormalTok"/>
        </w:rPr>
        <w:t xml:space="preserve">:</w:t>
      </w:r>
      <w:r>
        <w:br/>
      </w:r>
      <w:r>
        <w:rPr>
          <w:rStyle w:val="NormalTok"/>
        </w:rPr>
        <w:t xml:space="preserve">                st.success(</w:t>
      </w:r>
      <w:r>
        <w:br/>
      </w:r>
      <w:r>
        <w:rPr>
          <w:rStyle w:val="NormalTok"/>
        </w:rPr>
        <w:t xml:space="preserve">                    </w:t>
      </w:r>
      <w:r>
        <w:rPr>
          <w:rStyle w:val="StringTok"/>
        </w:rPr>
        <w:t xml:space="preserve">"Exactly the 138 invalidated records refuse to decrypt and the "</w:t>
      </w:r>
      <w:r>
        <w:br/>
      </w:r>
      <w:r>
        <w:rPr>
          <w:rStyle w:val="NormalTok"/>
        </w:rPr>
        <w:t xml:space="preserve">                    </w:t>
      </w:r>
      <w:r>
        <w:rPr>
          <w:rStyle w:val="StringTok"/>
        </w:rPr>
        <w:t xml:space="preserve">"other 62 read, as Appendix A.22 records. Unreadability follows "</w:t>
      </w:r>
      <w:r>
        <w:br/>
      </w:r>
      <w:r>
        <w:rPr>
          <w:rStyle w:val="NormalTok"/>
        </w:rPr>
        <w:t xml:space="preserve">                    </w:t>
      </w:r>
      <w:r>
        <w:rPr>
          <w:rStyle w:val="StringTok"/>
        </w:rPr>
        <w:t xml:space="preserve">"from destruction; that destruction happened in hardware is still "</w:t>
      </w:r>
      <w:r>
        <w:br/>
      </w:r>
      <w:r>
        <w:rPr>
          <w:rStyle w:val="NormalTok"/>
        </w:rPr>
        <w:t xml:space="preserve">                    </w:t>
      </w:r>
      <w:r>
        <w:rPr>
          <w:rStyle w:val="StringTok"/>
        </w:rPr>
        <w:t xml:space="preserve">"an attestation (Chapter 6, Section 6.3)."</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tringTok"/>
        </w:rPr>
        <w:t xml:space="preserve">"Counts differ from Appendix A.22. Investigate before citing."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st.info(</w:t>
      </w:r>
      <w:r>
        <w:rPr>
          <w:rStyle w:val="StringTok"/>
        </w:rPr>
        <w:t xml:space="preserve">"The `cryptography` package is not installed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and it does not implement the terminal "</w:t>
      </w:r>
      <w:r>
        <w:br/>
      </w:r>
      <w:r>
        <w:rPr>
          <w:rStyle w:val="NormalTok"/>
        </w:rPr>
        <w:t xml:space="preserve">        </w:t>
      </w:r>
      <w:r>
        <w:rPr>
          <w:rStyle w:val="StringTok"/>
        </w:rPr>
        <w:t xml:space="preserve">"transition at floor expiry. Key destruction is simulated by removing a "</w:t>
      </w:r>
      <w:r>
        <w:br/>
      </w:r>
      <w:r>
        <w:rPr>
          <w:rStyle w:val="NormalTok"/>
        </w:rPr>
        <w:t xml:space="preserve">        </w:t>
      </w:r>
      <w:r>
        <w:rPr>
          <w:rStyle w:val="StringTok"/>
        </w:rPr>
        <w:t xml:space="preserve">"reference in program state, or in the optional module by discarding a "</w:t>
      </w:r>
      <w:r>
        <w:br/>
      </w:r>
      <w:r>
        <w:rPr>
          <w:rStyle w:val="NormalTok"/>
        </w:rPr>
        <w:t xml:space="preserve">        </w:t>
      </w:r>
      <w:r>
        <w:rPr>
          <w:rStyle w:val="StringTok"/>
        </w:rPr>
        <w:t xml:space="preserve">"wrapped key in memory: either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§5.8 and Chapter 6 state these limits in full."</w:t>
      </w:r>
      <w:r>
        <w:br/>
      </w:r>
      <w:r>
        <w:rPr>
          <w:rStyle w:val="NormalTok"/>
        </w:rPr>
        <w:t xml:space="preserve">    )</w:t>
      </w:r>
      <w:r>
        <w:br/>
      </w:r>
      <w:r>
        <w:br/>
      </w:r>
      <w:r>
        <w:br/>
      </w:r>
      <w:r>
        <w:br/>
      </w:r>
      <w:r>
        <w:rPr>
          <w:rStyle w:val="CommentTok"/>
        </w:rPr>
        <w:t xml:space="preserve"># ----------------------------------------------------------------------</w:t>
      </w:r>
      <w:r>
        <w:br/>
      </w:r>
      <w:r>
        <w:rPr>
          <w:rStyle w:val="CommentTok"/>
        </w:rPr>
        <w:t xml:space="preserve"># Tab 6 — Proposition 3: where the ceiling is anchored (Chapter 4, Section 4.6)</w:t>
      </w:r>
      <w:r>
        <w:br/>
      </w:r>
      <w:r>
        <w:rPr>
          <w:rStyle w:val="CommentTok"/>
        </w:rPr>
        <w:t xml:space="preserve"># ----------------------------------------------------------------------</w:t>
      </w:r>
      <w:r>
        <w:br/>
      </w:r>
      <w:r>
        <w:br/>
      </w:r>
      <w:r>
        <w:rPr>
          <w:rStyle w:val="ControlFlowTok"/>
        </w:rPr>
        <w:t xml:space="preserve">with</w:t>
      </w:r>
      <w:r>
        <w:rPr>
          <w:rStyle w:val="NormalTok"/>
        </w:rPr>
        <w:t xml:space="preserve"> tab6:</w:t>
      </w:r>
      <w:r>
        <w:br/>
      </w:r>
      <w:r>
        <w:rPr>
          <w:rStyle w:val="NormalTok"/>
        </w:rPr>
        <w:t xml:space="preserve">    st.subheader(</w:t>
      </w:r>
      <w:r>
        <w:rPr>
          <w:rStyle w:val="StringTok"/>
        </w:rPr>
        <w:t xml:space="preserve">"Where the ceiling is anchored — Proposition 3"</w:t>
      </w:r>
      <w:r>
        <w:rPr>
          <w:rStyle w:val="NormalTok"/>
        </w:rPr>
        <w:t xml:space="preserve">)</w:t>
      </w:r>
      <w:r>
        <w:br/>
      </w:r>
      <w:r>
        <w:rPr>
          <w:rStyle w:val="NormalTok"/>
        </w:rPr>
        <w:t xml:space="preserve">    st.write(</w:t>
      </w:r>
      <w:r>
        <w:br/>
      </w:r>
      <w:r>
        <w:rPr>
          <w:rStyle w:val="NormalTok"/>
        </w:rPr>
        <w:t xml:space="preserve">        </w:t>
      </w:r>
      <w:r>
        <w:rPr>
          <w:rStyle w:val="StringTok"/>
        </w:rPr>
        <w:t xml:space="preserve">"A retention floor of F months runs from the record's creation t(a). A deletion "</w:t>
      </w:r>
      <w:r>
        <w:br/>
      </w:r>
      <w:r>
        <w:rPr>
          <w:rStyle w:val="NormalTok"/>
        </w:rPr>
        <w:t xml:space="preserve">        </w:t>
      </w:r>
      <w:r>
        <w:rPr>
          <w:rStyle w:val="StringTok"/>
        </w:rPr>
        <w:t xml:space="preserve">"ceiling of L months runs from an event e(a) at or after creation. Under plaintext "</w:t>
      </w:r>
      <w:r>
        <w:br/>
      </w:r>
      <w:r>
        <w:rPr>
          <w:rStyle w:val="NormalTok"/>
        </w:rPr>
        <w:t xml:space="preserve">        </w:t>
      </w:r>
      <w:r>
        <w:rPr>
          <w:rStyle w:val="StringTok"/>
        </w:rPr>
        <w:t xml:space="preserve">"verifiability the two collide for a record exactly when e(a) + L &lt;= t(a) + F. "</w:t>
      </w:r>
      <w:r>
        <w:br/>
      </w:r>
      <w:r>
        <w:rPr>
          <w:rStyle w:val="NormalTok"/>
        </w:rPr>
        <w:t xml:space="preserve">        </w:t>
      </w:r>
      <w:r>
        <w:rPr>
          <w:rStyle w:val="StringTok"/>
        </w:rPr>
        <w:t xml:space="preserve">"A collision therefore needs L &lt;= F; where the ceiling is anchored decides "</w:t>
      </w:r>
      <w:r>
        <w:br/>
      </w:r>
      <w:r>
        <w:rPr>
          <w:rStyle w:val="NormalTok"/>
        </w:rPr>
        <w:t xml:space="preserve">        </w:t>
      </w:r>
      <w:r>
        <w:rPr>
          <w:rStyle w:val="StringTok"/>
        </w:rPr>
        <w:t xml:space="preserve">"whether the collision can be read from the text or only from each record's history."</w:t>
      </w:r>
      <w:r>
        <w:br/>
      </w:r>
      <w:r>
        <w:rPr>
          <w:rStyle w:val="NormalTok"/>
        </w:rPr>
        <w:t xml:space="preserve">    )</w:t>
      </w:r>
      <w:r>
        <w:br/>
      </w:r>
      <w:r>
        <w:rPr>
          <w:rStyle w:val="NormalTok"/>
        </w:rPr>
        <w:t xml:space="preserve">    preset </w:t>
      </w:r>
      <w:r>
        <w:rPr>
          <w:rStyle w:val="OperatorTok"/>
        </w:rPr>
        <w:t xml:space="preserve">=</w:t>
      </w:r>
      <w:r>
        <w:rPr>
          <w:rStyle w:val="NormalTok"/>
        </w:rPr>
        <w:t xml:space="preserve"> st.radio(</w:t>
      </w:r>
      <w:r>
        <w:br/>
      </w:r>
      <w:r>
        <w:rPr>
          <w:rStyle w:val="NormalTok"/>
        </w:rPr>
        <w:t xml:space="preserve">        </w:t>
      </w:r>
      <w:r>
        <w:rPr>
          <w:rStyle w:val="StringTok"/>
        </w:rPr>
        <w:t xml:space="preserve">"Preset"</w:t>
      </w:r>
      <w:r>
        <w:rPr>
          <w:rStyle w:val="NormalTok"/>
        </w:rPr>
        <w:t xml:space="preserve">,</w:t>
      </w:r>
      <w:r>
        <w:br/>
      </w:r>
      <w:r>
        <w:rPr>
          <w:rStyle w:val="NormalTok"/>
        </w:rPr>
        <w:t xml:space="preserve">        [</w:t>
      </w:r>
      <w:r>
        <w:rPr>
          <w:rStyle w:val="StringTok"/>
        </w:rPr>
        <w:t xml:space="preserve">"EHDS Art 73(1)(e) floor, Art 68(12) ceiling"</w:t>
      </w:r>
      <w:r>
        <w:rPr>
          <w:rStyle w:val="NormalTok"/>
        </w:rPr>
        <w:t xml:space="preserve">, </w:t>
      </w:r>
      <w:r>
        <w:rPr>
          <w:rStyle w:val="StringTok"/>
        </w:rPr>
        <w:t xml:space="preserve">"politiregisterloven § 17"</w:t>
      </w:r>
      <w:r>
        <w:rPr>
          <w:rStyle w:val="NormalTok"/>
        </w:rPr>
        <w:t xml:space="preserve">,</w:t>
      </w:r>
      <w:r>
        <w:br/>
      </w:r>
      <w:r>
        <w:rPr>
          <w:rStyle w:val="NormalTok"/>
        </w:rPr>
        <w:t xml:space="preserve">         </w:t>
      </w:r>
      <w:r>
        <w:rPr>
          <w:rStyle w:val="StringTok"/>
        </w:rPr>
        <w:t xml:space="preserve">"Free"</w:t>
      </w:r>
      <w:r>
        <w:rPr>
          <w:rStyle w:val="NormalTok"/>
        </w:rPr>
        <w:t xml:space="preserve">], horizontal</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preset.startswith(</w:t>
      </w:r>
      <w:r>
        <w:rPr>
          <w:rStyle w:val="StringTok"/>
        </w:rPr>
        <w:t xml:space="preserve">"EHDS"</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 </w:t>
      </w:r>
      <w:r>
        <w:rPr>
          <w:rStyle w:val="VariableTok"/>
        </w:rPr>
        <w:t xml:space="preserve">False</w:t>
      </w:r>
      <w:r>
        <w:br/>
      </w:r>
      <w:r>
        <w:rPr>
          <w:rStyle w:val="NormalTok"/>
        </w:rPr>
        <w:t xml:space="preserve">    </w:t>
      </w:r>
      <w:r>
        <w:rPr>
          <w:rStyle w:val="ControlFlowTok"/>
        </w:rPr>
        <w:t xml:space="preserve">elif</w:t>
      </w:r>
      <w:r>
        <w:rPr>
          <w:rStyle w:val="NormalTok"/>
        </w:rPr>
        <w:t xml:space="preserve"> preset.startswith(</w:t>
      </w:r>
      <w:r>
        <w:rPr>
          <w:rStyle w:val="StringTok"/>
        </w:rPr>
        <w:t xml:space="preserve">"politi"</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36</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24</w:t>
      </w:r>
      <w:r>
        <w:rPr>
          <w:rStyle w:val="NormalTok"/>
        </w:rPr>
        <w:t xml:space="preserve">, </w:t>
      </w:r>
      <w:r>
        <w:rPr>
          <w:rStyle w:val="DecValTok"/>
        </w:rPr>
        <w:t xml:space="preserve">12</w:t>
      </w:r>
      <w:r>
        <w:rPr>
          <w:rStyle w:val="NormalTok"/>
        </w:rPr>
        <w:t xml:space="preserve">, </w:t>
      </w:r>
      <w:r>
        <w:rPr>
          <w:rStyle w:val="VariableTok"/>
        </w:rPr>
        <w:t xml:space="preserve">False</w:t>
      </w:r>
      <w:r>
        <w:br/>
      </w:r>
      <w:r>
        <w:rPr>
          <w:rStyle w:val="NormalTok"/>
        </w:rPr>
        <w:t xml:space="preserve">    F </w:t>
      </w:r>
      <w:r>
        <w:rPr>
          <w:rStyle w:val="OperatorTok"/>
        </w:rPr>
        <w:t xml:space="preserve">=</w:t>
      </w:r>
      <w:r>
        <w:rPr>
          <w:rStyle w:val="NormalTok"/>
        </w:rPr>
        <w:t xml:space="preserve"> st.slider(</w:t>
      </w:r>
      <w:r>
        <w:rPr>
          <w:rStyle w:val="StringTok"/>
        </w:rPr>
        <w:t xml:space="preserve">"Floor F (months, from creation)"</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F0, key</w:t>
      </w:r>
      <w:r>
        <w:rPr>
          <w:rStyle w:val="OperatorTok"/>
        </w:rPr>
        <w:t xml:space="preserve">=</w:t>
      </w:r>
      <w:r>
        <w:rPr>
          <w:rStyle w:val="SpecialStringTok"/>
        </w:rPr>
        <w:t xml:space="preserve">f"F_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L </w:t>
      </w:r>
      <w:r>
        <w:rPr>
          <w:rStyle w:val="OperatorTok"/>
        </w:rPr>
        <w:t xml:space="preserve">=</w:t>
      </w:r>
      <w:r>
        <w:rPr>
          <w:rStyle w:val="NormalTok"/>
        </w:rPr>
        <w:t xml:space="preserve"> st.slider(</w:t>
      </w:r>
      <w:r>
        <w:rPr>
          <w:rStyle w:val="StringTok"/>
        </w:rPr>
        <w:t xml:space="preserve">"Ceiling L (months, from its anchor)"</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L0, key</w:t>
      </w:r>
      <w:r>
        <w:rPr>
          <w:rStyle w:val="OperatorTok"/>
        </w:rPr>
        <w:t xml:space="preserve">=</w:t>
      </w:r>
      <w:r>
        <w:rPr>
          <w:rStyle w:val="SpecialStringTok"/>
        </w:rPr>
        <w:t xml:space="preserve">f"L_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same </w:t>
      </w:r>
      <w:r>
        <w:rPr>
          <w:rStyle w:val="OperatorTok"/>
        </w:rPr>
        <w:t xml:space="preserve">=</w:t>
      </w:r>
      <w:r>
        <w:rPr>
          <w:rStyle w:val="NormalTok"/>
        </w:rPr>
        <w:t xml:space="preserve"> st.checkbox(</w:t>
      </w:r>
      <w:r>
        <w:rPr>
          <w:rStyle w:val="StringTok"/>
        </w:rPr>
        <w:t xml:space="preserve">"Ceiling anchored to creation, the same event as the floor"</w:t>
      </w:r>
      <w:r>
        <w:rPr>
          <w:rStyle w:val="NormalTok"/>
        </w:rPr>
        <w:t xml:space="preserve">,</w:t>
      </w:r>
      <w:r>
        <w:br/>
      </w:r>
      <w:r>
        <w:rPr>
          <w:rStyle w:val="NormalTok"/>
        </w:rPr>
        <w:t xml:space="preserve">                       value</w:t>
      </w:r>
      <w:r>
        <w:rPr>
          <w:rStyle w:val="OperatorTok"/>
        </w:rPr>
        <w:t xml:space="preserve">=</w:t>
      </w:r>
      <w:r>
        <w:rPr>
          <w:rStyle w:val="NormalTok"/>
        </w:rPr>
        <w:t xml:space="preserve">same0, key</w:t>
      </w:r>
      <w:r>
        <w:rPr>
          <w:rStyle w:val="OperatorTok"/>
        </w:rPr>
        <w:t xml:space="preserve">=</w:t>
      </w:r>
      <w:r>
        <w:rPr>
          <w:rStyle w:val="SpecialStringTok"/>
        </w:rPr>
        <w:t xml:space="preserve">f"same_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same: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The two limits bound one "</w:t>
      </w:r>
      <w:r>
        <w:br/>
      </w:r>
      <w:r>
        <w:rPr>
          <w:rStyle w:val="NormalTok"/>
        </w:rPr>
        <w:t xml:space="preserve">                       </w:t>
      </w:r>
      <w:r>
        <w:rPr>
          <w:rStyle w:val="StringTok"/>
        </w:rPr>
        <w:t xml:space="preserve">"retention window, readable from the text alone."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every record collides, and the text "</w:t>
      </w:r>
      <w:r>
        <w:br/>
      </w:r>
      <w:r>
        <w:rPr>
          <w:rStyle w:val="NormalTok"/>
        </w:rPr>
        <w:t xml:space="preserve">                     </w:t>
      </w:r>
      <w:r>
        <w:rPr>
          <w:rStyle w:val="StringTok"/>
        </w:rPr>
        <w:t xml:space="preserve">"contradicts itself on its face."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wherever its anchor "</w:t>
      </w:r>
      <w:r>
        <w:br/>
      </w:r>
      <w:r>
        <w:rPr>
          <w:rStyle w:val="NormalTok"/>
        </w:rPr>
        <w:t xml:space="preserve">                       </w:t>
      </w:r>
      <w:r>
        <w:rPr>
          <w:rStyle w:val="StringTok"/>
        </w:rPr>
        <w:t xml:space="preserve">"event falls."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gap </w:t>
      </w:r>
      <w:r>
        <w:rPr>
          <w:rStyle w:val="OperatorTok"/>
        </w:rPr>
        <w:t xml:space="preserve">=</w:t>
      </w:r>
      <w:r>
        <w:rPr>
          <w:rStyle w:val="NormalTok"/>
        </w:rPr>
        <w:t xml:space="preserve"> F </w:t>
      </w:r>
      <w:r>
        <w:rPr>
          <w:rStyle w:val="OperatorTok"/>
        </w:rPr>
        <w:t xml:space="preserve">-</w:t>
      </w:r>
      <w:r>
        <w:rPr>
          <w:rStyle w:val="NormalTok"/>
        </w:rPr>
        <w:t xml:space="preserve"> L</w:t>
      </w:r>
      <w:r>
        <w:br/>
      </w:r>
      <w:r>
        <w:rPr>
          <w:rStyle w:val="NormalTok"/>
        </w:rPr>
        <w:t xml:space="preserve">            st.warning(</w:t>
      </w:r>
      <w:r>
        <w:br/>
      </w:r>
      <w:r>
        <w:rPr>
          <w:rStyle w:val="NormalTok"/>
        </w:rPr>
        <w:t xml:space="preserve">                </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a record collides exactly when its anchor event "</w:t>
      </w:r>
      <w:r>
        <w:br/>
      </w:r>
      <w:r>
        <w:rPr>
          <w:rStyle w:val="NormalTok"/>
        </w:rPr>
        <w:t xml:space="preserve">                </w:t>
      </w:r>
      <w:r>
        <w:rPr>
          <w:rStyle w:val="SpecialStringTok"/>
        </w:rPr>
        <w:t xml:space="preserve">f"falls within </w:t>
      </w:r>
      <w:r>
        <w:rPr>
          <w:rStyle w:val="SpecialCharTok"/>
        </w:rPr>
        <w:t xml:space="preserve">{</w:t>
      </w:r>
      <w:r>
        <w:rPr>
          <w:rStyle w:val="NormalTok"/>
        </w:rPr>
        <w:t xml:space="preserve">gap</w:t>
      </w:r>
      <w:r>
        <w:rPr>
          <w:rStyle w:val="SpecialCharTok"/>
        </w:rPr>
        <w:t xml:space="preserve">}</w:t>
      </w:r>
      <w:r>
        <w:rPr>
          <w:rStyle w:val="SpecialStringTok"/>
        </w:rPr>
        <w:t xml:space="preserve"> month(s) of creation (e(a) - t(a) &lt;= </w:t>
      </w:r>
      <w:r>
        <w:rPr>
          <w:rStyle w:val="SpecialCharTok"/>
        </w:rPr>
        <w:t xml:space="preserve">{</w:t>
      </w:r>
      <w:r>
        <w:rPr>
          <w:rStyle w:val="NormalTok"/>
        </w:rPr>
        <w:t xml:space="preserve">gap</w:t>
      </w:r>
      <w:r>
        <w:rPr>
          <w:rStyle w:val="SpecialCharTok"/>
        </w:rPr>
        <w:t xml:space="preserve">}</w:t>
      </w:r>
      <w:r>
        <w:rPr>
          <w:rStyle w:val="SpecialStringTok"/>
        </w:rPr>
        <w:t xml:space="preserve">). "</w:t>
      </w:r>
      <w:r>
        <w:br/>
      </w:r>
      <w:r>
        <w:rPr>
          <w:rStyle w:val="NormalTok"/>
        </w:rPr>
        <w:t xml:space="preserve">                </w:t>
      </w:r>
      <w:r>
        <w:rPr>
          <w:rStyle w:val="StringTok"/>
        </w:rPr>
        <w:t xml:space="preserve">"Nothing in the text says which records those are; each record's "</w:t>
      </w:r>
      <w:r>
        <w:br/>
      </w:r>
      <w:r>
        <w:rPr>
          <w:rStyle w:val="NormalTok"/>
        </w:rPr>
        <w:t xml:space="preserve">                </w:t>
      </w:r>
      <w:r>
        <w:rPr>
          <w:rStyle w:val="StringTok"/>
        </w:rPr>
        <w:t xml:space="preserve">"history does."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offsets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st.bar_chart(</w:t>
      </w:r>
      <w:r>
        <w:br/>
      </w:r>
      <w:r>
        <w:rPr>
          <w:rStyle w:val="NormalTok"/>
        </w:rPr>
        <w:t xml:space="preserve">                {</w:t>
      </w:r>
      <w:r>
        <w:rPr>
          <w:rStyle w:val="StringTok"/>
        </w:rPr>
        <w:t xml:space="preserve">"months of collision"</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(t0 </w:t>
      </w:r>
      <w:r>
        <w:rPr>
          <w:rStyle w:val="OperatorTok"/>
        </w:rPr>
        <w:t xml:space="preserve">+</w:t>
      </w:r>
      <w:r>
        <w:rPr>
          <w:rStyle w:val="NormalTok"/>
        </w:rPr>
        <w:t xml:space="preserve"> F) </w:t>
      </w:r>
      <w:r>
        <w:rPr>
          <w:rStyle w:val="OperatorTok"/>
        </w:rPr>
        <w:t xml:space="preserve">-</w:t>
      </w:r>
      <w:r>
        <w:rPr>
          <w:rStyle w:val="NormalTok"/>
        </w:rPr>
        <w:t xml:space="preserve"> (t0 </w:t>
      </w:r>
      <w:r>
        <w:rPr>
          <w:rStyle w:val="OperatorTok"/>
        </w:rPr>
        <w:t xml:space="preserve">+</w:t>
      </w:r>
      <w:r>
        <w:rPr>
          <w:rStyle w:val="NormalTok"/>
        </w:rPr>
        <w:t xml:space="preserve"> d </w:t>
      </w:r>
      <w:r>
        <w:rPr>
          <w:rStyle w:val="OperatorTok"/>
        </w:rPr>
        <w:t xml:space="preserve">+</w:t>
      </w:r>
      <w:r>
        <w:rPr>
          <w:rStyle w:val="NormalTok"/>
        </w:rPr>
        <w:t xml:space="preserve"> 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t0, d </w:t>
      </w:r>
      <w:r>
        <w:rPr>
          <w:rStyle w:val="KeywordTok"/>
        </w:rPr>
        <w:t xml:space="preserve">in</w:t>
      </w:r>
      <w:r>
        <w:rPr>
          <w:rStyle w:val="NormalTok"/>
        </w:rPr>
        <w:t xml:space="preserve"> [(</w:t>
      </w:r>
      <w:r>
        <w:rPr>
          <w:rStyle w:val="DecValTok"/>
        </w:rPr>
        <w:t xml:space="preserve">0</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offsets]]},</w:t>
      </w:r>
      <w:r>
        <w:br/>
      </w:r>
      <w:r>
        <w:rPr>
          <w:rStyle w:val="NormalTok"/>
        </w:rPr>
        <w:t xml:space="preserve">                x_label</w:t>
      </w:r>
      <w:r>
        <w:rPr>
          <w:rStyle w:val="OperatorTok"/>
        </w:rPr>
        <w:t xml:space="preserve">=</w:t>
      </w:r>
      <w:r>
        <w:rPr>
          <w:rStyle w:val="StringTok"/>
        </w:rPr>
        <w:t xml:space="preserve">"anchor event, months after creation"</w:t>
      </w:r>
      <w:r>
        <w:rPr>
          <w:rStyle w:val="NormalTok"/>
        </w:rPr>
        <w:t xml:space="preserve">,</w:t>
      </w:r>
      <w:r>
        <w:br/>
      </w:r>
      <w:r>
        <w:rPr>
          <w:rStyle w:val="NormalTok"/>
        </w:rPr>
        <w:t xml:space="preserve">                y_label</w:t>
      </w:r>
      <w:r>
        <w:rPr>
          <w:rStyle w:val="OperatorTok"/>
        </w:rPr>
        <w:t xml:space="preserve">=</w:t>
      </w:r>
      <w:r>
        <w:rPr>
          <w:rStyle w:val="StringTok"/>
        </w:rPr>
        <w:t xml:space="preserve">"months in which both apply"</w:t>
      </w:r>
      <w:r>
        <w:rPr>
          <w:rStyle w:val="NormalTok"/>
        </w:rPr>
        <w:t xml:space="preserve">)</w:t>
      </w:r>
      <w:r>
        <w:br/>
      </w:r>
      <w:r>
        <w:rPr>
          <w:rStyle w:val="NormalTok"/>
        </w:rPr>
        <w:t xml:space="preserve">    st.caption(</w:t>
      </w:r>
      <w:r>
        <w:br/>
      </w:r>
      <w:r>
        <w:rPr>
          <w:rStyle w:val="NormalTok"/>
        </w:rPr>
        <w:t xml:space="preserve">        </w:t>
      </w:r>
      <w:r>
        <w:rPr>
          <w:rStyle w:val="StringTok"/>
        </w:rPr>
        <w:t xml:space="preserve">"Article 68(12) is of the external-anchor kind: six months from permit expiry "</w:t>
      </w:r>
      <w:r>
        <w:br/>
      </w:r>
      <w:r>
        <w:rPr>
          <w:rStyle w:val="NormalTok"/>
        </w:rPr>
        <w:t xml:space="preserve">        </w:t>
      </w:r>
      <w:r>
        <w:rPr>
          <w:rStyle w:val="StringTok"/>
        </w:rPr>
        <w:t xml:space="preserve">"against twelve from the log entry, so logs whose permit expires within six "</w:t>
      </w:r>
      <w:r>
        <w:br/>
      </w:r>
      <w:r>
        <w:rPr>
          <w:rStyle w:val="NormalTok"/>
        </w:rPr>
        <w:t xml:space="preserve">        </w:t>
      </w:r>
      <w:r>
        <w:rPr>
          <w:rStyle w:val="StringTok"/>
        </w:rPr>
        <w:t xml:space="preserve">"months of the entry collide (Corollary 1.2). Section 17 of politiregisterloven "</w:t>
      </w:r>
      <w:r>
        <w:br/>
      </w:r>
      <w:r>
        <w:rPr>
          <w:rStyle w:val="NormalTok"/>
        </w:rPr>
        <w:t xml:space="preserve">        </w:t>
      </w:r>
      <w:r>
        <w:rPr>
          <w:rStyle w:val="StringTok"/>
        </w:rPr>
        <w:t xml:space="preserve">"measures both limbs from the log entry with the ceiling longer, so it bounds a "</w:t>
      </w:r>
      <w:r>
        <w:br/>
      </w:r>
      <w:r>
        <w:rPr>
          <w:rStyle w:val="NormalTok"/>
        </w:rPr>
        <w:t xml:space="preserve">        </w:t>
      </w:r>
      <w:r>
        <w:rPr>
          <w:rStyle w:val="StringTok"/>
        </w:rPr>
        <w:t xml:space="preserve">"window instead (Chapter 6, Section 6.10)."</w:t>
      </w:r>
      <w:r>
        <w:rPr>
          <w:rStyle w:val="NormalTok"/>
        </w:rPr>
        <w:t xml:space="preserve">)</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Tab 4 is illustrative of the "</w:t>
      </w:r>
      <w:r>
        <w:br/>
      </w:r>
      <w:r>
        <w:rPr>
          <w:rStyle w:val="NormalTok"/>
        </w:rPr>
        <w:t xml:space="preserve">    </w:t>
      </w:r>
      <w:r>
        <w:rPr>
          <w:rStyle w:val="StringTok"/>
        </w:rPr>
        <w:t xml:space="preserve">"Norwegian setting and not a thesis claim either, and Tab 6 evaluates the "</w:t>
      </w:r>
      <w:r>
        <w:br/>
      </w:r>
      <w:r>
        <w:rPr>
          <w:rStyle w:val="NormalTok"/>
        </w:rPr>
        <w:t xml:space="preserve">    </w:t>
      </w:r>
      <w:r>
        <w:rPr>
          <w:rStyle w:val="StringTok"/>
        </w:rPr>
        <w:t xml:space="preserve">"condition of Proposition 3 for any floor and ceiling you set.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bookmarkEnd w:id="119"/>
    <w:bookmarkStart w:id="120"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0"/>
    <w:bookmarkStart w:id="121"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5.4 and 5.6 appears here, with the δ = 1 row of </w:t>
      </w:r>
      <w:hyperlink w:anchor="tbl_5_5" w:history="1">
        <w:r>
          <w:rPr>
            <w:rStyle w:val="Hyperlink"/>
          </w:rPr>
          <w:t xml:space="preserve">Table 5.5</w:t>
        </w:r>
      </w:hyperlink>
      <w:r>
        <w:t xml:space="preserve">; its δ = 3 row is in A.18.</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1"/>
    <w:bookmarkStart w:id="122" w:name="X48e3d2dd8ce91f999789c66e0e3195e2a9ca03a"/>
    <w:p>
      <w:pPr>
        <w:pStyle w:val="Heading2"/>
      </w:pPr>
      <w:r>
        <w:t xml:space="preserve">A.17 Console output of the payload-provenance comparison, full cohort</w:t>
      </w:r>
    </w:p>
    <w:p>
      <w:pPr>
        <w:pStyle w:val="FirstParagraph"/>
      </w:pPr>
      <w:r>
        <w:t xml:space="preserve">Produced by command 4 against the regenerated 98-bundle cohort. Verbatim output of</w:t>
      </w:r>
      <w:r>
        <w:t xml:space="preserve"> </w:t>
      </w:r>
      <w:r>
        <w:rPr>
          <w:rStyle w:val="VerbatimChar"/>
        </w:rPr>
        <w:t xml:space="preserve">python3 synthea_layer.py</w:t>
      </w:r>
      <w:r>
        <w:t xml:space="preserve"> </w:t>
      </w:r>
      <w:r>
        <w:t xml:space="preserve">against the full 98-bundle cohort,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 which </w:t>
      </w:r>
      <w:hyperlink w:anchor="sec_5_8" w:history="1">
        <w:r>
          <w:rPr>
            <w:rStyle w:val="Hyperlink"/>
          </w:rPr>
          <w:t xml:space="preserve">Section 5.8</w:t>
        </w:r>
      </w:hyperlink>
      <w:r>
        <w:t xml:space="preserve"> reports at a mean payload of 1,006 bytes. It was recorded on 28 September 2026, before the code revision of 3 October, and its constructed-payload mean (35 bytes) reflects the earlier constructed strings; no measure in it depends on them, as the subset run in A.21, recorded after the revision, shows. Reproducing it requires regenerating the cohort with command 3, because the full cohort is 314 MB and is not committed.</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2"/>
    <w:bookmarkStart w:id="123"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23"/>
    <w:bookmarkStart w:id="124"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24"/>
    <w:bookmarkStart w:id="125"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25"/>
    <w:bookmarkStart w:id="126"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6"/>
    <w:bookmarkStart w:id="127"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27"/>
    <w:bookmarkStart w:id="128" w:name="a.23-source-listing-z3_check.py"/>
    <w:p>
      <w:pPr>
        <w:pStyle w:val="Heading2"/>
      </w:pPr>
      <w:r>
        <w:t xml:space="preserve">A.23 Source listing:</w:t>
      </w:r>
      <w:r>
        <w:t xml:space="preserve"> </w:t>
      </w:r>
      <w:r>
        <w:rPr>
          <w:rStyle w:val="VerbatimChar"/>
        </w:rPr>
        <w:t xml:space="preserve">z3_check.py</w:t>
      </w:r>
    </w:p>
    <w:p>
      <w:pPr>
        <w:pStyle w:val="FirstParagraph"/>
      </w:pPr>
      <w:r>
        <w:t xml:space="preserve">Optional module. It poses each of Propositions 1–3 to the Z3 SMT solver as a request for a counterexample within stated bounds, and checks that deliberately wrong versions of Proposition 3 are refuted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It reports no thesis figure from the generated population.</w:t>
      </w:r>
    </w:p>
    <w:p>
      <w:pPr>
        <w:pStyle w:val="SourceCode"/>
      </w:pPr>
      <w:r>
        <w:rPr>
          <w:rStyle w:val="CommentTok"/>
        </w:rPr>
        <w:t xml:space="preserve">"""</w:t>
      </w:r>
      <w:r>
        <w:br/>
      </w:r>
      <w:r>
        <w:rPr>
          <w:rStyle w:val="CommentTok"/>
        </w:rPr>
        <w:t xml:space="preserve">Bounded SMT check of Propositions 1-3 (optional module)</w:t>
      </w:r>
      <w:r>
        <w:br/>
      </w:r>
      <w:r>
        <w:rPr>
          <w:rStyle w:val="CommentTok"/>
        </w:rPr>
        <w:t xml:space="preserve">========================================================</w:t>
      </w:r>
      <w:r>
        <w:br/>
      </w:r>
      <w:r>
        <w:rPr>
          <w:rStyle w:val="CommentTok"/>
        </w:rPr>
        <w:t xml:space="preserve">An independent check of the TRF Model's propositions in a different formalism from the</w:t>
      </w:r>
      <w:r>
        <w:br/>
      </w:r>
      <w:r>
        <w:rPr>
          <w:rStyle w:val="CommentTok"/>
        </w:rPr>
        <w:t xml:space="preserve">checker. trf_checker.py evaluates 200 generated records; this module asks the Z3 SMT solver</w:t>
      </w:r>
      <w:r>
        <w:br/>
      </w:r>
      <w:r>
        <w:rPr>
          <w:rStyle w:val="CommentTok"/>
        </w:rPr>
        <w:t xml:space="preserve">whether ANY record, with ANY parameter values inside the stated bounds, contradicts a</w:t>
      </w:r>
      <w:r>
        <w:br/>
      </w:r>
      <w:r>
        <w:rPr>
          <w:rStyle w:val="CommentTok"/>
        </w:rPr>
        <w:t xml:space="preserve">proposition. Every check is posed as "find a counterexample"; the expected answer is</w:t>
      </w:r>
      <w:r>
        <w:br/>
      </w:r>
      <w:r>
        <w:rPr>
          <w:rStyle w:val="CommentTok"/>
        </w:rPr>
        <w:t xml:space="preserve">"unsat" (no counterexample exists within the bounds).</w:t>
      </w:r>
      <w:r>
        <w:br/>
      </w:r>
      <w:r>
        <w:br/>
      </w:r>
      <w:r>
        <w:rPr>
          <w:rStyle w:val="CommentTok"/>
        </w:rPr>
        <w:t xml:space="preserve">Model (Chapter 4, Sections 4.3-4.6), one record, months t = 0..H:</w:t>
      </w:r>
      <w:r>
        <w:br/>
      </w:r>
      <w:r>
        <w:rPr>
          <w:rStyle w:val="CommentTok"/>
        </w:rPr>
        <w:t xml:space="preserve">  alpha_t        payload accessible at month t (free Boolean per month)</w:t>
      </w:r>
      <w:r>
        <w:br/>
      </w:r>
      <w:r>
        <w:rPr>
          <w:rStyle w:val="CommentTok"/>
        </w:rPr>
        <w:t xml:space="preserve">  C1 floor       alpha_t for t in [t_a, t_a + F]                       (Semantics I: V = alpha)</w:t>
      </w:r>
      <w:r>
        <w:br/>
      </w:r>
      <w:r>
        <w:rPr>
          <w:rStyle w:val="CommentTok"/>
        </w:rPr>
        <w:t xml:space="preserve">  C2 right       not alpha_t for t &gt;= t_r + delta, if a request arrives</w:t>
      </w:r>
      <w:r>
        <w:br/>
      </w:r>
      <w:r>
        <w:rPr>
          <w:rStyle w:val="CommentTok"/>
        </w:rPr>
        <w:t xml:space="preserve">  C3 ceiling     not alpha_t for t &gt;= e + L, if a ceiling applies (e: its anchor event)</w:t>
      </w:r>
      <w:r>
        <w:br/>
      </w:r>
      <w:r>
        <w:rPr>
          <w:rStyle w:val="CommentTok"/>
        </w:rPr>
        <w:t xml:space="preserve">Semantics II (Proposition 2) adds the accountability state: the accessor fields and the</w:t>
      </w:r>
      <w:r>
        <w:br/>
      </w:r>
      <w:r>
        <w:rPr>
          <w:rStyle w:val="CommentTok"/>
        </w:rPr>
        <w:t xml:space="preserve">commitment are kept, and an invalidation entry exists from the invalidation month on.</w:t>
      </w:r>
      <w:r>
        <w:br/>
      </w:r>
      <w:r>
        <w:br/>
      </w:r>
      <w:r>
        <w:rPr>
          <w:rStyle w:val="CommentTok"/>
        </w:rPr>
        <w:t xml:space="preserve">Bounds: t_a in [0, 12], F in [1, 24], delta in [1, 3], request month and anchor event in</w:t>
      </w:r>
      <w:r>
        <w:br/>
      </w:r>
      <w:r>
        <w:rPr>
          <w:rStyle w:val="CommentTok"/>
        </w:rPr>
        <w:t xml:space="preserve">[t_a, H], L in [1, 24], H = 64 (large enough that every window and deadline fits).</w:t>
      </w:r>
      <w:r>
        <w:br/>
      </w:r>
      <w:r>
        <w:rPr>
          <w:rStyle w:val="CommentTok"/>
        </w:rPr>
        <w:t xml:space="preserve">This is a bounded check: it covers every combination within the bounds, not all integers.</w:t>
      </w:r>
      <w:r>
        <w:br/>
      </w:r>
      <w:r>
        <w:rPr>
          <w:rStyle w:val="CommentTok"/>
        </w:rPr>
        <w:t xml:space="preserve">It checks that the propositions follow from the constraints as encoded here; like the</w:t>
      </w:r>
      <w:r>
        <w:br/>
      </w:r>
      <w:r>
        <w:rPr>
          <w:rStyle w:val="CommentTok"/>
        </w:rPr>
        <w:t xml:space="preserve">checker, it does not check that the constraints translate the law (Section 4.2 does that).</w:t>
      </w:r>
      <w:r>
        <w:br/>
      </w:r>
      <w:r>
        <w:br/>
      </w:r>
      <w:r>
        <w:rPr>
          <w:rStyle w:val="CommentTok"/>
        </w:rPr>
        <w:t xml:space="preserve">Run:  pip install z3-solver   then   python3 z3_check.py</w:t>
      </w:r>
      <w:r>
        <w:br/>
      </w:r>
      <w:r>
        <w:rPr>
          <w:rStyle w:val="CommentTok"/>
        </w:rPr>
        <w:t xml:space="preserve">"""</w:t>
      </w:r>
      <w:r>
        <w:br/>
      </w:r>
      <w:r>
        <w:br/>
      </w:r>
      <w:r>
        <w:rPr>
          <w:rStyle w:val="ImportTok"/>
        </w:rPr>
        <w:t xml:space="preserve">from</w:t>
      </w:r>
      <w:r>
        <w:rPr>
          <w:rStyle w:val="NormalTok"/>
        </w:rPr>
        <w:t xml:space="preserve"> z3 </w:t>
      </w:r>
      <w:r>
        <w:rPr>
          <w:rStyle w:val="ImportTok"/>
        </w:rPr>
        <w:t xml:space="preserve">import</w:t>
      </w:r>
      <w:r>
        <w:rPr>
          <w:rStyle w:val="NormalTok"/>
        </w:rPr>
        <w:t xml:space="preserve"> And, Bool, If, Implies, Int, Not, Or, Solver, sat, unsat</w:t>
      </w:r>
      <w:r>
        <w:br/>
      </w:r>
      <w:r>
        <w:br/>
      </w:r>
      <w:r>
        <w:rPr>
          <w:rStyle w:val="NormalTok"/>
        </w:rPr>
        <w:t xml:space="preserve">H </w:t>
      </w:r>
      <w:r>
        <w:rPr>
          <w:rStyle w:val="OperatorTok"/>
        </w:rPr>
        <w:t xml:space="preserve">=</w:t>
      </w:r>
      <w:r>
        <w:rPr>
          <w:rStyle w:val="NormalTok"/>
        </w:rPr>
        <w:t xml:space="preserve"> </w:t>
      </w:r>
      <w:r>
        <w:rPr>
          <w:rStyle w:val="DecValTok"/>
        </w:rPr>
        <w:t xml:space="preserve">64</w:t>
      </w:r>
      <w:r>
        <w:br/>
      </w:r>
      <w:r>
        <w:rPr>
          <w:rStyle w:val="NormalTok"/>
        </w:rPr>
        <w:t xml:space="preserve">T </w:t>
      </w:r>
      <w:r>
        <w:rPr>
          <w:rStyle w:val="OperatorTok"/>
        </w:rPr>
        <w:t xml:space="preserve">=</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record():</w:t>
      </w:r>
      <w:r>
        <w:br/>
      </w:r>
      <w:r>
        <w:rPr>
          <w:rStyle w:val="NormalTok"/>
        </w:rPr>
        <w:t xml:space="preserve">    </w:t>
      </w:r>
      <w:r>
        <w:rPr>
          <w:rStyle w:val="CommentTok"/>
        </w:rPr>
        <w:t xml:space="preserve">"""Symbolic parameters and constraints common to every check."""</w:t>
      </w:r>
      <w:r>
        <w:br/>
      </w:r>
      <w:r>
        <w:rPr>
          <w:rStyle w:val="NormalTok"/>
        </w:rPr>
        <w:t xml:space="preserve">    ta, F, d </w:t>
      </w:r>
      <w:r>
        <w:rPr>
          <w:rStyle w:val="OperatorTok"/>
        </w:rPr>
        <w:t xml:space="preserve">=</w:t>
      </w:r>
      <w:r>
        <w:rPr>
          <w:rStyle w:val="NormalTok"/>
        </w:rPr>
        <w:t xml:space="preserve"> Int(</w:t>
      </w:r>
      <w:r>
        <w:rPr>
          <w:rStyle w:val="StringTok"/>
        </w:rPr>
        <w:t xml:space="preserve">"t_a"</w:t>
      </w:r>
      <w:r>
        <w:rPr>
          <w:rStyle w:val="NormalTok"/>
        </w:rPr>
        <w:t xml:space="preserve">), Int(</w:t>
      </w:r>
      <w:r>
        <w:rPr>
          <w:rStyle w:val="StringTok"/>
        </w:rPr>
        <w:t xml:space="preserve">"F"</w:t>
      </w:r>
      <w:r>
        <w:rPr>
          <w:rStyle w:val="NormalTok"/>
        </w:rPr>
        <w:t xml:space="preserve">), Int(</w:t>
      </w:r>
      <w:r>
        <w:rPr>
          <w:rStyle w:val="StringTok"/>
        </w:rPr>
        <w:t xml:space="preserve">"delta"</w:t>
      </w:r>
      <w:r>
        <w:rPr>
          <w:rStyle w:val="NormalTok"/>
        </w:rPr>
        <w:t xml:space="preserve">)</w:t>
      </w:r>
      <w:r>
        <w:br/>
      </w:r>
      <w:r>
        <w:rPr>
          <w:rStyle w:val="NormalTok"/>
        </w:rPr>
        <w:t xml:space="preserve">    tr, e, L </w:t>
      </w:r>
      <w:r>
        <w:rPr>
          <w:rStyle w:val="OperatorTok"/>
        </w:rPr>
        <w:t xml:space="preserve">=</w:t>
      </w:r>
      <w:r>
        <w:rPr>
          <w:rStyle w:val="NormalTok"/>
        </w:rPr>
        <w:t xml:space="preserve"> Int(</w:t>
      </w:r>
      <w:r>
        <w:rPr>
          <w:rStyle w:val="StringTok"/>
        </w:rPr>
        <w:t xml:space="preserve">"t_r"</w:t>
      </w:r>
      <w:r>
        <w:rPr>
          <w:rStyle w:val="NormalTok"/>
        </w:rPr>
        <w:t xml:space="preserve">), Int(</w:t>
      </w:r>
      <w:r>
        <w:rPr>
          <w:rStyle w:val="StringTok"/>
        </w:rPr>
        <w:t xml:space="preserve">"e"</w:t>
      </w:r>
      <w:r>
        <w:rPr>
          <w:rStyle w:val="NormalTok"/>
        </w:rPr>
        <w:t xml:space="preserve">), Int(</w:t>
      </w:r>
      <w:r>
        <w:rPr>
          <w:rStyle w:val="StringTok"/>
        </w:rPr>
        <w:t xml:space="preserve">"L"</w:t>
      </w:r>
      <w:r>
        <w:rPr>
          <w:rStyle w:val="NormalTok"/>
        </w:rPr>
        <w:t xml:space="preserve">)</w:t>
      </w:r>
      <w:r>
        <w:br/>
      </w:r>
      <w:r>
        <w:rPr>
          <w:rStyle w:val="NormalTok"/>
        </w:rPr>
        <w:t xml:space="preserve">    req, ceil </w:t>
      </w:r>
      <w:r>
        <w:rPr>
          <w:rStyle w:val="OperatorTok"/>
        </w:rPr>
        <w:t xml:space="preserve">=</w:t>
      </w:r>
      <w:r>
        <w:rPr>
          <w:rStyle w:val="NormalTok"/>
        </w:rPr>
        <w:t xml:space="preserve"> Bool(</w:t>
      </w:r>
      <w:r>
        <w:rPr>
          <w:rStyle w:val="StringTok"/>
        </w:rPr>
        <w:t xml:space="preserve">"request"</w:t>
      </w:r>
      <w:r>
        <w:rPr>
          <w:rStyle w:val="NormalTok"/>
        </w:rPr>
        <w:t xml:space="preserve">), Bool(</w:t>
      </w:r>
      <w:r>
        <w:rPr>
          <w:rStyle w:val="StringTok"/>
        </w:rPr>
        <w:t xml:space="preserve">"ceiling"</w:t>
      </w:r>
      <w:r>
        <w:rPr>
          <w:rStyle w:val="NormalTok"/>
        </w:rPr>
        <w:t xml:space="preserve">)</w:t>
      </w:r>
      <w:r>
        <w:br/>
      </w:r>
      <w:r>
        <w:rPr>
          <w:rStyle w:val="NormalTok"/>
        </w:rPr>
        <w:t xml:space="preserve">    alpha </w:t>
      </w:r>
      <w:r>
        <w:rPr>
          <w:rStyle w:val="OperatorTok"/>
        </w:rPr>
        <w:t xml:space="preserve">=</w:t>
      </w:r>
      <w:r>
        <w:rPr>
          <w:rStyle w:val="NormalTok"/>
        </w:rPr>
        <w:t xml:space="preserve"> [Bool(</w:t>
      </w:r>
      <w:r>
        <w:rPr>
          <w:rStyle w:val="SpecialStringTok"/>
        </w:rPr>
        <w:t xml:space="preserve">f"alpha_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bounds </w:t>
      </w:r>
      <w:r>
        <w:rPr>
          <w:rStyle w:val="OperatorTok"/>
        </w:rPr>
        <w:t xml:space="preserve">=</w:t>
      </w:r>
      <w:r>
        <w:rPr>
          <w:rStyle w:val="NormalTok"/>
        </w:rPr>
        <w:t xml:space="preserve"> And(ta </w:t>
      </w:r>
      <w:r>
        <w:rPr>
          <w:rStyle w:val="OperatorTok"/>
        </w:rPr>
        <w:t xml:space="preserve">&gt;=</w:t>
      </w:r>
      <w:r>
        <w:rPr>
          <w:rStyle w:val="NormalTok"/>
        </w:rPr>
        <w:t xml:space="preserve"> </w:t>
      </w:r>
      <w:r>
        <w:rPr>
          <w:rStyle w:val="DecValTok"/>
        </w:rPr>
        <w:t xml:space="preserve">0</w:t>
      </w:r>
      <w:r>
        <w:rPr>
          <w:rStyle w:val="NormalTok"/>
        </w:rPr>
        <w:t xml:space="preserve">, ta </w:t>
      </w:r>
      <w:r>
        <w:rPr>
          <w:rStyle w:val="OperatorTok"/>
        </w:rPr>
        <w:t xml:space="preserve">&lt;=</w:t>
      </w:r>
      <w:r>
        <w:rPr>
          <w:rStyle w:val="NormalTok"/>
        </w:rPr>
        <w:t xml:space="preserve"> </w:t>
      </w:r>
      <w:r>
        <w:rPr>
          <w:rStyle w:val="DecValTok"/>
        </w:rPr>
        <w:t xml:space="preserve">12</w:t>
      </w:r>
      <w:r>
        <w:rPr>
          <w:rStyle w:val="NormalTok"/>
        </w:rPr>
        <w:t xml:space="preserve">, F </w:t>
      </w:r>
      <w:r>
        <w:rPr>
          <w:rStyle w:val="OperatorTok"/>
        </w:rPr>
        <w:t xml:space="preserve">&gt;=</w:t>
      </w:r>
      <w:r>
        <w:rPr>
          <w:rStyle w:val="NormalTok"/>
        </w:rPr>
        <w:t xml:space="preserve"> </w:t>
      </w:r>
      <w:r>
        <w:rPr>
          <w:rStyle w:val="DecValTok"/>
        </w:rPr>
        <w:t xml:space="preserve">1</w:t>
      </w:r>
      <w:r>
        <w:rPr>
          <w:rStyle w:val="NormalTok"/>
        </w:rPr>
        <w:t xml:space="preserve">, F </w:t>
      </w:r>
      <w:r>
        <w:rPr>
          <w:rStyle w:val="OperatorTok"/>
        </w:rPr>
        <w:t xml:space="preserve">&lt;=</w:t>
      </w:r>
      <w:r>
        <w:rPr>
          <w:rStyle w:val="NormalTok"/>
        </w:rPr>
        <w:t xml:space="preserve"> </w:t>
      </w:r>
      <w:r>
        <w:rPr>
          <w:rStyle w:val="DecValTok"/>
        </w:rPr>
        <w:t xml:space="preserve">24</w:t>
      </w:r>
      <w:r>
        <w:rPr>
          <w:rStyle w:val="NormalTok"/>
        </w:rPr>
        <w:t xml:space="preserve">, d </w:t>
      </w:r>
      <w:r>
        <w:rPr>
          <w:rStyle w:val="OperatorTok"/>
        </w:rPr>
        <w:t xml:space="preserve">&gt;=</w:t>
      </w:r>
      <w:r>
        <w:rPr>
          <w:rStyle w:val="NormalTok"/>
        </w:rPr>
        <w:t xml:space="preserve"> </w:t>
      </w:r>
      <w:r>
        <w:rPr>
          <w:rStyle w:val="DecValTok"/>
        </w:rPr>
        <w:t xml:space="preserve">1</w:t>
      </w:r>
      <w:r>
        <w:rPr>
          <w:rStyle w:val="NormalTok"/>
        </w:rPr>
        <w:t xml:space="preserve">, 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tr </w:t>
      </w:r>
      <w:r>
        <w:rPr>
          <w:rStyle w:val="OperatorTok"/>
        </w:rPr>
        <w:t xml:space="preserve">&gt;=</w:t>
      </w:r>
      <w:r>
        <w:rPr>
          <w:rStyle w:val="NormalTok"/>
        </w:rPr>
        <w:t xml:space="preserve"> ta, tr </w:t>
      </w:r>
      <w:r>
        <w:rPr>
          <w:rStyle w:val="OperatorTok"/>
        </w:rPr>
        <w:t xml:space="preserve">&lt;=</w:t>
      </w:r>
      <w:r>
        <w:rPr>
          <w:rStyle w:val="NormalTok"/>
        </w:rPr>
        <w:t xml:space="preserve"> H, e </w:t>
      </w:r>
      <w:r>
        <w:rPr>
          <w:rStyle w:val="OperatorTok"/>
        </w:rPr>
        <w:t xml:space="preserve">&gt;=</w:t>
      </w:r>
      <w:r>
        <w:rPr>
          <w:rStyle w:val="NormalTok"/>
        </w:rPr>
        <w:t xml:space="preserve"> ta, e </w:t>
      </w:r>
      <w:r>
        <w:rPr>
          <w:rStyle w:val="OperatorTok"/>
        </w:rPr>
        <w:t xml:space="preserve">&lt;=</w:t>
      </w:r>
      <w:r>
        <w:rPr>
          <w:rStyle w:val="NormalTok"/>
        </w:rPr>
        <w:t xml:space="preserve"> H, L </w:t>
      </w:r>
      <w:r>
        <w:rPr>
          <w:rStyle w:val="OperatorTok"/>
        </w:rPr>
        <w:t xml:space="preserve">&gt;=</w:t>
      </w:r>
      <w:r>
        <w:rPr>
          <w:rStyle w:val="NormalTok"/>
        </w:rPr>
        <w:t xml:space="preserve"> </w:t>
      </w:r>
      <w:r>
        <w:rPr>
          <w:rStyle w:val="DecValTok"/>
        </w:rPr>
        <w:t xml:space="preserve">1</w:t>
      </w:r>
      <w:r>
        <w:rPr>
          <w:rStyle w:val="NormalTok"/>
        </w:rPr>
        <w:t xml:space="preserve">, L </w:t>
      </w:r>
      <w:r>
        <w:rPr>
          <w:rStyle w:val="OperatorTok"/>
        </w:rPr>
        <w:t xml:space="preserve">&lt;=</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return</w:t>
      </w:r>
      <w:r>
        <w:rPr>
          <w:rStyle w:val="NormalTok"/>
        </w:rPr>
        <w:t xml:space="preserve"> ta, F, d, tr, e, L, req, ceil, alpha, bounds</w:t>
      </w:r>
      <w:r>
        <w:br/>
      </w:r>
      <w:r>
        <w:br/>
      </w:r>
      <w:r>
        <w:br/>
      </w:r>
      <w:r>
        <w:rPr>
          <w:rStyle w:val="KeywordTok"/>
        </w:rPr>
        <w:t xml:space="preserve">def</w:t>
      </w:r>
      <w:r>
        <w:rPr>
          <w:rStyle w:val="NormalTok"/>
        </w:rPr>
        <w:t xml:space="preserve"> C1(alpha, ta, F):</w:t>
      </w:r>
      <w:r>
        <w:br/>
      </w:r>
      <w:r>
        <w:rPr>
          <w:rStyle w:val="NormalTok"/>
        </w:rPr>
        <w:t xml:space="preserve">    </w:t>
      </w:r>
      <w:r>
        <w:rPr>
          <w:rStyle w:val="ControlFlowTok"/>
        </w:rPr>
        <w:t xml:space="preserve">return</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C2(alpha, req, tr, d):</w:t>
      </w:r>
      <w:r>
        <w:br/>
      </w:r>
      <w:r>
        <w:rPr>
          <w:rStyle w:val="NormalTok"/>
        </w:rPr>
        <w:t xml:space="preserve">    </w:t>
      </w:r>
      <w:r>
        <w:rPr>
          <w:rStyle w:val="ControlFlowTok"/>
        </w:rPr>
        <w:t xml:space="preserve">return</w:t>
      </w:r>
      <w:r>
        <w:rPr>
          <w:rStyle w:val="NormalTok"/>
        </w:rPr>
        <w:t xml:space="preserve"> And([Implies(And(req, t </w:t>
      </w:r>
      <w:r>
        <w:rPr>
          <w:rStyle w:val="OperatorTok"/>
        </w:rPr>
        <w:t xml:space="preserve">&gt;=</w:t>
      </w:r>
      <w:r>
        <w:rPr>
          <w:rStyle w:val="NormalTok"/>
        </w:rPr>
        <w:t xml:space="preserve"> tr </w:t>
      </w:r>
      <w:r>
        <w:rPr>
          <w:rStyle w:val="OperatorTok"/>
        </w:rPr>
        <w:t xml:space="preserve">+</w:t>
      </w:r>
      <w:r>
        <w:rPr>
          <w:rStyle w:val="NormalTok"/>
        </w:rPr>
        <w:t xml:space="preserve"> d),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C3(alpha, ceil, e, L):</w:t>
      </w:r>
      <w:r>
        <w:br/>
      </w:r>
      <w:r>
        <w:rPr>
          <w:rStyle w:val="NormalTok"/>
        </w:rPr>
        <w:t xml:space="preserve">    </w:t>
      </w:r>
      <w:r>
        <w:rPr>
          <w:rStyle w:val="ControlFlowTok"/>
        </w:rPr>
        <w:t xml:space="preserve">return</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check(name, formula):</w:t>
      </w:r>
      <w:r>
        <w:br/>
      </w:r>
      <w:r>
        <w:rPr>
          <w:rStyle w:val="NormalTok"/>
        </w:rPr>
        <w:t xml:space="preserve">    s </w:t>
      </w:r>
      <w:r>
        <w:rPr>
          <w:rStyle w:val="OperatorTok"/>
        </w:rPr>
        <w:t xml:space="preserve">=</w:t>
      </w:r>
      <w:r>
        <w:rPr>
          <w:rStyle w:val="NormalTok"/>
        </w:rPr>
        <w:t xml:space="preserve"> Solver()</w:t>
      </w:r>
      <w:r>
        <w:br/>
      </w:r>
      <w:r>
        <w:rPr>
          <w:rStyle w:val="NormalTok"/>
        </w:rPr>
        <w:t xml:space="preserve">    s.add(formula)</w:t>
      </w:r>
      <w:r>
        <w:br/>
      </w:r>
      <w:r>
        <w:rPr>
          <w:rStyle w:val="NormalTok"/>
        </w:rPr>
        <w:t xml:space="preserve">    r </w:t>
      </w:r>
      <w:r>
        <w:rPr>
          <w:rStyle w:val="OperatorTok"/>
        </w:rPr>
        <w:t xml:space="preserve">=</w:t>
      </w:r>
      <w:r>
        <w:rPr>
          <w:rStyle w:val="NormalTok"/>
        </w:rPr>
        <w:t xml:space="preserve"> s.check()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:&lt;74}</w:t>
      </w:r>
      <w:r>
        <w:rPr>
          <w:rStyle w:val="SpecialStringTok"/>
        </w:rPr>
        <w:t xml:space="preserve"> </w:t>
      </w:r>
      <w:r>
        <w:rPr>
          <w:rStyle w:val="SpecialCharTok"/>
        </w:rPr>
        <w:t xml:space="preserve">{</w:t>
      </w:r>
      <w:r>
        <w:rPr>
          <w:rStyle w:val="StringTok"/>
        </w:rPr>
        <w:t xml:space="preserve">'unsat (no counterexample)'</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unsat </w:t>
      </w:r>
      <w:r>
        <w:rPr>
          <w:rStyle w:val="ControlFlowTok"/>
        </w:rPr>
        <w:t xml:space="preserve">else</w:t>
      </w:r>
      <w:r>
        <w:rPr>
          <w:rStyle w:val="NormalTok"/>
        </w:rPr>
        <w:t xml:space="preserve"> </w:t>
      </w:r>
      <w:r>
        <w:rPr>
          <w:rStyle w:val="StringTok"/>
        </w:rPr>
        <w:t xml:space="preserve">'SAT: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(s.model())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unsat</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SMT CHECK OF PROPOSITIONS 1-3 (Z3)"</w:t>
      </w:r>
      <w:r>
        <w:rPr>
          <w:rStyle w:val="NormalTok"/>
        </w:rPr>
        <w:t xml:space="preserve">.center(</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f"bounds: t_a 0..12, F 1..24, delta 1..3, t_r and e in [t_a, </w:t>
      </w:r>
      <w:r>
        <w:rPr>
          <w:rStyle w:val="SpecialCharTok"/>
        </w:rPr>
        <w:t xml:space="preserve">{</w:t>
      </w:r>
      <w:r>
        <w:rPr>
          <w:rStyle w:val="NormalTok"/>
        </w:rPr>
        <w:t xml:space="preserve">H</w:t>
      </w:r>
      <w:r>
        <w:rPr>
          <w:rStyle w:val="SpecialCharTok"/>
        </w:rPr>
        <w:t xml:space="preserve">}</w:t>
      </w:r>
      <w:r>
        <w:rPr>
          <w:rStyle w:val="SpecialStringTok"/>
        </w:rPr>
        <w:t xml:space="preserve">], L 1..24, horizon </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w:t>
      </w:r>
      <w:r>
        <w:br/>
      </w:r>
      <w:r>
        <w:rPr>
          <w:rStyle w:val="NormalTok"/>
        </w:rPr>
        <w:t xml:space="preserve">    ok </w:t>
      </w:r>
      <w:r>
        <w:rPr>
          <w:rStyle w:val="OperatorTok"/>
        </w:rPr>
        <w:t xml:space="preserve">=</w:t>
      </w:r>
      <w:r>
        <w:rPr>
          <w:rStyle w:val="NormalTok"/>
        </w:rPr>
        <w:t xml:space="preserve"> []</w:t>
      </w:r>
      <w:r>
        <w:br/>
      </w:r>
      <w:r>
        <w:rPr>
          <w:rStyle w:val="NormalTok"/>
        </w:rPr>
        <w:t xml:space="preserve">    ta, F, d, tr, e, L, req, ceil, alpha, B </w:t>
      </w:r>
      <w:r>
        <w:rPr>
          <w:rStyle w:val="OperatorTok"/>
        </w:rPr>
        <w:t xml:space="preserve">=</w:t>
      </w:r>
      <w:r>
        <w:rPr>
          <w:rStyle w:val="NormalTok"/>
        </w:rPr>
        <w:t xml:space="preserve"> record()</w:t>
      </w:r>
      <w:r>
        <w:br/>
      </w:r>
      <w:r>
        <w:br/>
      </w:r>
      <w:r>
        <w:rPr>
          <w:rStyle w:val="NormalTok"/>
        </w:rPr>
        <w:t xml:space="preserve">    </w:t>
      </w:r>
      <w:r>
        <w:rPr>
          <w:rStyle w:val="CommentTok"/>
        </w:rPr>
        <w:t xml:space="preserve"># Proposition 1, infeasibility direction: if a deadline falls inside the window,</w:t>
      </w:r>
      <w:r>
        <w:br/>
      </w:r>
      <w:r>
        <w:rPr>
          <w:rStyle w:val="NormalTok"/>
        </w:rPr>
        <w:t xml:space="preserve">    </w:t>
      </w:r>
      <w:r>
        <w:rPr>
          <w:rStyle w:val="CommentTok"/>
        </w:rPr>
        <w:t xml:space="preserve"># no accessibility trajectory satisfies C1, C2 and C3 under Semantics I.</w:t>
      </w:r>
      <w:r>
        <w:br/>
      </w:r>
      <w:r>
        <w:rPr>
          <w:rStyle w:val="NormalTok"/>
        </w:rPr>
        <w:t xml:space="preserve">    inside </w:t>
      </w:r>
      <w:r>
        <w:rPr>
          <w:rStyle w:val="OperatorTok"/>
        </w:rPr>
        <w:t xml:space="preserve">=</w:t>
      </w:r>
      <w:r>
        <w:rPr>
          <w:rStyle w:val="NormalTok"/>
        </w:rPr>
        <w:t xml:space="preserve"> Or(And(req, tr </w:t>
      </w:r>
      <w:r>
        <w:rPr>
          <w:rStyle w:val="OperatorTok"/>
        </w:rPr>
        <w:t xml:space="preserve">+</w:t>
      </w:r>
      <w:r>
        <w:rPr>
          <w:rStyle w:val="NormalTok"/>
        </w:rPr>
        <w:t xml:space="preserve"> d </w:t>
      </w:r>
      <w:r>
        <w:rPr>
          <w:rStyle w:val="OperatorTok"/>
        </w:rPr>
        <w:t xml:space="preserve">&lt;=</w:t>
      </w:r>
      <w:r>
        <w:rPr>
          <w:rStyle w:val="NormalTok"/>
        </w:rPr>
        <w:t xml:space="preserve"> ta </w:t>
      </w:r>
      <w:r>
        <w:rPr>
          <w:rStyle w:val="OperatorTok"/>
        </w:rPr>
        <w:t xml:space="preserve">+</w:t>
      </w:r>
      <w:r>
        <w:rPr>
          <w:rStyle w:val="NormalTok"/>
        </w:rPr>
        <w:t xml:space="preserve"> F), And(ceil,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w:t>
      </w:r>
      <w:r>
        <w:br/>
      </w:r>
      <w:r>
        <w:rPr>
          <w:rStyle w:val="NormalTok"/>
        </w:rPr>
        <w:t xml:space="preserve">    ok.append(check(</w:t>
      </w:r>
      <w:r>
        <w:rPr>
          <w:rStyle w:val="StringTok"/>
        </w:rPr>
        <w:t xml:space="preserve">"P1  deadline inside window =&gt; no trajectory satisfies C1-C3 (Sem I)"</w:t>
      </w:r>
      <w:r>
        <w:rPr>
          <w:rStyle w:val="NormalTok"/>
        </w:rPr>
        <w:t xml:space="preserve">,</w:t>
      </w:r>
      <w:r>
        <w:br/>
      </w:r>
      <w:r>
        <w:rPr>
          <w:rStyle w:val="NormalTok"/>
        </w:rPr>
        <w:t xml:space="preserve">                    And(B, inside, C1(alpha, ta, F), C2(alpha, req, tr, d), C3(alpha, ceil, e, L))))</w:t>
      </w:r>
      <w:r>
        <w:br/>
      </w:r>
      <w:r>
        <w:br/>
      </w:r>
      <w:r>
        <w:rPr>
          <w:rStyle w:val="NormalTok"/>
        </w:rPr>
        <w:t xml:space="preserve">    </w:t>
      </w:r>
      <w:r>
        <w:rPr>
          <w:rStyle w:val="CommentTok"/>
        </w:rPr>
        <w:t xml:space="preserve"># Proposition 1, boundary: if no deadline falls inside the window, the trajectory</w:t>
      </w:r>
      <w:r>
        <w:br/>
      </w:r>
      <w:r>
        <w:rPr>
          <w:rStyle w:val="NormalTok"/>
        </w:rPr>
        <w:t xml:space="preserve">    </w:t>
      </w:r>
      <w:r>
        <w:rPr>
          <w:rStyle w:val="CommentTok"/>
        </w:rPr>
        <w:t xml:space="preserve"># "accessible until the earliest deadline" satisfies all three. Counterexample = it fails.</w:t>
      </w:r>
      <w:r>
        <w:br/>
      </w:r>
      <w:r>
        <w:rPr>
          <w:rStyle w:val="NormalTok"/>
        </w:rPr>
        <w:t xml:space="preserve">    dl </w:t>
      </w:r>
      <w:r>
        <w:rPr>
          <w:rStyle w:val="OperatorTok"/>
        </w:rPr>
        <w:t xml:space="preserve">=</w:t>
      </w:r>
      <w:r>
        <w:rPr>
          <w:rStyle w:val="NormalTok"/>
        </w:rPr>
        <w:t xml:space="preserve"> If(req, If(ceil, If(tr </w:t>
      </w:r>
      <w:r>
        <w:rPr>
          <w:rStyle w:val="OperatorTok"/>
        </w:rPr>
        <w:t xml:space="preserve">+</w:t>
      </w:r>
      <w:r>
        <w:rPr>
          <w:rStyle w:val="NormalTok"/>
        </w:rPr>
        <w:t xml:space="preserve"> d </w:t>
      </w:r>
      <w:r>
        <w:rPr>
          <w:rStyle w:val="OperatorTok"/>
        </w:rPr>
        <w:t xml:space="preserve">&lt;</w:t>
      </w:r>
      <w:r>
        <w:rPr>
          <w:rStyle w:val="NormalTok"/>
        </w:rPr>
        <w:t xml:space="preserve"> e </w:t>
      </w:r>
      <w:r>
        <w:rPr>
          <w:rStyle w:val="OperatorTok"/>
        </w:rPr>
        <w:t xml:space="preserve">+</w:t>
      </w:r>
      <w:r>
        <w:rPr>
          <w:rStyle w:val="NormalTok"/>
        </w:rPr>
        <w:t xml:space="preserve"> L, tr </w:t>
      </w:r>
      <w:r>
        <w:rPr>
          <w:rStyle w:val="OperatorTok"/>
        </w:rPr>
        <w:t xml:space="preserve">+</w:t>
      </w:r>
      <w:r>
        <w:rPr>
          <w:rStyle w:val="NormalTok"/>
        </w:rPr>
        <w:t xml:space="preserve"> d, e </w:t>
      </w:r>
      <w:r>
        <w:rPr>
          <w:rStyle w:val="OperatorTok"/>
        </w:rPr>
        <w:t xml:space="preserve">+</w:t>
      </w:r>
      <w:r>
        <w:rPr>
          <w:rStyle w:val="NormalTok"/>
        </w:rPr>
        <w:t xml:space="preserve"> L), tr </w:t>
      </w:r>
      <w:r>
        <w:rPr>
          <w:rStyle w:val="OperatorTok"/>
        </w:rPr>
        <w:t xml:space="preserve">+</w:t>
      </w:r>
      <w:r>
        <w:rPr>
          <w:rStyle w:val="NormalTok"/>
        </w:rPr>
        <w:t xml:space="preserve"> d), If(ceil, e </w:t>
      </w:r>
      <w:r>
        <w:rPr>
          <w:rStyle w:val="OperatorTok"/>
        </w:rPr>
        <w:t xml:space="preserve">+</w:t>
      </w:r>
      <w:r>
        <w:rPr>
          <w:rStyle w:val="NormalTok"/>
        </w:rPr>
        <w:t xml:space="preserve"> L,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witness </w:t>
      </w:r>
      <w:r>
        <w:rPr>
          <w:rStyle w:val="OperatorTok"/>
        </w:rPr>
        <w:t xml:space="preserve">=</w:t>
      </w:r>
      <w:r>
        <w:rPr>
          <w:rStyle w:val="NormalTok"/>
        </w:rPr>
        <w:t xml:space="preserve"> [t </w:t>
      </w:r>
      <w:r>
        <w:rPr>
          <w:rStyle w:val="OperatorTok"/>
        </w:rPr>
        <w:t xml:space="preserve">&lt;</w:t>
      </w:r>
      <w:r>
        <w:rPr>
          <w:rStyle w:val="NormalTok"/>
        </w:rPr>
        <w:t xml:space="preserve"> dl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"P1  no deadline inside window =&gt; witness trajectory satisfies C1-C3"</w:t>
      </w:r>
      <w:r>
        <w:rPr>
          <w:rStyle w:val="NormalTok"/>
        </w:rPr>
        <w:t xml:space="preserve">,</w:t>
      </w:r>
      <w:r>
        <w:br/>
      </w:r>
      <w:r>
        <w:rPr>
          <w:rStyle w:val="NormalTok"/>
        </w:rPr>
        <w:t xml:space="preserve">                    And(B, Not(inside),</w:t>
      </w:r>
      <w:r>
        <w:br/>
      </w:r>
      <w:r>
        <w:rPr>
          <w:rStyle w:val="NormalTok"/>
        </w:rPr>
        <w:t xml:space="preserve">                        Not(And(C1(witness, ta, F), C2(witness, req, tr, d), C3(witness, ceil, e, L))))))</w:t>
      </w:r>
      <w:r>
        <w:br/>
      </w:r>
      <w:r>
        <w:br/>
      </w:r>
      <w:r>
        <w:rPr>
          <w:rStyle w:val="NormalTok"/>
        </w:rPr>
        <w:t xml:space="preserve">    </w:t>
      </w:r>
      <w:r>
        <w:rPr>
          <w:rStyle w:val="CommentTok"/>
        </w:rPr>
        <w:t xml:space="preserve"># Proposition 2: under Semantics II the constructive trajectory (accessible until</w:t>
      </w:r>
      <w:r>
        <w:br/>
      </w:r>
      <w:r>
        <w:rPr>
          <w:rStyle w:val="NormalTok"/>
        </w:rPr>
        <w:t xml:space="preserve">    </w:t>
      </w:r>
      <w:r>
        <w:rPr>
          <w:rStyle w:val="CommentTok"/>
        </w:rPr>
        <w:t xml:space="preserve"># t_I = earliest deadline, then an invalidation entry) satisfies C1, C2 and C3 for</w:t>
      </w:r>
      <w:r>
        <w:br/>
      </w:r>
      <w:r>
        <w:rPr>
          <w:rStyle w:val="NormalTok"/>
        </w:rPr>
        <w:t xml:space="preserve">    </w:t>
      </w:r>
      <w:r>
        <w:rPr>
          <w:rStyle w:val="CommentTok"/>
        </w:rPr>
        <w:t xml:space="preserve"># every arrival pattern and floor. V_II(t) = kept(m_acc) and kept(c) and</w:t>
      </w:r>
      <w:r>
        <w:br/>
      </w:r>
      <w:r>
        <w:rPr>
          <w:rStyle w:val="NormalTok"/>
        </w:rPr>
        <w:t xml:space="preserve">    </w:t>
      </w:r>
      <w:r>
        <w:rPr>
          <w:rStyle w:val="CommentTok"/>
        </w:rPr>
        <w:t xml:space="preserve"># (alpha_t or logged_t); the construction never removes m_acc or c.</w:t>
      </w:r>
      <w:r>
        <w:br/>
      </w:r>
      <w:r>
        <w:rPr>
          <w:rStyle w:val="NormalTok"/>
        </w:rPr>
        <w:t xml:space="preserve">    tI </w:t>
      </w:r>
      <w:r>
        <w:rPr>
          <w:rStyle w:val="OperatorTok"/>
        </w:rPr>
        <w:t xml:space="preserve">=</w:t>
      </w:r>
      <w:r>
        <w:rPr>
          <w:rStyle w:val="NormalTok"/>
        </w:rPr>
        <w:t xml:space="preserve"> dl</w:t>
      </w:r>
      <w:r>
        <w:br/>
      </w:r>
      <w:r>
        <w:rPr>
          <w:rStyle w:val="NormalTok"/>
        </w:rPr>
        <w:t xml:space="preserve">    traj </w:t>
      </w:r>
      <w:r>
        <w:rPr>
          <w:rStyle w:val="OperatorTok"/>
        </w:rPr>
        <w:t xml:space="preserve">=</w:t>
      </w:r>
      <w:r>
        <w:rPr>
          <w:rStyle w:val="NormalTok"/>
        </w:rPr>
        <w:t xml:space="preserve">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logged </w:t>
      </w:r>
      <w:r>
        <w:rPr>
          <w:rStyle w:val="OperatorTok"/>
        </w:rPr>
        <w:t xml:space="preserve">=</w:t>
      </w:r>
      <w:r>
        <w:rPr>
          <w:rStyle w:val="NormalTok"/>
        </w:rPr>
        <w:t xml:space="preserve"> [t </w:t>
      </w:r>
      <w:r>
        <w:rPr>
          <w:rStyle w:val="OperatorTok"/>
        </w:rPr>
        <w:t xml:space="preserve">&gt;=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V2 </w:t>
      </w:r>
      <w:r>
        <w:rPr>
          <w:rStyle w:val="OperatorTok"/>
        </w:rPr>
        <w:t xml:space="preserve">=</w:t>
      </w:r>
      <w:r>
        <w:rPr>
          <w:rStyle w:val="NormalTok"/>
        </w:rPr>
        <w:t xml:space="preserve"> [And(</w:t>
      </w:r>
      <w:r>
        <w:rPr>
          <w:rStyle w:val="VariableTok"/>
        </w:rPr>
        <w:t xml:space="preserve">True</w:t>
      </w:r>
      <w:r>
        <w:rPr>
          <w:rStyle w:val="NormalTok"/>
        </w:rPr>
        <w:t xml:space="preserve">, </w:t>
      </w:r>
      <w:r>
        <w:rPr>
          <w:rStyle w:val="VariableTok"/>
        </w:rPr>
        <w:t xml:space="preserve">True</w:t>
      </w:r>
      <w:r>
        <w:rPr>
          <w:rStyle w:val="NormalTok"/>
        </w:rPr>
        <w:t xml:space="preserve">, Or(traj[t], logged[t]))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C1_II </w:t>
      </w:r>
      <w:r>
        <w:rPr>
          <w:rStyle w:val="OperatorTok"/>
        </w:rPr>
        <w:t xml:space="preserve">=</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V2[t])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"P2  constructive trajectory satisfies C1 (Sem II), C2, C3 for all inputs"</w:t>
      </w:r>
      <w:r>
        <w:rPr>
          <w:rStyle w:val="NormalTok"/>
        </w:rPr>
        <w:t xml:space="preserve">,</w:t>
      </w:r>
      <w:r>
        <w:br/>
      </w:r>
      <w:r>
        <w:rPr>
          <w:rStyle w:val="NormalTok"/>
        </w:rPr>
        <w:t xml:space="preserve">                    And(B, Not(And(C1_II, C2(traj, req, tr, d), C3(traj, ceil, e, L))))))</w:t>
      </w:r>
      <w:r>
        <w:br/>
      </w:r>
      <w:r>
        <w:br/>
      </w:r>
      <w:r>
        <w:rPr>
          <w:rStyle w:val="NormalTok"/>
        </w:rPr>
        <w:t xml:space="preserve">    </w:t>
      </w:r>
      <w:r>
        <w:rPr>
          <w:rStyle w:val="CommentTok"/>
        </w:rPr>
        <w:t xml:space="preserve"># Proposition 3: floor F from t_a, ceiling L from e &gt;= t_a, Semantics I.</w:t>
      </w:r>
      <w:r>
        <w:br/>
      </w:r>
      <w:r>
        <w:rPr>
          <w:rStyle w:val="NormalTok"/>
        </w:rPr>
        <w:t xml:space="preserve">    </w:t>
      </w:r>
      <w:r>
        <w:rPr>
          <w:rStyle w:val="CommentTok"/>
        </w:rPr>
        <w:t xml:space="preserve"># (a) collision whenever e + L &lt;= t_a + F: no trajectory satisfies floor and ceiling.</w:t>
      </w:r>
      <w:r>
        <w:br/>
      </w:r>
      <w:r>
        <w:rPr>
          <w:rStyle w:val="NormalTok"/>
        </w:rPr>
        <w:t xml:space="preserve">    both </w:t>
      </w:r>
      <w:r>
        <w:rPr>
          <w:rStyle w:val="OperatorTok"/>
        </w:rPr>
        <w:t xml:space="preserve">=</w:t>
      </w:r>
      <w:r>
        <w:rPr>
          <w:rStyle w:val="NormalTok"/>
        </w:rPr>
        <w:t xml:space="preserve"> And(C1(alpha, ta, F), C3(alpha, </w:t>
      </w:r>
      <w:r>
        <w:rPr>
          <w:rStyle w:val="VariableTok"/>
        </w:rPr>
        <w:t xml:space="preserve">True</w:t>
      </w:r>
      <w:r>
        <w:rPr>
          <w:rStyle w:val="NormalTok"/>
        </w:rPr>
        <w:t xml:space="preserve">, e, L))</w:t>
      </w:r>
      <w:r>
        <w:br/>
      </w:r>
      <w:r>
        <w:rPr>
          <w:rStyle w:val="NormalTok"/>
        </w:rPr>
        <w:t xml:space="preserve">    ok.append(check(</w:t>
      </w:r>
      <w:r>
        <w:rPr>
          <w:rStyle w:val="StringTok"/>
        </w:rPr>
        <w:t xml:space="preserve">"P3  e + L &lt;= t_a + F =&gt; floor and ceiling not jointly satisfiable"</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both)))</w:t>
      </w:r>
      <w:r>
        <w:br/>
      </w:r>
      <w:r>
        <w:rPr>
          <w:rStyle w:val="NormalTok"/>
        </w:rPr>
        <w:t xml:space="preserve">    </w:t>
      </w:r>
      <w:r>
        <w:rPr>
          <w:rStyle w:val="CommentTok"/>
        </w:rPr>
        <w:t xml:space="preserve"># (b) no collision whenever e + L &gt; t_a + F: accessible-until-(e+L) satisfies both.</w:t>
      </w:r>
      <w:r>
        <w:br/>
      </w:r>
      <w:r>
        <w:rPr>
          <w:rStyle w:val="NormalTok"/>
        </w:rPr>
        <w:t xml:space="preserve">    w3 </w:t>
      </w:r>
      <w:r>
        <w:rPr>
          <w:rStyle w:val="OperatorTok"/>
        </w:rPr>
        <w:t xml:space="preserve">=</w:t>
      </w:r>
      <w:r>
        <w:rPr>
          <w:rStyle w:val="NormalTok"/>
        </w:rPr>
        <w:t xml:space="preserve">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"P3  e + L &gt; t_a + F =&gt;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 same anchor (e = t_a): satisfiable for the record iff L &gt; F.</w:t>
      </w:r>
      <w:r>
        <w:br/>
      </w:r>
      <w:r>
        <w:rPr>
          <w:rStyle w:val="NormalTok"/>
        </w:rPr>
        <w:t xml:space="preserve">    ok.append(check(</w:t>
      </w:r>
      <w:r>
        <w:rPr>
          <w:rStyle w:val="StringTok"/>
        </w:rPr>
        <w:t xml:space="preserve">"P3(i)  e = t_a: jointly satisfiable only if L &gt; F"</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&lt;=</w:t>
      </w:r>
      <w:r>
        <w:rPr>
          <w:rStyle w:val="NormalTok"/>
        </w:rPr>
        <w:t xml:space="preserve"> F, both)))</w:t>
      </w:r>
      <w:r>
        <w:br/>
      </w:r>
      <w:r>
        <w:rPr>
          <w:rStyle w:val="NormalTok"/>
        </w:rPr>
        <w:t xml:space="preserve">    ok.append(check(</w:t>
      </w:r>
      <w:r>
        <w:rPr>
          <w:rStyle w:val="StringTok"/>
        </w:rPr>
        <w:t xml:space="preserve">"P3(i)  e = t_a and L &gt; F: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&gt;</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(ii) external anchor with L &lt;= F: collision exactly when e - t_a &lt;= F - L.</w:t>
      </w:r>
      <w:r>
        <w:br/>
      </w:r>
      <w:r>
        <w:rPr>
          <w:rStyle w:val="NormalTok"/>
        </w:rPr>
        <w:t xml:space="preserve">    ok.append(check(</w:t>
      </w:r>
      <w:r>
        <w:rPr>
          <w:rStyle w:val="StringTok"/>
        </w:rPr>
        <w:t xml:space="preserve">"P3(ii) L &lt;= F, e - t_a &lt;= F - L =&gt; collision"</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&lt;=</w:t>
      </w:r>
      <w:r>
        <w:rPr>
          <w:rStyle w:val="NormalTok"/>
        </w:rPr>
        <w:t xml:space="preserve"> F </w:t>
      </w:r>
      <w:r>
        <w:rPr>
          <w:rStyle w:val="OperatorTok"/>
        </w:rPr>
        <w:t xml:space="preserve">-</w:t>
      </w:r>
      <w:r>
        <w:rPr>
          <w:rStyle w:val="NormalTok"/>
        </w:rPr>
        <w:t xml:space="preserve"> L, both)))</w:t>
      </w:r>
      <w:r>
        <w:br/>
      </w:r>
      <w:r>
        <w:rPr>
          <w:rStyle w:val="NormalTok"/>
        </w:rPr>
        <w:t xml:space="preserve">    ok.append(check(</w:t>
      </w:r>
      <w:r>
        <w:rPr>
          <w:rStyle w:val="StringTok"/>
        </w:rPr>
        <w:t xml:space="preserve">"P3(ii) L &lt;= F, e - t_a &gt;  F - L =&gt; witness satisfies both"</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&gt;</w:t>
      </w:r>
      <w:r>
        <w:rPr>
          <w:rStyle w:val="NormalTok"/>
        </w:rPr>
        <w:t xml:space="preserve"> F </w:t>
      </w:r>
      <w:r>
        <w:rPr>
          <w:rStyle w:val="OperatorTok"/>
        </w:rPr>
        <w:t xml:space="preserve">-</w:t>
      </w:r>
      <w:r>
        <w:rPr>
          <w:rStyle w:val="NormalTok"/>
        </w:rPr>
        <w:t xml:space="preserve"> L, Not(And(C1(w3, ta, F), C3(w3, </w:t>
      </w:r>
      <w:r>
        <w:rPr>
          <w:rStyle w:val="VariableTok"/>
        </w:rPr>
        <w:t xml:space="preserve">True</w:t>
      </w:r>
      <w:r>
        <w:rPr>
          <w:rStyle w:val="NormalTok"/>
        </w:rPr>
        <w:t xml:space="preserve">, e, L))))))</w:t>
      </w:r>
      <w:r>
        <w:br/>
      </w:r>
      <w:r>
        <w:br/>
      </w:r>
      <w:r>
        <w:rPr>
          <w:rStyle w:val="NormalTok"/>
        </w:rPr>
        <w:t xml:space="preserve">    </w:t>
      </w:r>
      <w:r>
        <w:rPr>
          <w:rStyle w:val="CommentTok"/>
        </w:rPr>
        <w:t xml:space="preserve"># Sanity: the encoding can return sat, so unsat above is not an artefact of a broken model.</w:t>
      </w:r>
      <w:r>
        <w:br/>
      </w:r>
      <w:r>
        <w:rPr>
          <w:rStyle w:val="NormalTok"/>
        </w:rPr>
        <w:t xml:space="preserve">    s </w:t>
      </w:r>
      <w:r>
        <w:rPr>
          <w:rStyle w:val="OperatorTok"/>
        </w:rPr>
        <w:t xml:space="preserve">=</w:t>
      </w:r>
      <w:r>
        <w:rPr>
          <w:rStyle w:val="NormalTok"/>
        </w:rPr>
        <w:t xml:space="preserve"> Solver()</w:t>
      </w:r>
      <w:r>
        <w:rPr>
          <w:rStyle w:val="OperatorTok"/>
        </w:rPr>
        <w:t xml:space="preserve">;</w:t>
      </w:r>
      <w:r>
        <w:rPr>
          <w:rStyle w:val="NormalTok"/>
        </w:rPr>
        <w:t xml:space="preserve"> s.add(B, Not(req), Not(ceil), C1(alpha, ta, F))</w:t>
      </w:r>
      <w:r>
        <w:br/>
      </w:r>
      <w:r>
        <w:rPr>
          <w:rStyle w:val="NormalTok"/>
        </w:rPr>
        <w:t xml:space="preserve">    sanity </w:t>
      </w:r>
      <w:r>
        <w:rPr>
          <w:rStyle w:val="OperatorTok"/>
        </w:rPr>
        <w:t xml:space="preserve">=</w:t>
      </w:r>
      <w:r>
        <w:rPr>
          <w:rStyle w:val="NormalTok"/>
        </w:rPr>
        <w:t xml:space="preserve"> s.check()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'sanity: no request, no ceiling =&gt; some trajectory satisfies C1'</w:t>
      </w:r>
      <w:r>
        <w:rPr>
          <w:rStyle w:val="SpecialCharTok"/>
        </w:rPr>
        <w:t xml:space="preserve">:&lt;74}</w:t>
      </w:r>
      <w:r>
        <w:rPr>
          <w:rStyle w:val="SpecialStringTok"/>
        </w:rPr>
        <w:t xml:space="preserve"> </w:t>
      </w:r>
      <w:r>
        <w:rPr>
          <w:rStyle w:val="SpecialCharTok"/>
        </w:rPr>
        <w:t xml:space="preserve">{</w:t>
      </w:r>
      <w:r>
        <w:rPr>
          <w:rStyle w:val="StringTok"/>
        </w:rPr>
        <w:t xml:space="preserve">'sat (as expected)'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'UNSAT: encoding broken'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Mutation checks: deliberately wrong versions of Proposition 3 must be refuted (sat),</w:t>
      </w:r>
      <w:r>
        <w:br/>
      </w:r>
      <w:r>
        <w:rPr>
          <w:rStyle w:val="NormalTok"/>
        </w:rPr>
        <w:t xml:space="preserve">    </w:t>
      </w:r>
      <w:r>
        <w:rPr>
          <w:rStyle w:val="CommentTok"/>
        </w:rPr>
        <w:t xml:space="preserve"># showing the checks are sensitive to an off-by-one in the condition.</w:t>
      </w:r>
      <w:r>
        <w:br/>
      </w:r>
      <w:r>
        <w:rPr>
          <w:rStyle w:val="NormalTok"/>
        </w:rPr>
        <w:t xml:space="preserve">    m1 </w:t>
      </w:r>
      <w:r>
        <w:rPr>
          <w:rStyle w:val="OperatorTok"/>
        </w:rPr>
        <w:t xml:space="preserve">=</w:t>
      </w:r>
      <w:r>
        <w:rPr>
          <w:rStyle w:val="NormalTok"/>
        </w:rPr>
        <w:t xml:space="preserve"> Solver()</w:t>
      </w:r>
      <w:r>
        <w:rPr>
          <w:rStyle w:val="OperatorTok"/>
        </w:rPr>
        <w:t xml:space="preserve">;</w:t>
      </w:r>
      <w:r>
        <w:rPr>
          <w:rStyle w:val="NormalTok"/>
        </w:rPr>
        <w:t xml:space="preserve"> m1.add(B,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both)       </w:t>
      </w:r>
      <w:r>
        <w:rPr>
          <w:rStyle w:val="CommentTok"/>
        </w:rPr>
        <w:t xml:space="preserve"># claims collision one month too late</w:t>
      </w:r>
      <w:r>
        <w:br/>
      </w:r>
      <w:r>
        <w:rPr>
          <w:rStyle w:val="NormalTok"/>
        </w:rPr>
        <w:t xml:space="preserve">    m2 </w:t>
      </w:r>
      <w:r>
        <w:rPr>
          <w:rStyle w:val="OperatorTok"/>
        </w:rPr>
        <w:t xml:space="preserve">=</w:t>
      </w:r>
      <w:r>
        <w:rPr>
          <w:rStyle w:val="NormalTok"/>
        </w:rPr>
        <w:t xml:space="preserve"> Solver()</w:t>
      </w:r>
      <w:r>
        <w:rPr>
          <w:rStyle w:val="OperatorTok"/>
        </w:rPr>
        <w:t xml:space="preserve">;</w:t>
      </w:r>
      <w:r>
        <w:rPr>
          <w:rStyle w:val="NormalTok"/>
        </w:rPr>
        <w:t xml:space="preserve"> m2.add(B,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Not(And(C1(w3, ta, F), C3(w3, </w:t>
      </w:r>
      <w:r>
        <w:rPr>
          <w:rStyle w:val="VariableTok"/>
        </w:rPr>
        <w:t xml:space="preserve">True</w:t>
      </w:r>
      <w:r>
        <w:rPr>
          <w:rStyle w:val="NormalTok"/>
        </w:rPr>
        <w:t xml:space="preserve">, e, L))))</w:t>
      </w:r>
      <w:r>
        <w:br/>
      </w:r>
      <w:r>
        <w:rPr>
          <w:rStyle w:val="NormalTok"/>
        </w:rPr>
        <w:t xml:space="preserve">    mut </w:t>
      </w:r>
      <w:r>
        <w:rPr>
          <w:rStyle w:val="OperatorTok"/>
        </w:rPr>
        <w:t xml:space="preserve">=</w:t>
      </w:r>
      <w:r>
        <w:rPr>
          <w:rStyle w:val="NormalTok"/>
        </w:rPr>
        <w:t xml:space="preserve"> m1.check() </w:t>
      </w:r>
      <w:r>
        <w:rPr>
          <w:rStyle w:val="OperatorTok"/>
        </w:rPr>
        <w:t xml:space="preserve">==</w:t>
      </w:r>
      <w:r>
        <w:rPr>
          <w:rStyle w:val="NormalTok"/>
        </w:rPr>
        <w:t xml:space="preserve"> sat </w:t>
      </w:r>
      <w:r>
        <w:rPr>
          <w:rStyle w:val="KeywordTok"/>
        </w:rPr>
        <w:t xml:space="preserve">and</w:t>
      </w:r>
      <w:r>
        <w:rPr>
          <w:rStyle w:val="NormalTok"/>
        </w:rPr>
        <w:t xml:space="preserve"> m2.check()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Proposition 3 with an off-by-one condition is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 found (as expected)'</w:t>
      </w:r>
      <w:r>
        <w:rPr>
          <w:rStyle w:val="NormalTok"/>
        </w:rPr>
        <w:t xml:space="preserve"> </w:t>
      </w:r>
      <w:r>
        <w:rPr>
          <w:rStyle w:val="ControlFlowTok"/>
        </w:rPr>
        <w:t xml:space="preserve">if</w:t>
      </w:r>
      <w:r>
        <w:rPr>
          <w:rStyle w:val="NormalTok"/>
        </w:rPr>
        <w:t xml:space="preserve"> mut </w:t>
      </w:r>
      <w:r>
        <w:rPr>
          <w:rStyle w:val="ControlFlowTok"/>
        </w:rPr>
        <w:t xml:space="preserve">else</w:t>
      </w:r>
      <w:r>
        <w:rPr>
          <w:rStyle w:val="NormalTok"/>
        </w:rPr>
        <w:t xml:space="preserve"> </w:t>
      </w:r>
      <w:r>
        <w:rPr>
          <w:rStyle w:val="StringTok"/>
        </w:rPr>
        <w:t xml:space="preserve">'UNSAT: checks insensitive'</w:t>
      </w:r>
      <w:r>
        <w:rPr>
          <w:rStyle w:val="SpecialCharTok"/>
        </w:rPr>
        <w:t xml:space="preserve">}</w:t>
      </w:r>
      <w:r>
        <w:rPr>
          <w:rStyle w:val="SpecialStringTok"/>
        </w:rPr>
        <w:t xml:space="preserve">"</w:t>
      </w:r>
      <w:r>
        <w:rPr>
          <w:rStyle w:val="NormalTok"/>
        </w:rPr>
        <w:t xml:space="preserve">)</w:t>
      </w:r>
      <w:r>
        <w:br/>
      </w:r>
      <w:r>
        <w:rPr>
          <w:rStyle w:val="NormalTok"/>
        </w:rPr>
        <w:t xml:space="preserve">    sanity </w:t>
      </w:r>
      <w:r>
        <w:rPr>
          <w:rStyle w:val="OperatorTok"/>
        </w:rPr>
        <w:t xml:space="preserve">=</w:t>
      </w:r>
      <w:r>
        <w:rPr>
          <w:rStyle w:val="NormalTok"/>
        </w:rPr>
        <w:t xml:space="preserve"> sanity </w:t>
      </w:r>
      <w:r>
        <w:rPr>
          <w:rStyle w:val="KeywordTok"/>
        </w:rPr>
        <w:t xml:space="preserve">and</w:t>
      </w:r>
      <w:r>
        <w:rPr>
          <w:rStyle w:val="NormalTok"/>
        </w:rPr>
        <w:t xml:space="preserve"> mut</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BuiltInTok"/>
        </w:rPr>
        <w:t xml:space="preserve">sum</w:t>
      </w:r>
      <w:r>
        <w:rPr>
          <w:rStyle w:val="NormalTok"/>
        </w:rPr>
        <w:t xml:space="preserve">(ok)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 checks found no counterexample; sanity and mutation checks </w:t>
      </w:r>
      <w:r>
        <w:rPr>
          <w:rStyle w:val="SpecialCharTok"/>
        </w:rPr>
        <w:t xml:space="preserve">{</w:t>
      </w:r>
      <w:r>
        <w:rPr>
          <w:rStyle w:val="StringTok"/>
        </w:rPr>
        <w:t xml:space="preserve">'passed'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'FAILED'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8"/>
    <w:bookmarkStart w:id="129" w:name="X86d27b959083564fe26ec2516ea1ac03f98e8cf"/>
    <w:p>
      <w:pPr>
        <w:pStyle w:val="Heading2"/>
      </w:pPr>
      <w:r>
        <w:t xml:space="preserve">A.24 Console output of the bounded SMT check</w:t>
      </w:r>
    </w:p>
    <w:p>
      <w:pPr>
        <w:pStyle w:val="FirstParagraph"/>
      </w:pPr>
      <w:r>
        <w:t xml:space="preserve">Verbatim output of</w:t>
      </w:r>
      <w:r>
        <w:t xml:space="preserve"> </w:t>
      </w:r>
      <w:r>
        <w:rPr>
          <w:rStyle w:val="VerbatimChar"/>
        </w:rPr>
        <w:t xml:space="preserve">python3 z3_check.py</w:t>
      </w:r>
      <w:r>
        <w:t xml:space="preserve"> </w:t>
      </w:r>
      <w:r>
        <w:t xml:space="preserve">(Z3 5.1.0). Nine checks find no counterexample; the sanity check finds a satisfying trajectory and the mutation check finds counterexamples, as they must.</w:t>
      </w:r>
    </w:p>
    <w:p>
      <w:pPr>
        <w:pStyle w:val="SourceCode"/>
      </w:pPr>
      <w:r>
        <w:rPr>
          <w:rStyle w:val="VerbatimChar"/>
        </w:rPr>
        <w:t xml:space="preserve">====================================================================================================</w:t>
      </w:r>
      <w:r>
        <w:br/>
      </w:r>
      <w:r>
        <w:rPr>
          <w:rStyle w:val="VerbatimChar"/>
        </w:rPr>
        <w:t xml:space="preserve">                             BOUNDED SMT CHECK OF PROPOSITIONS 1-3 (Z3)                             </w:t>
      </w:r>
      <w:r>
        <w:br/>
      </w:r>
      <w:r>
        <w:rPr>
          <w:rStyle w:val="VerbatimChar"/>
        </w:rPr>
        <w:t xml:space="preserve">====================================================================================================</w:t>
      </w:r>
      <w:r>
        <w:br/>
      </w:r>
      <w:r>
        <w:rPr>
          <w:rStyle w:val="VerbatimChar"/>
        </w:rPr>
        <w:t xml:space="preserve">bounds: t_a 0..12, F 1..24, delta 1..3, t_r and e in [t_a, 64], L 1..24, horizon 64</w:t>
      </w:r>
      <w:r>
        <w:br/>
      </w:r>
      <w:r>
        <w:rPr>
          <w:rStyle w:val="VerbatimChar"/>
        </w:rPr>
        <w:t xml:space="preserve">P1  deadline inside window =&gt; no trajectory satisfies C1-C3 (Sem I)        unsat (no counterexample)</w:t>
      </w:r>
      <w:r>
        <w:br/>
      </w:r>
      <w:r>
        <w:rPr>
          <w:rStyle w:val="VerbatimChar"/>
        </w:rPr>
        <w:t xml:space="preserve">P1  no deadline inside window =&gt; witness trajectory satisfies C1-C3        unsat (no counterexample)</w:t>
      </w:r>
      <w:r>
        <w:br/>
      </w:r>
      <w:r>
        <w:rPr>
          <w:rStyle w:val="VerbatimChar"/>
        </w:rPr>
        <w:t xml:space="preserve">P2  constructive trajectory satisfies C1 (Sem II), C2, C3 for all inputs   unsat (no counterexample)</w:t>
      </w:r>
      <w:r>
        <w:br/>
      </w:r>
      <w:r>
        <w:rPr>
          <w:rStyle w:val="VerbatimChar"/>
        </w:rPr>
        <w:t xml:space="preserve">P3  e + L &lt;= t_a + F =&gt; floor and ceiling not jointly satisfiable          unsat (no counterexample)</w:t>
      </w:r>
      <w:r>
        <w:br/>
      </w:r>
      <w:r>
        <w:rPr>
          <w:rStyle w:val="VerbatimChar"/>
        </w:rPr>
        <w:t xml:space="preserve">P3  e + L &gt; t_a + F =&gt; witness satisfies floor and ceiling                 unsat (no counterexample)</w:t>
      </w:r>
      <w:r>
        <w:br/>
      </w:r>
      <w:r>
        <w:rPr>
          <w:rStyle w:val="VerbatimChar"/>
        </w:rPr>
        <w:t xml:space="preserve">P3(i)  e = t_a: jointly satisfiable only if L &gt; F                          unsat (no counterexample)</w:t>
      </w:r>
      <w:r>
        <w:br/>
      </w:r>
      <w:r>
        <w:rPr>
          <w:rStyle w:val="VerbatimChar"/>
        </w:rPr>
        <w:t xml:space="preserve">P3(i)  e = t_a and L &gt; F: witness satisfies floor and ceiling              unsat (no counterexample)</w:t>
      </w:r>
      <w:r>
        <w:br/>
      </w:r>
      <w:r>
        <w:rPr>
          <w:rStyle w:val="VerbatimChar"/>
        </w:rPr>
        <w:t xml:space="preserve">P3(ii) L &lt;= F, e - t_a &lt;= F - L =&gt; collision                               unsat (no counterexample)</w:t>
      </w:r>
      <w:r>
        <w:br/>
      </w:r>
      <w:r>
        <w:rPr>
          <w:rStyle w:val="VerbatimChar"/>
        </w:rPr>
        <w:t xml:space="preserve">P3(ii) L &lt;= F, e - t_a &gt;  F - L =&gt; witness satisfies both                  unsat (no counterexample)</w:t>
      </w:r>
      <w:r>
        <w:br/>
      </w:r>
      <w:r>
        <w:rPr>
          <w:rStyle w:val="VerbatimChar"/>
        </w:rPr>
        <w:t xml:space="preserve">sanity: no request, no ceiling =&gt; some trajectory satisfies C1             sat (as expected)</w:t>
      </w:r>
      <w:r>
        <w:br/>
      </w:r>
      <w:r>
        <w:rPr>
          <w:rStyle w:val="VerbatimChar"/>
        </w:rPr>
        <w:t xml:space="preserve">mutation: Proposition 3 with an off-by-one condition is refuted            sat, counterexample found (as expected)</w:t>
      </w:r>
      <w:r>
        <w:br/>
      </w:r>
      <w:r>
        <w:rPr>
          <w:rStyle w:val="VerbatimChar"/>
        </w:rPr>
        <w:t xml:space="preserve">====================================================================================================</w:t>
      </w:r>
      <w:r>
        <w:br/>
      </w:r>
      <w:r>
        <w:rPr>
          <w:rStyle w:val="VerbatimChar"/>
        </w:rPr>
        <w:t xml:space="preserve">RESULT: 9/9 checks found no counterexample; sanity and mutation checks passed</w:t>
      </w:r>
      <w:r>
        <w:br/>
      </w:r>
      <w:r>
        <w:rPr>
          <w:rStyle w:val="VerbatimChar"/>
        </w:rPr>
        <w:t xml:space="preserve">====================================================================================================</w:t>
      </w:r>
    </w:p>
    <w:bookmarkEnd w:id="129"/>
    <w:bookmarkEnd w:id="130"/>
    <w:bookmarkStart w:id="137" w:name="appendix-b.-search-query-log"/>
    <w:p>
      <w:pPr>
        <w:pStyle w:val="Heading1"/>
      </w:pPr>
      <w:bookmarkStart w:id="1088" w:name="app_B"/>
      <w:r>
        <w:t xml:space="preserve">Appendix B. Search Query Log</w:t>
      </w:r>
      <w:bookmarkEnd w:id="1088"/>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31"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w:t>
      </w:r>
    </w:p>
    <w:p>
      <w:pPr>
        <w:pStyle w:val="Compact"/>
        <w:numPr>
          <w:ilvl w:val="0"/>
          <w:numId w:val="1007"/>
        </w:numPr>
      </w:pPr>
      <w:r>
        <w:rPr>
          <w:rStyle w:val="VerbatimChar"/>
        </w:rPr>
        <w:t xml:space="preserve">KONFIDO project \</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h\u00f8ring Regulation 2024/1689</w:t>
      </w:r>
    </w:p>
    <w:bookmarkEnd w:id="131"/>
    <w:bookmarkStart w:id="132"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32"/>
    <w:bookmarkStart w:id="133"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w:t>
      </w:r>
    </w:p>
    <w:p>
      <w:pPr>
        <w:pStyle w:val="Compact"/>
        <w:numPr>
          <w:ilvl w:val="0"/>
          <w:numId w:val="1009"/>
        </w:numPr>
      </w:pPr>
      <w:r>
        <w:rPr>
          <w:rStyle w:val="VerbatimChar"/>
        </w:rPr>
        <w:t xml:space="preserve">TRF model gate feasibility theorem crypto-erasure invalidation chapter 4</w:t>
      </w:r>
    </w:p>
    <w:p>
      <w:pPr>
        <w:pStyle w:val="Compact"/>
        <w:numPr>
          <w:ilvl w:val="0"/>
          <w:numId w:val="1009"/>
        </w:numPr>
      </w:pPr>
      <w:r>
        <w:rPr>
          <w:rStyle w:val="VerbatimChar"/>
        </w:rPr>
        <w:t xml:space="preserve">Norge EHDS E\u00d8S gjennomf\u00f8ring helsedata juni 2026</w:t>
      </w:r>
    </w:p>
    <w:p>
      <w:pPr>
        <w:pStyle w:val="Compact"/>
        <w:numPr>
          <w:ilvl w:val="0"/>
          <w:numId w:val="1009"/>
        </w:numPr>
      </w:pPr>
      <w:r>
        <w:rPr>
          <w:rStyle w:val="VerbatimChar"/>
        </w:rPr>
        <w:t xml:space="preserve">Google Drive read file content</w:t>
      </w:r>
    </w:p>
    <w:bookmarkEnd w:id="133"/>
    <w:bookmarkStart w:id="134"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34"/>
    <w:bookmarkStart w:id="135"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35"/>
    <w:bookmarkStart w:id="136"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36"/>
    <w:bookmarkEnd w:id="137"/>
    <w:bookmarkStart w:id="157" w:name="appendix-c.-expert-evaluation-instrument"/>
    <w:p>
      <w:pPr>
        <w:pStyle w:val="Heading1"/>
      </w:pPr>
      <w:bookmarkStart w:id="1089" w:name="app_C"/>
      <w:r>
        <w:t xml:space="preserve">Appendix C. Expert Evaluation Instrument</w:t>
      </w:r>
      <w:bookmarkEnd w:id="1089"/>
    </w:p>
    <w:p>
      <w:pPr>
        <w:pStyle w:val="FirstParagraph"/>
      </w:pPr>
      <w:r>
        <w:rPr>
          <w:iCs/>
          <w:i/>
        </w:rPr>
        <w:t xml:space="preserve">(v1.1, 18 September 2026; item A1 reworded October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 states what is expected to change once it meets real respondents.</w:t>
      </w:r>
      <w:r>
        <w:rPr>
          <w:iCs/>
          <w:i/>
        </w:rPr>
        <w:t xml:space="preserve">)</w:t>
      </w:r>
    </w:p>
    <w:bookmarkStart w:id="139"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Start w:id="138" w:name="X10cc7eb249a3abb40ce6f29806ce7caed2341ed"/>
    <w:p>
      <w:pPr>
        <w:pStyle w:val="Heading3"/>
      </w:pPr>
      <w:r>
        <w:t xml:space="preserve">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38"/>
    <w:bookmarkEnd w:id="139"/>
    <w:bookmarkStart w:id="140"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40"/>
    <w:bookmarkStart w:id="141"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41"/>
    <w:bookmarkStart w:id="142"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42"/>
    <w:bookmarkStart w:id="147"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3"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43"/>
    <w:bookmarkStart w:id="144"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4"/>
    <w:bookmarkStart w:id="145"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45"/>
    <w:bookmarkStart w:id="146"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46"/>
    <w:bookmarkEnd w:id="147"/>
    <w:bookmarkStart w:id="153"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8"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erasure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48"/>
    <w:bookmarkStart w:id="149"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49"/>
    <w:bookmarkStart w:id="150"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finalised national criteria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50"/>
    <w:bookmarkStart w:id="151"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51"/>
    <w:bookmarkStart w:id="152"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52"/>
    <w:bookmarkEnd w:id="153"/>
    <w:bookmarkStart w:id="154"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54"/>
    <w:bookmarkStart w:id="155"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9" w:history="1">
        <w:r>
          <w:rPr>
            <w:rStyle w:val="Hyperlink"/>
          </w:rPr>
          <w:t xml:space="preserve">Section 3.9</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55"/>
    <w:bookmarkStart w:id="156"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56"/>
    <w:bookmarkEnd w:id="157"/>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2026-10-04T21:56:18Z</dcterms:created>
  <dcterms:modified xsi:type="dcterms:W3CDTF">2026-10-04T21:56:18Z</dcterms:modified>
</cp:coreProperties>
</file>

<file path=docProps/custom.xml><?xml version="1.0" encoding="utf-8"?>
<Properties xmlns="http://schemas.openxmlformats.org/officeDocument/2006/custom-properties" xmlns:vt="http://schemas.openxmlformats.org/officeDocument/2006/docPropsVTypes"/>
</file>