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must retain their logs for a minimum of ten years (Simjanoska Misheva et al., 2025; IHE International, 2023).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Identifiable access logs are personal data, and they are data within the environment. Chapter 4, Section 4.6 defends a reading of Article 68(12) under which the provision governs the data within the secure processing environment rather than only the dataset supplied under the permit. On that reading, the Regulation requires of a single environment that data be removed within six months of permit expiry and that identifiable logs be retained for at least twelve months. That reading is contestable, and the thesis states its grounds rather than assuming it; under the narrower alternative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imposed on cross-border audit repositories by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2022).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imposed on IHE ATNA audit repositories by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2022),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(2022).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does specify retention in concrete terms. The framework adopted by the eHMSEG governance body for cross-border NCPeH operations requires audit repositories to retain records for a minimum of ten years, characterised by Simjanoska Misheva et al. (2025) as the binding deployment baseline.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Identifiable access logs are personal data and are data within the environment. Article 68(12) governs, in terms, the data within the secure processing environment rather than only the dataset supplied under the permit; on that reading the Regulation requires of one environment both that data be removed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(2022)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2022);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finalised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2022),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(2022)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2022).</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(2022):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Theorem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L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L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Theorem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Theorem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t>
      </w:r>
    </w:p>
    <w:p>
      <w:pPr>
        <w:pStyle w:val="BodyText"/>
      </w:pPr>
      <w:r>
        <w:t xml:space="preserve">That claim rests on one contestable interpretive step, stated here rather than buried: Article 68(12) governs</w:t>
      </w:r>
      <w:r>
        <w:t xml:space="preserve"> </w:t>
      </w:r>
      <w:r>
        <w:rPr>
          <w:iCs/>
          <w:i/>
        </w:rPr>
        <w:t xml:space="preserve">the data within the secure processing environment</w:t>
      </w:r>
      <w:r>
        <w:t xml:space="preserve">,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witnesses of it in the model, in a population of one hundred Secure Processing Environment records, and the same conditions produced ninety infeasible records across the full population of two hundred when the cross-border audit floor is included.</w:t>
      </w:r>
    </w:p>
    <w:p>
      <w:pPr>
        <w:pStyle w:val="BodyText"/>
      </w:pPr>
      <w:r>
        <w:t xml:space="preserve">The thesis further establishes that this infeasibility is not a property of the obligations but of an assumption about what satisfies them. Under the semantics implicit in audit systems designed before the right to erasure existed, a record is verifiable while its payload is readable, the constraint system has no solution.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adopts the broad reading on textual grounds. The provision is framed by location rather than provenance, and the Regulation uses the narrower</w:t>
      </w:r>
      <w:r>
        <w:t xml:space="preserve"> </w:t>
      </w:r>
      <w:r>
        <w:t xml:space="preserve">“</w:t>
      </w:r>
      <w:r>
        <w:t xml:space="preserve">made available under the data permit</w:t>
      </w:r>
      <w:r>
        <w:t xml:space="preserve">”</w:t>
      </w:r>
      <w:r>
        <w:t xml:space="preserve"> </w:t>
      </w:r>
      <w:r>
        <w:t xml:space="preserve">formulation freely elsewhere when it means it. The thesis concedes, however, that the provision’s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2022);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2022)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governs</w:t>
      </w:r>
      <w:r>
        <w:t xml:space="preserve"> </w:t>
      </w:r>
      <w:r>
        <w:rPr>
          <w:iCs/>
          <w:i/>
        </w:rPr>
        <w:t xml:space="preserve">the data within the secure processing environment</w:t>
      </w:r>
      <w:r>
        <w:t xml:space="preserve">. The thesis reads that as reaching the identifiable access logs the environment generates, on the grounds that the provision is framed by location rather than provenance and that the Regulation uses the narrower</w:t>
      </w:r>
      <w:r>
        <w:t xml:space="preserve"> </w:t>
      </w:r>
      <w:r>
        <w:t xml:space="preserve">“</w:t>
      </w:r>
      <w:r>
        <w:t xml:space="preserve">made available under the data permit</w:t>
      </w:r>
      <w:r>
        <w:t xml:space="preserve">”</w:t>
      </w:r>
      <w:r>
        <w:t xml:space="preserve"> </w:t>
      </w:r>
      <w:r>
        <w:t xml:space="preserve">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and whether Article 68(12) reaches access logs,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(2022).</w:t>
      </w:r>
      <w:r>
        <w:t xml:space="preserve"> </w:t>
      </w:r>
      <w:r>
        <w:rPr>
          <w:iCs/>
          <w:i/>
        </w:rPr>
        <w:t xml:space="preserve">Bounded satisfiability checking of metric first-order temporal logic</w:t>
      </w:r>
      <w:r>
        <w:t xml:space="preserve">. arXiv. https://doi.org/10.48550/arXiv.2209.04052</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governs</w:t>
      </w:r>
      <w:r>
        <w:t xml:space="preserve"> </w:t>
      </w:r>
      <w:r>
        <w:t xml:space="preserve">“</w:t>
      </w:r>
      <w:r>
        <w:t xml:space="preserve">the data within the secure processing environment.</w:t>
      </w:r>
      <w:r>
        <w:t xml:space="preserve">”</w:t>
      </w:r>
      <w:r>
        <w:t xml:space="preserve"> </w:t>
      </w:r>
      <w:r>
        <w:t xml:space="preserve">Does that reach the access logs the environment generates, or only the dataset supplied under the permit?</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2026-10-03T14:55:40Z</dcterms:created>
  <dcterms:modified xsi:type="dcterms:W3CDTF">2026-10-03T14:55:40Z</dcterms:modified>
</cp:coreProperties>
</file>

<file path=docProps/custom.xml><?xml version="1.0" encoding="utf-8"?>
<Properties xmlns="http://schemas.openxmlformats.org/officeDocument/2006/custom-properties" xmlns:vt="http://schemas.openxmlformats.org/officeDocument/2006/docPropsVTypes"/>
</file>