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Proposition 1 establishes infeasibility under the semantics implicit in current audit practice. Proposition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Proposition 1 and corollaries; Proposition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97).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propositions.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6.9a,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rPr>
                <w:iCs/>
                <w:i/>
                <w:bCs/>
                <w:b/>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rPr>
                <w:iCs/>
                <w:i/>
                <w:bCs/>
                <w:b/>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hearing version</w:t>
            </w:r>
          </w:p>
        </w:tc>
        <w:tc>
          <w:tcPr/>
          <w:p>
            <w:pPr>
              <w:pStyle w:val="Compact"/>
              <w:jc w:val="left"/>
            </w:pPr>
            <w:r>
              <w:t xml:space="preserve">No</w:t>
            </w:r>
          </w:p>
        </w:tc>
      </w:tr>
      <w:tr>
        <w:tc>
          <w:tcPr/>
          <w:p>
            <w:pPr>
              <w:pStyle w:val="Compact"/>
              <w:jc w:val="left"/>
            </w:pPr>
            <w:r>
              <w:rPr>
                <w:iCs/>
                <w:i/>
                <w:bCs/>
                <w:b/>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97).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(Section 3.7).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Proposition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Proposition 1 establishes that under the semantics implicit in current practice the constraint system is infeasible. Proposition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52);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propositions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endChr m:val=")"/>
            <m:sep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endChr m:val=")"/>
            <m:sep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propositions.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bookmarkEnd w:id="70"/>
    <w:bookmarkStart w:id="71" w:name="X83ea8ce7f647f6490c0f91608eb9a092fef3911"/>
    <w:p>
      <w:pPr>
        <w:pStyle w:val="Heading2"/>
      </w:pPr>
      <w:r>
        <w:t xml:space="preserve">4.6 Proposition 1: Infeasibility under Plaintext Verifiability</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(Chapter 3, Section 3.7).</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32).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But the architecture of the results is deliberately such that little turns on which reading prevails, and that should be made explicit.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Chapter 6, Section 6.9a are both cases of one condition, stated here because it is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endChr m:val=")"/>
            <m:sep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endChr m:val=")"/>
            <m:sepChr m:val=""/>
            <m:grow/>
          </m:dPr>
          <m:e>
            <m:r>
              <m:t>a</m:t>
            </m:r>
          </m:e>
        </m:d>
        <m:r>
          <m:rPr>
            <m:sty m:val="p"/>
          </m:rPr>
          <m:t>+</m:t>
        </m:r>
        <m:r>
          <m:t>L</m:t>
        </m:r>
        <m:r>
          <m:rPr>
            <m:sty m:val="p"/>
          </m:rPr>
          <m:t>&gt;</m:t>
        </m:r>
        <m:r>
          <m:t>t</m:t>
        </m:r>
        <m:d>
          <m:dPr>
            <m:begChr m:val="("/>
            <m:endChr m:val=")"/>
            <m:sepChr m:val=""/>
            <m:grow/>
          </m:dPr>
          <m:e>
            <m:r>
              <m:t>a</m:t>
            </m:r>
          </m:e>
        </m:d>
        <m:r>
          <m:rPr>
            <m:sty m:val="p"/>
          </m:rPr>
          <m:t>+</m:t>
        </m:r>
        <m:r>
          <m:t>F</m:t>
        </m:r>
      </m:oMath>
      <w:r>
        <w:t xml:space="preserve">. Hence (i) if the ceiling is anchored to the same event as the floor,</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endChr m:val=")"/>
            <m:sepChr m:val=""/>
            <m:grow/>
          </m:dPr>
          <m:e>
            <m:r>
              <m:t>a</m:t>
            </m:r>
          </m:e>
        </m:d>
        <m:r>
          <m:rPr>
            <m:sty m:val="p"/>
          </m:rPr>
          <m:t>−</m:t>
        </m:r>
        <m:r>
          <m:t>t</m:t>
        </m:r>
        <m:d>
          <m:dPr>
            <m:begChr m:val="("/>
            <m:endChr m:val=")"/>
            <m:sep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endChr m:val=")"/>
            <m:sepChr m:val=""/>
            <m:grow/>
          </m:dPr>
          <m:e>
            <m:r>
              <m:t>a</m:t>
            </m:r>
          </m:e>
        </m:d>
        <m:r>
          <m:rPr>
            <m:sty m:val="p"/>
          </m:rPr>
          <m:t>+</m:t>
        </m:r>
        <m:r>
          <m:t>F</m:t>
        </m:r>
      </m:oMath>
      <w:r>
        <w:t xml:space="preserve">; the ceiling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endChr m:val=")"/>
            <m:sepChr m:val=""/>
            <m:grow/>
          </m:dPr>
          <m:e>
            <m:r>
              <m:t>a</m:t>
            </m:r>
          </m:e>
        </m:d>
        <m:r>
          <m:rPr>
            <m:sty m:val="p"/>
          </m:rPr>
          <m:t>+</m:t>
        </m:r>
        <m:r>
          <m:t>L</m:t>
        </m:r>
      </m:oMath>
      <w:r>
        <w:t xml:space="preserve">. Since</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oMath>
      <w:r>
        <w:t xml:space="preserve">, some month of the window carries both demands if and only if</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r>
          <m:rPr>
            <m:sty m:val="p"/>
          </m:rPr>
          <m:t>+</m:t>
        </m:r>
        <m:r>
          <m:t>F</m:t>
        </m:r>
      </m:oMath>
      <w:r>
        <w:t xml:space="preserve">. Cases (i) and (ii) substitute</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6.9a).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71"/>
    <w:bookmarkStart w:id="72" w:name="X6dfe5408d6382a293db062cfe2ac490646497a6"/>
    <w:p>
      <w:pPr>
        <w:pStyle w:val="Heading2"/>
      </w:pPr>
      <w:r>
        <w:t xml:space="preserve">4.7 Proposition 2: Feasibility under Accountability-Preserving Verifiability</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The results of this chapter are stated as propositions rather than propositions, because their proofs are short once the semantics are fixed. The weight of the argument lies elsewhere: in Section 4.2’s necessity analysis, which justifies Semantics II, and in Propositions 3 and 4, which say where the conflict arises and where cryptography is necessary. An objection should be anticipated rather than left for a reader to formulate: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the status quo 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3"/>
    <w:bookmarkStart w:id="74" w:name="residue-analysis"/>
    <w:p>
      <w:pPr>
        <w:pStyle w:val="Heading2"/>
      </w:pPr>
      <w:r>
        <w:t xml:space="preserve">4.9 Residue Analysis</w:t>
      </w:r>
    </w:p>
    <w:p>
      <w:pPr>
        <w:pStyle w:val="FirstParagraph"/>
      </w:pPr>
      <w:r>
        <w:t xml:space="preserve">Proposition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Six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52).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pPr>
      <w:r>
        <w:rPr>
          <w:iCs/>
          <w:i/>
        </w:rPr>
        <w:t xml:space="preserve">Traceability.</w:t>
      </w:r>
      <w:r>
        <w:t xml:space="preserve"> </w:t>
      </w:r>
      <w:r>
        <w:t xml:space="preserve">Table 4.1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BodyText"/>
      </w:pPr>
      <w:r>
        <w:rPr>
          <w:iCs/>
          <w:i/>
        </w:rPr>
        <w:t xml:space="preserve">Table 4.1. Requirements traced to the mechanism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Requirement</w:t>
            </w:r>
          </w:p>
        </w:tc>
        <w:tc>
          <w:tcPr/>
          <w:p>
            <w:pPr>
              <w:pStyle w:val="Compact"/>
              <w:jc w:val="left"/>
            </w:pPr>
            <w:r>
              <w:t xml:space="preserve">Source</w:t>
            </w:r>
          </w:p>
        </w:tc>
        <w:tc>
          <w:tcPr/>
          <w:p>
            <w:pPr>
              <w:pStyle w:val="Compact"/>
              <w:jc w:val="left"/>
            </w:pPr>
            <w:r>
              <w:t xml:space="preserve">What the mechanism does</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Electronic health data within the SPE deleted within six months of permit expiry</w:t>
            </w:r>
          </w:p>
        </w:tc>
        <w:tc>
          <w:tcPr/>
          <w:p>
            <w:pPr>
              <w:pStyle w:val="Compact"/>
              <w:jc w:val="left"/>
            </w:pPr>
            <w:r>
              <w:t xml:space="preserve">EHDS Art. 68(12)</w:t>
            </w:r>
          </w:p>
        </w:tc>
        <w:tc>
          <w:tcPr/>
          <w:p>
            <w:pPr>
              <w:pStyle w:val="Compact"/>
              <w:jc w:val="left"/>
            </w:pPr>
            <w:r>
              <w:t xml:space="preserve">Payload key, salt and ciphertext destroyed at</w:t>
            </w:r>
            <w:r>
              <w:t xml:space="preserve"> </w:t>
            </w:r>
            <m:oMath>
              <m:sSub>
                <m:e>
                  <m:r>
                    <m:t>t</m:t>
                  </m:r>
                </m:e>
                <m:sub>
                  <m:r>
                    <m:t>π</m:t>
                  </m:r>
                </m:sub>
              </m:sSub>
              <m:r>
                <m:rPr>
                  <m:sty m:val="p"/>
                </m:rPr>
                <m:t>+</m:t>
              </m:r>
              <m:r>
                <m:t>6</m:t>
              </m:r>
            </m:oMath>
            <w:r>
              <w:t xml:space="preserve">; subject fields of patient-level logs removed at the same month</w:t>
            </w:r>
          </w:p>
        </w:tc>
        <w:tc>
          <w:tcPr/>
          <w:p>
            <w:pPr>
              <w:pStyle w:val="Compact"/>
              <w:jc w:val="left"/>
            </w:pPr>
            <w:r>
              <w:t xml:space="preserve">§4.7 steps 2–4;</w:t>
            </w:r>
            <w:r>
              <w:t xml:space="preserve"> </w:t>
            </w:r>
            <w:r>
              <w:rPr>
                <w:rStyle w:val="VerbatimChar"/>
              </w:rPr>
              <w:t xml:space="preserve">apply_invalidation()</w:t>
            </w:r>
          </w:p>
        </w:tc>
        <w:tc>
          <w:tcPr/>
          <w:p>
            <w:pPr>
              <w:pStyle w:val="Compact"/>
              <w:jc w:val="left"/>
            </w:pPr>
            <w:r>
              <w:t xml:space="preserve">Met in the artefact (C3 over</w:t>
            </w:r>
            <w:r>
              <w:t xml:space="preserve"> </w:t>
            </w:r>
            <m:oMath>
              <m:r>
                <m:t>α</m:t>
              </m:r>
            </m:oMath>
            <w:r>
              <w:t xml:space="preserve"> </w:t>
            </w:r>
            <w:r>
              <w:t xml:space="preserve">and</w:t>
            </w:r>
            <w:r>
              <w:t xml:space="preserve"> </w:t>
            </w:r>
            <m:oMath>
              <m:r>
                <m:t>β</m:t>
              </m:r>
            </m:oMath>
            <w:r>
              <w:t xml:space="preserve">: 0 violations)</w:t>
            </w:r>
          </w:p>
        </w:tc>
      </w:tr>
      <w:tr>
        <w:tc>
          <w:tcPr/>
          <w:p>
            <w:pPr>
              <w:pStyle w:val="Compact"/>
              <w:jc w:val="left"/>
            </w:pPr>
            <w:r>
              <w:t xml:space="preserve">Same,</w:t>
            </w:r>
            <w:r>
              <w:t xml:space="preserve"> </w:t>
            </w:r>
            <w:r>
              <w:t xml:space="preserve">“</w:t>
            </w:r>
            <w:r>
              <w:t xml:space="preserve">deleted or rendered unrecoverable … including any backups or redundant copies</w:t>
            </w:r>
            <w:r>
              <w:t xml:space="preserve">”</w:t>
            </w:r>
          </w:p>
        </w:tc>
        <w:tc>
          <w:tcPr/>
          <w:p>
            <w:pPr>
              <w:pStyle w:val="Compact"/>
              <w:jc w:val="left"/>
            </w:pPr>
            <w:r>
              <w:t xml:space="preserve">TEHDAS2 D7.4, Table 5.2, OPR-6, p. 43</w:t>
            </w:r>
          </w:p>
        </w:tc>
        <w:tc>
          <w:tcPr/>
          <w:p>
            <w:pPr>
              <w:pStyle w:val="Compact"/>
              <w:jc w:val="left"/>
            </w:pPr>
            <w:r>
              <w:t xml:space="preserve">Key destruction renders copies the store cannot delete at once unrecoverable</w:t>
            </w:r>
          </w:p>
        </w:tc>
        <w:tc>
          <w:tcPr/>
          <w:p>
            <w:pPr>
              <w:pStyle w:val="Compact"/>
              <w:jc w:val="left"/>
            </w:pPr>
            <w:r>
              <w:t xml:space="preserve">§4.8</w:t>
            </w:r>
            <w:r>
              <w:t xml:space="preserve"> </w:t>
            </w:r>
            <w:r>
              <w:rPr>
                <w:iCs/>
                <w:i/>
              </w:rPr>
              <w:t xml:space="preserve">Ciphertext</w:t>
            </w:r>
            <w:r>
              <w:t xml:space="preserve">;</w:t>
            </w:r>
            <w:r>
              <w:t xml:space="preserve"> </w:t>
            </w:r>
            <w:r>
              <w:rPr>
                <w:rStyle w:val="VerbatimChar"/>
              </w:rPr>
              <w:t xml:space="preserve">crypto_envelope.py</w:t>
            </w:r>
          </w:p>
        </w:tc>
        <w:tc>
          <w:tcPr/>
          <w:p>
            <w:pPr>
              <w:pStyle w:val="Compact"/>
              <w:jc w:val="left"/>
            </w:pPr>
            <w:r>
              <w:t xml:space="preserve">Met in the optional module with real AES-256-GCM (138 of 138 refused); destruction in program memory, not hardware (§4.9, §6.3)</w:t>
            </w:r>
          </w:p>
        </w:tc>
      </w:tr>
      <w:tr>
        <w:tc>
          <w:tcPr/>
          <w:p>
            <w:pPr>
              <w:pStyle w:val="Compact"/>
              <w:jc w:val="left"/>
            </w:pPr>
            <w:r>
              <w:t xml:space="preserve">Identifiable logs of access and activities, kept for the period needed to audit, at least one year</w:t>
            </w:r>
          </w:p>
        </w:tc>
        <w:tc>
          <w:tcPr/>
          <w:p>
            <w:pPr>
              <w:pStyle w:val="Compact"/>
              <w:jc w:val="left"/>
            </w:pPr>
            <w:r>
              <w:t xml:space="preserve">EHDS Art. 73(1)(e)</w:t>
            </w:r>
          </w:p>
        </w:tc>
        <w:tc>
          <w:tcPr/>
          <w:p>
            <w:pPr>
              <w:pStyle w:val="Compact"/>
              <w:jc w:val="left"/>
            </w:pPr>
            <w:r>
              <w:t xml:space="preserve">Accessor fields kept identifiable for the full floor; activity committed</w:t>
            </w:r>
          </w:p>
        </w:tc>
        <w:tc>
          <w:tcPr/>
          <w:p>
            <w:pPr>
              <w:pStyle w:val="Compact"/>
              <w:jc w:val="left"/>
            </w:pPr>
            <w:r>
              <w:t xml:space="preserve">§4.3, §4.7;</w:t>
            </w:r>
            <w:r>
              <w:t xml:space="preserve"> </w:t>
            </w:r>
            <w:r>
              <w:rPr>
                <w:rStyle w:val="VerbatimChar"/>
              </w:rPr>
              <w:t xml:space="preserve">V_II()</w:t>
            </w:r>
          </w:p>
        </w:tc>
        <w:tc>
          <w:tcPr/>
          <w:p>
            <w:pPr>
              <w:pStyle w:val="Compact"/>
              <w:jc w:val="left"/>
            </w:pPr>
            <w:r>
              <w:t xml:space="preserve">Met in the artefact (C1 under Semantics II: 0 violations)</w:t>
            </w:r>
          </w:p>
        </w:tc>
      </w:tr>
      <w:tr>
        <w:tc>
          <w:tcPr/>
          <w:p>
            <w:pPr>
              <w:pStyle w:val="Compact"/>
              <w:jc w:val="left"/>
            </w:pPr>
            <w:r>
              <w:t xml:space="preserve">“</w:t>
            </w:r>
            <w:r>
              <w:t xml:space="preserve">All SPE logs MUST identify the actor</w:t>
            </w:r>
            <w:r>
              <w:t xml:space="preserve">”</w:t>
            </w:r>
          </w:p>
        </w:tc>
        <w:tc>
          <w:tcPr/>
          <w:p>
            <w:pPr>
              <w:pStyle w:val="Compact"/>
              <w:jc w:val="left"/>
            </w:pPr>
            <w:r>
              <w:t xml:space="preserve">D7.4, Table 5.1, EHDSR-7, p. 32</w:t>
            </w:r>
          </w:p>
        </w:tc>
        <w:tc>
          <w:tcPr/>
          <w:p>
            <w:pPr>
              <w:pStyle w:val="Compact"/>
              <w:jc w:val="left"/>
            </w:pPr>
            <w:r>
              <w:t xml:space="preserve">Actor is an accessor field, never removed within the floor</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w:t>
            </w:r>
            <w:r>
              <w:t xml:space="preserve">All SPE logs MUST be kept at least for one year</w:t>
            </w:r>
            <w:r>
              <w:t xml:space="preserve">”</w:t>
            </w:r>
          </w:p>
        </w:tc>
        <w:tc>
          <w:tcPr/>
          <w:p>
            <w:pPr>
              <w:pStyle w:val="Compact"/>
              <w:jc w:val="left"/>
            </w:pPr>
            <w:r>
              <w:t xml:space="preserve">D7.4, Table 5.1, EHDSR-8, p. 32; OPR-18, p. 52 (five years recommended)</w:t>
            </w:r>
          </w:p>
        </w:tc>
        <w:tc>
          <w:tcPr/>
          <w:p>
            <w:pPr>
              <w:pStyle w:val="Compact"/>
              <w:jc w:val="left"/>
            </w:pPr>
            <w:r>
              <w:t xml:space="preserve">Floor parameter</w:t>
            </w:r>
            <w:r>
              <w:t xml:space="preserve"> </w:t>
            </w:r>
            <m:oMath>
              <m:r>
                <m:t>F</m:t>
              </m:r>
              <m:r>
                <m:rPr>
                  <m:sty m:val="p"/>
                </m:rPr>
                <m:t>=</m:t>
              </m:r>
              <m:r>
                <m:t>12</m:t>
              </m:r>
            </m:oMath>
            <w:r>
              <w:t xml:space="preserve">; any longer value is a parameter change (Corollary 2.2)</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Logs available for verification and auditing</w:t>
            </w:r>
          </w:p>
        </w:tc>
        <w:tc>
          <w:tcPr/>
          <w:p>
            <w:pPr>
              <w:pStyle w:val="Compact"/>
              <w:jc w:val="left"/>
            </w:pPr>
            <w:r>
              <w:t xml:space="preserve">D7.4, Table 5.1, EHDSR-6, p. 32; OPR-8, p. 47</w:t>
            </w:r>
          </w:p>
        </w:tc>
        <w:tc>
          <w:tcPr/>
          <w:p>
            <w:pPr>
              <w:pStyle w:val="Compact"/>
              <w:jc w:val="left"/>
            </w:pPr>
            <w:r>
              <w:t xml:space="preserve">Every access, invalidation and subject-link removal in an append-only Merkle log; inclusion proofs</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(200/200 verify; tamper tests fail)</w:t>
            </w:r>
          </w:p>
        </w:tc>
      </w:tr>
      <w:tr>
        <w:tc>
          <w:tcPr/>
          <w:p>
            <w:pPr>
              <w:pStyle w:val="Compact"/>
              <w:jc w:val="left"/>
            </w:pPr>
            <w:r>
              <w:t xml:space="preserve">Logs protected against tampering</w:t>
            </w:r>
          </w:p>
        </w:tc>
        <w:tc>
          <w:tcPr/>
          <w:p>
            <w:pPr>
              <w:pStyle w:val="Compact"/>
              <w:jc w:val="left"/>
            </w:pPr>
            <w:r>
              <w:t xml:space="preserve">D7.4, Table 5.4, OPR-17, and OPR-18, p. 52</w:t>
            </w:r>
          </w:p>
        </w:tc>
        <w:tc>
          <w:tcPr/>
          <w:p>
            <w:pPr>
              <w:pStyle w:val="Compact"/>
              <w:jc w:val="left"/>
            </w:pPr>
            <w:r>
              <w:t xml:space="preserve">Append-only Merkle log; an altered entry fails its inclusion proof</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(both tamper tests fail</w:t>
            </w:r>
            <w:r>
              <w:t xml:space="preserve"> </w:t>
            </w:r>
            <m:oMath>
              <m:sSup>
                <m:e>
                  <m:r>
                    <m:t>V</m:t>
                  </m:r>
                </m:e>
                <m:sup>
                  <m:r>
                    <m:t>I</m:t>
                  </m:r>
                  <m:r>
                    <m:t>I</m:t>
                  </m:r>
                </m:sup>
              </m:sSup>
            </m:oMath>
            <w:r>
              <w:t xml:space="preserve">)</w:t>
            </w:r>
          </w:p>
        </w:tc>
      </w:tr>
      <w:tr>
        <w:tc>
          <w:tcPr/>
          <w:p>
            <w:pPr>
              <w:pStyle w:val="Compact"/>
              <w:jc w:val="left"/>
            </w:pPr>
            <w:r>
              <w:t xml:space="preserve">Logging proportionate; no unnecessary detail on user behaviour; must cover access to electronic health data</w:t>
            </w:r>
          </w:p>
        </w:tc>
        <w:tc>
          <w:tcPr/>
          <w:p>
            <w:pPr>
              <w:pStyle w:val="Compact"/>
              <w:jc w:val="left"/>
            </w:pPr>
            <w:r>
              <w:t xml:space="preserve">D7.4, Table 5.4, OPR-17, p. 52</w:t>
            </w:r>
          </w:p>
        </w:tc>
        <w:tc>
          <w:tcPr/>
          <w:p>
            <w:pPr>
              <w:pStyle w:val="Compact"/>
              <w:jc w:val="left"/>
            </w:pPr>
            <w:r>
              <w:t xml:space="preserve">Accessor fields kept; subject fields only where the log is kept per patient record, and removed at the ceiling</w:t>
            </w:r>
          </w:p>
        </w:tc>
        <w:tc>
          <w:tcPr/>
          <w:p>
            <w:pPr>
              <w:pStyle w:val="Compact"/>
              <w:jc w:val="left"/>
            </w:pPr>
            <w:r>
              <w:t xml:space="preserve">§4.3, §4.10 Rival 3</w:t>
            </w:r>
          </w:p>
        </w:tc>
        <w:tc>
          <w:tcPr/>
          <w:p>
            <w:pPr>
              <w:pStyle w:val="Compact"/>
              <w:jc w:val="left"/>
            </w:pPr>
            <w:r>
              <w:t xml:space="preserve">Met by specification; granularity is the operator’s choice, which the specification leaves open</w:t>
            </w:r>
          </w:p>
        </w:tc>
      </w:tr>
      <w:tr>
        <w:tc>
          <w:tcPr/>
          <w:p>
            <w:pPr>
              <w:pStyle w:val="Compact"/>
              <w:jc w:val="left"/>
            </w:pPr>
            <w:r>
              <w:t xml:space="preserve">Deletion</w:t>
            </w:r>
            <w:r>
              <w:t xml:space="preserve"> </w:t>
            </w:r>
            <w:r>
              <w:t xml:space="preserve">“</w:t>
            </w:r>
            <w:r>
              <w:t xml:space="preserve">while ensuring compliance with applicable legal obligations and traceability or reproducibility requirements</w:t>
            </w:r>
            <w:r>
              <w:t xml:space="preserve">”</w:t>
            </w:r>
            <w:r>
              <w:t xml:space="preserve">; the deletion and retention policy to</w:t>
            </w:r>
            <w:r>
              <w:t xml:space="preserve"> </w:t>
            </w:r>
            <w:r>
              <w:t xml:space="preserve">“</w:t>
            </w:r>
            <w:r>
              <w:t xml:space="preserve">balance these obligations</w:t>
            </w:r>
            <w:r>
              <w:t xml:space="preserve">”</w:t>
            </w:r>
          </w:p>
        </w:tc>
        <w:tc>
          <w:tcPr/>
          <w:p>
            <w:pPr>
              <w:pStyle w:val="Compact"/>
              <w:jc w:val="left"/>
            </w:pPr>
            <w:r>
              <w:t xml:space="preserve">D7.4, Table 5.2, OPR-6, p. 43</w:t>
            </w:r>
          </w:p>
        </w:tc>
        <w:tc>
          <w:tcPr/>
          <w:p>
            <w:pPr>
              <w:pStyle w:val="Compact"/>
              <w:jc w:val="left"/>
            </w:pPr>
            <w:r>
              <w:t xml:space="preserve">Supplies the balance for the logs: what accountability needs is kept, what the ceiling reaches is invalidated</w:t>
            </w:r>
          </w:p>
        </w:tc>
        <w:tc>
          <w:tcPr/>
          <w:p>
            <w:pPr>
              <w:pStyle w:val="Compact"/>
              <w:jc w:val="left"/>
            </w:pPr>
            <w:r>
              <w:t xml:space="preserve">§4.7, §4.8</w:t>
            </w:r>
          </w:p>
        </w:tc>
        <w:tc>
          <w:tcPr/>
          <w:p>
            <w:pPr>
              <w:pStyle w:val="Compact"/>
              <w:jc w:val="left"/>
            </w:pPr>
            <w:r>
              <w:t xml:space="preserve">Met by specification: the specification asks for the balance and leaves its form open</w:t>
            </w:r>
          </w:p>
        </w:tc>
      </w:tr>
      <w:tr>
        <w:tc>
          <w:tcPr/>
          <w:p>
            <w:pPr>
              <w:pStyle w:val="Compact"/>
              <w:jc w:val="left"/>
            </w:pPr>
            <w:r>
              <w:t xml:space="preserve">Whether the audit purpose needs the subject link after the ceiling</w:t>
            </w:r>
          </w:p>
        </w:tc>
        <w:tc>
          <w:tcPr/>
          <w:p>
            <w:pPr>
              <w:pStyle w:val="Compact"/>
              <w:jc w:val="left"/>
            </w:pPr>
            <w:r>
              <w:t xml:space="preserve">EHDS Art. 73(1)(e) read with Art. 68(12)</w:t>
            </w:r>
          </w:p>
        </w:tc>
        <w:tc>
          <w:tcPr/>
          <w:p>
            <w:pPr>
              <w:pStyle w:val="Compact"/>
              <w:jc w:val="left"/>
            </w:pPr>
            <w:r>
              <w:t xml:space="preserve">Removes it; keeps accessor fields</w:t>
            </w:r>
          </w:p>
        </w:tc>
        <w:tc>
          <w:tcPr/>
          <w:p>
            <w:pPr>
              <w:pStyle w:val="Compact"/>
              <w:jc w:val="left"/>
            </w:pPr>
            <w:r>
              <w:t xml:space="preserve">§4.6, §7.4</w:t>
            </w:r>
          </w:p>
        </w:tc>
        <w:tc>
          <w:tcPr/>
          <w:p>
            <w:pPr>
              <w:pStyle w:val="Compact"/>
              <w:jc w:val="left"/>
            </w:pPr>
            <w:r>
              <w:t xml:space="preserve">Open: interpretation for the supervisory authority</w:t>
            </w:r>
          </w:p>
        </w:tc>
      </w:tr>
      <w:tr>
        <w:tc>
          <w:tcPr/>
          <w:p>
            <w:pPr>
              <w:pStyle w:val="Compact"/>
              <w:jc w:val="left"/>
            </w:pPr>
            <w:r>
              <w:t xml:space="preserve">Erasure without undue delay, within one month (extendable by two)</w:t>
            </w:r>
          </w:p>
        </w:tc>
        <w:tc>
          <w:tcPr/>
          <w:p>
            <w:pPr>
              <w:pStyle w:val="Compact"/>
              <w:jc w:val="left"/>
            </w:pPr>
            <w:r>
              <w:t xml:space="preserve">GDPR Arts. 17(1), 12(3)</w:t>
            </w:r>
          </w:p>
        </w:tc>
        <w:tc>
          <w:tcPr/>
          <w:p>
            <w:pPr>
              <w:pStyle w:val="Compact"/>
              <w:jc w:val="left"/>
            </w:pPr>
            <w:r>
              <w:t xml:space="preserve">Invalidation at</w:t>
            </w:r>
            <w:r>
              <w:t xml:space="preserve"> </w:t>
            </w:r>
            <m:oMath>
              <m:sSub>
                <m:e>
                  <m:r>
                    <m:t>t</m:t>
                  </m:r>
                </m:e>
                <m:sub>
                  <m:r>
                    <m:t>r</m:t>
                  </m:r>
                </m:sub>
              </m:sSub>
              <m:r>
                <m:rPr>
                  <m:sty m:val="p"/>
                </m:rPr>
                <m:t>+</m:t>
              </m:r>
              <m:r>
                <m:t>δ</m:t>
              </m:r>
            </m:oMath>
            <w:r>
              <w:t xml:space="preserve">,</w:t>
            </w:r>
            <w:r>
              <w:t xml:space="preserve"> </w:t>
            </w:r>
            <m:oMath>
              <m:r>
                <m:t>δ</m:t>
              </m:r>
              <m:r>
                <m:rPr>
                  <m:sty m:val="p"/>
                </m:rPr>
                <m:t>∈</m:t>
              </m:r>
              <m:r>
                <m:rPr>
                  <m:sty m:val="p"/>
                </m:rPr>
                <m:t>{</m:t>
              </m:r>
              <m:r>
                <m:t>1</m:t>
              </m:r>
              <m:r>
                <m:rPr>
                  <m:sty m:val="p"/>
                </m:rPr>
                <m:t>,</m:t>
              </m:r>
              <m:r>
                <m:t>3</m:t>
              </m:r>
              <m:r>
                <m:rPr>
                  <m:sty m:val="p"/>
                </m:rPr>
                <m:t>}</m:t>
              </m:r>
            </m:oMath>
          </w:p>
        </w:tc>
        <w:tc>
          <w:tcPr/>
          <w:p>
            <w:pPr>
              <w:pStyle w:val="Compact"/>
              <w:jc w:val="left"/>
            </w:pPr>
            <w:r>
              <w:t xml:space="preserve">§4.4 C2;</w:t>
            </w:r>
            <w:r>
              <w:t xml:space="preserve"> </w:t>
            </w:r>
            <w:r>
              <w:rPr>
                <w:rStyle w:val="VerbatimChar"/>
              </w:rPr>
              <w:t xml:space="preserve">--delta-witness</w:t>
            </w:r>
          </w:p>
        </w:tc>
        <w:tc>
          <w:tcPr/>
          <w:p>
            <w:pPr>
              <w:pStyle w:val="Compact"/>
              <w:jc w:val="left"/>
            </w:pPr>
            <w:r>
              <w:t xml:space="preserve">Met in the artefact (both</w:t>
            </w:r>
            <w:r>
              <w:t xml:space="preserve"> </w:t>
            </w:r>
            <m:oMath>
              <m:r>
                <m:t>δ</m:t>
              </m:r>
            </m:oMath>
            <w:r>
              <w:t xml:space="preserve">)</w:t>
            </w:r>
          </w:p>
        </w:tc>
      </w:tr>
      <w:tr>
        <w:tc>
          <w:tcPr/>
          <w:p>
            <w:pPr>
              <w:pStyle w:val="Compact"/>
              <w:jc w:val="left"/>
            </w:pPr>
            <w:r>
              <w:t xml:space="preserve">Retention only as far as the legal obligation requires</w:t>
            </w:r>
          </w:p>
        </w:tc>
        <w:tc>
          <w:tcPr/>
          <w:p>
            <w:pPr>
              <w:pStyle w:val="Compact"/>
              <w:jc w:val="left"/>
            </w:pPr>
            <w:r>
              <w:t xml:space="preserve">GDPR Arts. 17(3)(b), 5(1)(c)</w:t>
            </w:r>
          </w:p>
        </w:tc>
        <w:tc>
          <w:tcPr/>
          <w:p>
            <w:pPr>
              <w:pStyle w:val="Compact"/>
              <w:jc w:val="left"/>
            </w:pPr>
            <w:r>
              <w:t xml:space="preserve">Keeps accountability content and commitment; removes payload</w:t>
            </w:r>
          </w:p>
        </w:tc>
        <w:tc>
          <w:tcPr/>
          <w:p>
            <w:pPr>
              <w:pStyle w:val="Compact"/>
              <w:jc w:val="left"/>
            </w:pPr>
            <w:r>
              <w:t xml:space="preserve">§4.2</w:t>
            </w:r>
          </w:p>
        </w:tc>
        <w:tc>
          <w:tcPr/>
          <w:p>
            <w:pPr>
              <w:pStyle w:val="Compact"/>
              <w:jc w:val="left"/>
            </w:pPr>
            <w:r>
              <w:t xml:space="preserve">Met by specification (necessity argument)</w:t>
            </w:r>
          </w:p>
        </w:tc>
      </w:tr>
      <w:tr>
        <w:tc>
          <w:tcPr/>
          <w:p>
            <w:pPr>
              <w:pStyle w:val="Compact"/>
              <w:jc w:val="left"/>
            </w:pPr>
            <w:r>
              <w:t xml:space="preserve">Not kept in identifiable form longer than necessary</w:t>
            </w:r>
          </w:p>
        </w:tc>
        <w:tc>
          <w:tcPr/>
          <w:p>
            <w:pPr>
              <w:pStyle w:val="Compact"/>
              <w:jc w:val="left"/>
            </w:pPr>
            <w:r>
              <w:t xml:space="preserve">GDPR Art. 5(1)(e)</w:t>
            </w:r>
          </w:p>
        </w:tc>
        <w:tc>
          <w:tcPr/>
          <w:p>
            <w:pPr>
              <w:pStyle w:val="Compact"/>
              <w:jc w:val="left"/>
            </w:pPr>
            <w:r>
              <w:t xml:space="preserve">Terminal transition after the floor</w:t>
            </w:r>
          </w:p>
        </w:tc>
        <w:tc>
          <w:tcPr/>
          <w:p>
            <w:pPr>
              <w:pStyle w:val="Compact"/>
              <w:jc w:val="left"/>
            </w:pPr>
            <w:r>
              <w:t xml:space="preserve">§4.8</w:t>
            </w:r>
            <w:r>
              <w:t xml:space="preserve"> </w:t>
            </w:r>
            <w:r>
              <w:rPr>
                <w:iCs/>
                <w:i/>
              </w:rPr>
              <w:t xml:space="preserve">End of life</w:t>
            </w:r>
          </w:p>
        </w:tc>
        <w:tc>
          <w:tcPr/>
          <w:p>
            <w:pPr>
              <w:pStyle w:val="Compact"/>
              <w:jc w:val="left"/>
            </w:pPr>
            <w:r>
              <w:t xml:space="preserve">Met by specification; not implemented in the checker (§6.1)</w:t>
            </w:r>
          </w:p>
        </w:tc>
      </w:tr>
      <w:tr>
        <w:tc>
          <w:tcPr/>
          <w:p>
            <w:pPr>
              <w:pStyle w:val="Compact"/>
              <w:jc w:val="left"/>
            </w:pPr>
            <w:r>
              <w:t xml:space="preserve">Key deletion may serve erasure where physical deletion is not possible; threat model documented</w:t>
            </w:r>
          </w:p>
        </w:tc>
        <w:tc>
          <w:tcPr/>
          <w:p>
            <w:pPr>
              <w:pStyle w:val="Compact"/>
              <w:jc w:val="left"/>
            </w:pPr>
            <w:r>
              <w:t xml:space="preserve">EDPB Guidelines 02/2025 v2.0; Aikebaier (2026) on the threat model</w:t>
            </w:r>
          </w:p>
        </w:tc>
        <w:tc>
          <w:tcPr/>
          <w:p>
            <w:pPr>
              <w:pStyle w:val="Compact"/>
              <w:jc w:val="left"/>
            </w:pPr>
            <w:r>
              <w:t xml:space="preserve">Per-record keys under a key-encrypting key; trust assumptions stated</w:t>
            </w:r>
          </w:p>
        </w:tc>
        <w:tc>
          <w:tcPr/>
          <w:p>
            <w:pPr>
              <w:pStyle w:val="Compact"/>
              <w:jc w:val="left"/>
            </w:pPr>
            <w:r>
              <w:t xml:space="preserve">§4.8, §4.9</w:t>
            </w:r>
          </w:p>
        </w:tc>
        <w:tc>
          <w:tcPr/>
          <w:p>
            <w:pPr>
              <w:pStyle w:val="Compact"/>
              <w:jc w:val="left"/>
            </w:pPr>
            <w:r>
              <w:t xml:space="preserve">Met by specification</w:t>
            </w:r>
          </w:p>
        </w:tc>
      </w:tr>
      <w:tr>
        <w:tc>
          <w:tcPr/>
          <w:p>
            <w:pPr>
              <w:pStyle w:val="Compact"/>
              <w:jc w:val="left"/>
            </w:pPr>
            <w:r>
              <w:t xml:space="preserve">Audit message records the query segment</w:t>
            </w:r>
          </w:p>
        </w:tc>
        <w:tc>
          <w:tcPr/>
          <w:p>
            <w:pPr>
              <w:pStyle w:val="Compact"/>
              <w:jc w:val="left"/>
            </w:pPr>
            <w:r>
              <w:t xml:space="preserve">IHE ITI-55, §3.55.5.1</w:t>
            </w:r>
          </w:p>
        </w:tc>
        <w:tc>
          <w:tcPr/>
          <w:p>
            <w:pPr>
              <w:pStyle w:val="Compact"/>
              <w:jc w:val="left"/>
            </w:pPr>
            <w:r>
              <w:t xml:space="preserve">Treated as payload: committed, then invalidated on request</w:t>
            </w:r>
          </w:p>
        </w:tc>
        <w:tc>
          <w:tcPr/>
          <w:p>
            <w:pPr>
              <w:pStyle w:val="Compact"/>
              <w:jc w:val="left"/>
            </w:pPr>
            <w:r>
              <w:t xml:space="preserve">§4.3</w:t>
            </w:r>
          </w:p>
        </w:tc>
        <w:tc>
          <w:tcPr/>
          <w:p>
            <w:pPr>
              <w:pStyle w:val="Compact"/>
              <w:jc w:val="left"/>
            </w:pPr>
            <w:r>
              <w:t xml:space="preserve">Met in the artefact (cross-border payload models the query)</w:t>
            </w:r>
          </w:p>
        </w:tc>
      </w:tr>
      <w:tr>
        <w:tc>
          <w:tcPr/>
          <w:p>
            <w:pPr>
              <w:pStyle w:val="Compact"/>
              <w:jc w:val="left"/>
            </w:pPr>
            <w:r>
              <w:t xml:space="preserve">Information-security management system (mandatory); ISO 27001 (recommended); eID login at defined assurance levels; personnel security</w:t>
            </w:r>
          </w:p>
        </w:tc>
        <w:tc>
          <w:tcPr/>
          <w:p>
            <w:pPr>
              <w:pStyle w:val="Compact"/>
              <w:jc w:val="left"/>
            </w:pPr>
            <w:r>
              <w:t xml:space="preserve">SPUHiN (2025), hearing version</w:t>
            </w:r>
          </w:p>
        </w:tc>
        <w:tc>
          <w:tcPr/>
          <w:p>
            <w:pPr>
              <w:pStyle w:val="Compact"/>
              <w:jc w:val="left"/>
            </w:pPr>
            <w:r>
              <w:t xml:space="preserve">Requires none of these to change; operates at the logging boundary</w:t>
            </w:r>
          </w:p>
        </w:tc>
        <w:tc>
          <w:tcPr/>
          <w:p>
            <w:pPr>
              <w:pStyle w:val="Compact"/>
              <w:jc w:val="left"/>
            </w:pPr>
            <w:r>
              <w:t xml:space="preserve">§4.11</w:t>
            </w:r>
          </w:p>
        </w:tc>
        <w:tc>
          <w:tcPr/>
          <w:p>
            <w:pPr>
              <w:pStyle w:val="Compact"/>
              <w:jc w:val="left"/>
            </w:pPr>
            <w:r>
              <w:t xml:space="preserve">No conflict</w:t>
            </w:r>
          </w:p>
        </w:tc>
      </w:tr>
      <w:tr>
        <w:tc>
          <w:tcPr/>
          <w:p>
            <w:pPr>
              <w:pStyle w:val="Compact"/>
              <w:jc w:val="left"/>
            </w:pPr>
            <w:r>
              <w:t xml:space="preserve">Reconciliation of log retention with deletion</w:t>
            </w:r>
          </w:p>
        </w:tc>
        <w:tc>
          <w:tcPr/>
          <w:p>
            <w:pPr>
              <w:pStyle w:val="Compact"/>
              <w:jc w:val="left"/>
            </w:pPr>
            <w:r>
              <w:t xml:space="preserve">SPUHiN (2025), hearing version</w:t>
            </w:r>
          </w:p>
        </w:tc>
        <w:tc>
          <w:tcPr/>
          <w:p>
            <w:pPr>
              <w:pStyle w:val="Compact"/>
              <w:jc w:val="left"/>
            </w:pPr>
            <w:r>
              <w:t xml:space="preserve">Not addressed by the criteria at any grade; the mechanism supplies one</w:t>
            </w:r>
          </w:p>
        </w:tc>
        <w:tc>
          <w:tcPr/>
          <w:p>
            <w:pPr>
              <w:pStyle w:val="Compact"/>
              <w:jc w:val="left"/>
            </w:pPr>
            <w:r>
              <w:t xml:space="preserve">§2.6, §4.11</w:t>
            </w:r>
          </w:p>
        </w:tc>
        <w:tc>
          <w:tcPr/>
          <w:p>
            <w:pPr>
              <w:pStyle w:val="Compact"/>
              <w:jc w:val="left"/>
            </w:pPr>
            <w:r>
              <w:t xml:space="preserve">Gap the thesis addresses</w:t>
            </w:r>
          </w:p>
        </w:tc>
      </w:tr>
    </w:tbl>
    <w:p>
      <w:pPr>
        <w:pStyle w:val="BodyText"/>
      </w:pPr>
      <w:r>
        <w:t xml:space="preserve">Three things follow from the table. Every requirement the artefact can execute is met in the run; the requirements met only by specification are the key hierarchy, the terminal transition and the legal necessity argument, none of which a sandbox can demonstrate; and one row is open, which no artefact can close.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propositions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propositions of Chapter 4 hold on the instances examined.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Constraint evaluation under both semantics, plus the independent exhaustive cross-check and the audit-log integrity 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6.9a</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530</w:t>
            </w:r>
          </w:p>
        </w:tc>
        <w:tc>
          <w:tcPr/>
          <w:p>
            <w:pPr>
              <w:pStyle w:val="Compact"/>
              <w:jc w:val="left"/>
            </w:pPr>
            <w:r>
              <w:t xml:space="preserve">Five-tab viewer over the artefact; never a source of results</w:t>
            </w:r>
          </w:p>
        </w:tc>
        <w:tc>
          <w:tcPr/>
          <w:p>
            <w:pPr>
              <w:pStyle w:val="Compact"/>
              <w:jc w:val="left"/>
            </w:pPr>
            <w:r>
              <w:t xml:space="preserve">No</w:t>
            </w:r>
          </w:p>
        </w:tc>
      </w:tr>
      <w:tr>
        <w:tc>
          <w:tcPr/>
          <w:p>
            <w:pPr>
              <w:pStyle w:val="Compact"/>
              <w:jc w:val="left"/>
            </w:pPr>
            <w:r>
              <w:rPr>
                <w:rStyle w:val="VerbatimChar"/>
              </w:rPr>
              <w:t xml:space="preserve">crypto_envelope.py</w:t>
            </w:r>
          </w:p>
        </w:tc>
        <w:tc>
          <w:tcPr/>
          <w:p>
            <w:pPr>
              <w:pStyle w:val="Compact"/>
              <w:jc w:val="left"/>
            </w:pPr>
            <w:r>
              <w:t xml:space="preserve">118</w:t>
            </w:r>
          </w:p>
        </w:tc>
        <w:tc>
          <w:tcPr/>
          <w:p>
            <w:pPr>
              <w:pStyle w:val="Compact"/>
              <w:jc w:val="left"/>
            </w:pPr>
            <w:r>
              <w:t xml:space="preserve">Optional: the same lifecycle with real AES-256-GCM envelope encryption (needs</w:t>
            </w:r>
            <w:r>
              <w:t xml:space="preserve"> </w:t>
            </w:r>
            <w:r>
              <w:rPr>
                <w:rStyle w:val="VerbatimChar"/>
              </w:rPr>
              <w:t xml:space="preserve">cryptography</w:t>
            </w:r>
            <w:r>
              <w:t xml:space="preserve">)</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Proposition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Proposition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A.10). The Semantics II result of Table 5.3 therefore rests on a check that can fail, which the earlier presence test could not.</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A.9e and A.15): after the 138 scheduled destructions exactly those records refuse to decrypt and the other 62 still read, so unreadability is executed rather than asserted; the keys are still destroyed in program memory, not in hardware: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Proposition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A.11).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and the same conditions produced ninety infeasible records across the full population of two hundred when the cross-border audit floor is included.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either reading. The provision is framed by location rather than provenance, which supports the broad reading; its object is electronic health data, which confines that reading to logs kept at patient-record granularity; and its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Proposition 1 establishes infeasibility under the status-quo semantics; Proposition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On the broad reading, which takes the provision’s scope from its location, it reaches access logs kept at patient-record granularity, whose subject fields are data concerning health. The competing construction, supported by the provision’s placement within the data-permit article, confines it to the permitted dataset. Chapter 4, Section 4.6 shows that Corollary 1.2 stands or falls with this question and that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3"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Propositions 1 and 2, including the independent exhaustive cross-check and the audit-log integrity check</w:t>
            </w:r>
          </w:p>
        </w:tc>
        <w:tc>
          <w:tcPr/>
          <w:p>
            <w:pPr>
              <w:pStyle w:val="Compact"/>
              <w:jc w:val="left"/>
            </w:pPr>
            <w:r>
              <w:t xml:space="preserve">533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530</w:t>
            </w:r>
          </w:p>
        </w:tc>
      </w:tr>
      <w:tr>
        <w:tc>
          <w:tcPr/>
          <w:p>
            <w:pPr>
              <w:pStyle w:val="Compact"/>
              <w:jc w:val="left"/>
            </w:pPr>
            <w:r>
              <w:rPr>
                <w:rStyle w:val="VerbatimChar"/>
              </w:rPr>
              <w:t xml:space="preserve">crypto_envelope.py</w:t>
            </w:r>
          </w:p>
        </w:tc>
        <w:tc>
          <w:tcPr/>
          <w:p>
            <w:pPr>
              <w:pStyle w:val="Compact"/>
              <w:jc w:val="left"/>
            </w:pPr>
            <w:r>
              <w:t xml:space="preserve">Optional: the same lifecycle with real AES-256-GCM envelope encryption; needs the</w:t>
            </w:r>
            <w:r>
              <w:t xml:space="preserve"> </w:t>
            </w:r>
            <w:r>
              <w:rPr>
                <w:rStyle w:val="VerbatimChar"/>
              </w:rPr>
              <w:t xml:space="preserve">cryptography</w:t>
            </w:r>
            <w:r>
              <w:t xml:space="preserve"> </w:t>
            </w:r>
            <w:r>
              <w:t xml:space="preserve">package and reports no thesis figure</w:t>
            </w:r>
          </w:p>
        </w:tc>
        <w:tc>
          <w:tcPr/>
          <w:p>
            <w:pPr>
              <w:pStyle w:val="Compact"/>
              <w:jc w:val="left"/>
            </w:pPr>
            <w:r>
              <w:t xml:space="preserve">118</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6.9a.</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numPr>
          <w:ilvl w:val="0"/>
          <w:numId w:val="1006"/>
        </w:numPr>
        <w:pStyle w:val="Compact"/>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numPr>
          <w:ilvl w:val="0"/>
          <w:numId w:val="1006"/>
        </w:numPr>
        <w:pStyle w:val="Compact"/>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A.11).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Audit-log integrity</w:t>
            </w:r>
          </w:p>
        </w:tc>
        <w:tc>
          <w:tcPr/>
          <w:p>
            <w:pPr>
              <w:pStyle w:val="Compact"/>
              <w:jc w:val="left"/>
            </w:pPr>
            <w:r>
              <w:t xml:space="preserve">200 / 200 records verify; both tamper tests fail V_II</w:t>
            </w:r>
          </w:p>
        </w:tc>
        <w:tc>
          <w:tcPr/>
          <w:p>
            <w:pPr>
              <w:pStyle w:val="Compact"/>
              <w:jc w:val="left"/>
            </w:pPr>
            <w:r>
              <w:t xml:space="preserve">§5.6</w:t>
            </w:r>
          </w:p>
        </w:tc>
      </w:tr>
      <w:tr>
        <w:tc>
          <w:tcPr/>
          <w:p>
            <w:pPr>
              <w:pStyle w:val="Compact"/>
              <w:jc w:val="left"/>
            </w:pPr>
            <w:r>
              <w:t xml:space="preserve">Reference commitment, record 100</w:t>
            </w:r>
          </w:p>
        </w:tc>
        <w:tc>
          <w:tcPr/>
          <w:p>
            <w:pPr>
              <w:pStyle w:val="Compact"/>
              <w:jc w:val="left"/>
            </w:pPr>
            <w:r>
              <w:rPr>
                <w:rStyle w:val="VerbatimChar"/>
              </w:rPr>
              <w:t xml:space="preserve">678ade47c1e6dc03…</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(Chapter 4, Section 4.3). Under</w:t>
      </w:r>
      <w:r>
        <w:t xml:space="preserve"> </w:t>
      </w:r>
      <w:r>
        <w:rPr>
          <w:rStyle w:val="VerbatimChar"/>
        </w:rPr>
        <w:t xml:space="preserve">--random-salts</w:t>
      </w:r>
      <w:r>
        <w:t xml:space="preserve"> </w:t>
      </w:r>
      <w:r>
        <w:t xml:space="preserve">it differs on every run, by design.</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propositions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Revised 3 Oct 2026 for the supervisor review of 30 Sept (thesis patches P04, P06; D-15..D-17):</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 (supervisor's M4)</w:t>
      </w:r>
      <w:r>
        <w:br/>
      </w:r>
      <w:r>
        <w:rPr>
          <w:rStyle w:val="CommentTok"/>
        </w:rPr>
        <w:t xml:space="preserve">  - the dead `os.urandom(16) if False` branch replaced by make_salt() and --random-salts</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A.4)."""</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6.9a.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9e-source-listing-crypto_envelope.py"/>
    <w:p>
      <w:pPr>
        <w:pStyle w:val="Heading2"/>
      </w:pPr>
      <w:r>
        <w:t xml:space="preserve">A.9e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5"/>
    <w:bookmarkStart w:id="126"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6"/>
    <w:bookmarkStart w:id="127"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It was recorded on 28 September 2026, before the code revision of 3 October, and its constructed-payload mean (35 bytes) reflects the earlier constructed strings; no measure in it depends on them, as the subset run in A.11b, recorded after the revision, shows.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7"/>
    <w:bookmarkStart w:id="128"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8"/>
    <w:bookmarkStart w:id="129"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9"/>
    <w:bookmarkStart w:id="130"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6.9a.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30"/>
    <w:bookmarkStart w:id="131"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1"/>
    <w:bookmarkStart w:id="132" w:name="X72c60d57ebc08f29c4a4b3c1c33406f54368d18"/>
    <w:p>
      <w:pPr>
        <w:pStyle w:val="Heading2"/>
      </w:pPr>
      <w:r>
        <w:t xml:space="preserve">A.15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p>
      <w:r>
        <w:pict>
          <v:rect style="width:0;height:1.5pt" o:hralign="center" o:hrstd="t" o:hr="t"/>
        </w:pict>
      </w:r>
    </w:p>
    <w:bookmarkEnd w:id="132"/>
    <w:bookmarkEnd w:id="133"/>
    <w:bookmarkStart w:id="140"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4"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4"/>
    <w:bookmarkStart w:id="135"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5"/>
    <w:bookmarkStart w:id="136"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6"/>
    <w:bookmarkStart w:id="137"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7"/>
    <w:bookmarkStart w:id="138"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8"/>
    <w:bookmarkStart w:id="139"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9"/>
    <w:bookmarkEnd w:id="140"/>
    <w:bookmarkStart w:id="160"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41"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41"/>
    <w:bookmarkStart w:id="142"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(Chapter 6, Section 6.3).</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2"/>
    <w:bookmarkStart w:id="143"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3"/>
    <w:bookmarkStart w:id="144"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4"/>
    <w:bookmarkStart w:id="145"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5"/>
    <w:bookmarkStart w:id="150"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6"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6"/>
    <w:bookmarkStart w:id="147"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7"/>
    <w:bookmarkStart w:id="148"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8"/>
    <w:bookmarkStart w:id="149"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9"/>
    <w:bookmarkEnd w:id="150"/>
    <w:bookmarkStart w:id="156"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51"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51"/>
    <w:bookmarkStart w:id="152"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2"/>
    <w:bookmarkStart w:id="153"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3"/>
    <w:bookmarkStart w:id="154"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t xml:space="preserve">The mechanism lets an auditor verify that a record’s invalidation was logged at the required month and has not been altered since.</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4"/>
    <w:bookmarkStart w:id="155"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Chapter 6, Section 6.3 states that the invalidation entry is an attestation rather than a proof. Analysis reads the two together.</w:t>
      </w:r>
    </w:p>
    <w:p>
      <w:r>
        <w:pict>
          <v:rect style="width:0;height:1.5pt" o:hralign="center" o:hrstd="t" o:hr="t"/>
        </w:pict>
      </w:r>
    </w:p>
    <w:bookmarkEnd w:id="155"/>
    <w:bookmarkEnd w:id="156"/>
    <w:bookmarkStart w:id="157"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7"/>
    <w:bookmarkStart w:id="158"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8"/>
    <w:bookmarkStart w:id="159"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9"/>
    <w:bookmarkEnd w:id="160"/>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2026-10-03T18:08:02Z</dcterms:created>
  <dcterms:modified xsi:type="dcterms:W3CDTF">2026-10-03T18:08:02Z</dcterms:modified>
</cp:coreProperties>
</file>

<file path=docProps/custom.xml><?xml version="1.0" encoding="utf-8"?>
<Properties xmlns="http://schemas.openxmlformats.org/officeDocument/2006/custom-properties" xmlns:vt="http://schemas.openxmlformats.org/officeDocument/2006/docPropsVTypes"/>
</file>