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Revisions since the draft reviewed on 30 September 2026</w:t>
      </w:r>
    </w:p>
    <w:p>
      <w:pPr>
        <w:pStyle w:val="BodyText"/>
      </w:pPr>
      <w:r>
        <w:t xml:space="preserve">Every change to the front matter and Chapters 1–7 is shown as a tracked insertion or deletion (Review → Track Changes → All Markup). Appendices and the reference list are regenerated from the code and the chapter lists and are not compared here. Tables and equations are compared as text; the formatted thesis is the separate file VERA-SNARK_Thesis_SUBMISSION.docx. Paragraphs unchanged: 279; revised: 290; new: 92; removed: 110.</w:t>
      </w:r>
    </w:p>
    <w:p>
      <w:pPr>
        <w:pStyle w:val="Heading2"/>
      </w:pPr>
      <w:r>
        <w:t xml:space="preserve">Abstract</w:t>
      </w:r>
    </w:p>
    <w:p>
      <w:pPr>
        <w:pStyle w:val="BodyText"/>
      </w:pPr>
      <w:r>
        <w:t xml:space="preserve">The European Health Data Space Regulation (EU) 2025/327 subjects cross-border health data audit records to three retention obligations at once: audit-retention floors (ten years </w:t>
      </w:r>
      <w:ins w:id="1" w:author="Arshad Akhtar Abbasia" w:date="2026-10-04T12:00:00Z">
        <w:r>
          <w:t xml:space="preserve">as reported </w:t>
        </w:r>
      </w:ins>
      <w:r>
        <w:t xml:space="preserve">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w:t>
      </w:r>
      <w:del w:id="2" w:author="Arshad Akhtar Abbasia" w:date="2026-10-04T12:00:00Z">
        <w:r>
          <w:delText xml:space="preserve">(Theorem </w:delText>
        </w:r>
      </w:del>
      <w:ins w:id="3" w:author="Arshad Akhtar Abbasia" w:date="2026-10-04T12:00:00Z">
        <w:r>
          <w:t xml:space="preserve">(Proposition </w:t>
        </w:r>
      </w:ins>
      <w:r>
        <w:t xml:space="preserve">1). Under accountability-preserving semantics they are jointly satisfiable for every arrival pattern of erasure requests and permit expiries and for every retention floor </w:t>
      </w:r>
      <w:del w:id="4" w:author="Arshad Akhtar Abbasia" w:date="2026-10-04T12:00:00Z">
        <w:r>
          <w:delText xml:space="preserve">(Theorem </w:delText>
        </w:r>
      </w:del>
      <w:ins w:id="5" w:author="Arshad Akhtar Abbasia" w:date="2026-10-04T12:00:00Z">
        <w:r>
          <w:t xml:space="preserve">(Proposition </w:t>
        </w:r>
      </w:ins>
      <w:r>
        <w:t xml:space="preserve">2). </w:t>
      </w:r>
      <w:ins w:id="6" w:author="Arshad Akhtar Abbasia" w:date="2026-10-04T12:00:00Z">
        <w:r>
          <w:t xml:space="preserve">Two further results locate the conflict: a ceiling collides with a floor only if it is no longer than the floor, and the event the ceiling is anchored to decides whether the collision is visible in the text or only in each record’s history (Proposition 3); moving a record out of the regulated environment satisfies the ceiling but not the right to erasure (Proposition 4). </w:t>
        </w:r>
      </w:ins>
      <w:r>
        <w:t xml:space="preserve">The witnessing mechanism, Crypto-Erasure by Invalidation, destroys a per-record payload key </w:t>
      </w:r>
      <w:ins w:id="7" w:author="Arshad Akhtar Abbasia" w:date="2026-10-04T12:00:00Z">
        <w:r>
          <w:t xml:space="preserve">and removes the record’s link to the patient, </w:t>
        </w:r>
      </w:ins>
      <w:r>
        <w:t xml:space="preserve">while retaining </w:t>
      </w:r>
      <w:ins w:id="8" w:author="Arshad Akhtar Abbasia" w:date="2026-10-04T12:00:00Z">
        <w:r>
          <w:t xml:space="preserve">the accessor’s identity, </w:t>
        </w:r>
      </w:ins>
      <w:r>
        <w:t xml:space="preserve">event metadata, a hiding commitment and a logged invalidation </w:t>
      </w:r>
      <w:del w:id="9" w:author="Arshad Akhtar Abbasia" w:date="2026-10-04T12:00:00Z">
        <w:r>
          <w:delText xml:space="preserve">entry.</w:delText>
        </w:r>
      </w:del>
      <w:ins w:id="10" w:author="Arshad Akhtar Abbasia" w:date="2026-10-04T12:00:00Z">
        <w:r>
          <w:t xml:space="preserve">entry in a tamper-evident log.</w:t>
        </w:r>
      </w:ins>
    </w:p>
    <w:p>
      <w:pPr>
        <w:pStyle w:val="BodyText"/>
      </w:pPr>
      <w:r>
        <w:t xml:space="preserve">Both results are demonstrated in a Python sandbox over two hundred records with Synthea-generated FHIR R4 payloads: ninety-five violations across ninety records under plaintext semantics, and none under accountability-preserving semantics. Thirty-nine of the violations arise in access-log records that received no erasure request, but only on a contestable reading of Article </w:t>
      </w:r>
      <w:del w:id="11" w:author="Arshad Akhtar Abbasia" w:date="2026-10-04T12:00:00Z">
        <w:r>
          <w:delText xml:space="preserve">68(12).</w:delText>
        </w:r>
      </w:del>
      <w:ins w:id="12" w:author="Arshad Akhtar Abbasia" w:date="2026-10-04T12:00:00Z">
        <w:r>
          <w:t xml:space="preserve">68(12), the broad reading, and only for logs kept at patient-record granularity.</w:t>
        </w:r>
      </w:ins>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t xml:space="preserve">Keywords: 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p>
      <w:pPr>
        <w:pStyle w:val="Heading2"/>
      </w:pPr>
      <w:r>
        <w:t xml:space="preserve">Sammendrag</w:t>
      </w:r>
    </w:p>
    <w:p>
      <w:pPr>
        <w:pStyle w:val="BodyText"/>
      </w:pPr>
      <w:r>
        <w:t xml:space="preserve">Forordning (EU) 2025/327 om det europeiske helsedataområdet (EHDS) underlegger revisjonsspor for grensekryssende helsedata tre lagringsplikter samtidig: minstekrav til lagring av revisjonslogger (ti år </w:t>
      </w:r>
      <w:ins w:id="13" w:author="Arshad Akhtar Abbasia" w:date="2026-10-04T12:00:00Z">
        <w:r>
          <w:t xml:space="preserve">slik det er rapportert </w:t>
        </w:r>
      </w:ins>
      <w:r>
        <w:t xml:space="preserve">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w:t>
      </w:r>
      <w:del w:id="14" w:author="Arshad Akhtar Abbasia" w:date="2026-10-04T12:00:00Z">
        <w:r>
          <w:delText xml:space="preserve">(teorem </w:delText>
        </w:r>
      </w:del>
      <w:ins w:id="15" w:author="Arshad Akhtar Abbasia" w:date="2026-10-04T12:00:00Z">
        <w:r>
          <w:t xml:space="preserve">(proposisjon </w:t>
        </w:r>
      </w:ins>
      <w:r>
        <w:t xml:space="preserve">1). Under semantikk som bevarer etterrettelighet, kan kravene tilfredsstilles samtidig for alle tidspunkter for slettebegjæringer og utløp av tillatelser og for alle lagringsminimum </w:t>
      </w:r>
      <w:del w:id="16" w:author="Arshad Akhtar Abbasia" w:date="2026-10-04T12:00:00Z">
        <w:r>
          <w:delText xml:space="preserve">(teorem </w:delText>
        </w:r>
      </w:del>
      <w:ins w:id="17" w:author="Arshad Akhtar Abbasia" w:date="2026-10-04T12:00:00Z">
        <w:r>
          <w:t xml:space="preserve">(proposisjon </w:t>
        </w:r>
      </w:ins>
      <w:r>
        <w:t xml:space="preserve">2). </w:t>
      </w:r>
      <w:ins w:id="18" w:author="Arshad Akhtar Abbasia" w:date="2026-10-04T12:00:00Z">
        <w:r>
          <w:t xml:space="preserve">To resultater til avgrenser konflikten: en øvre grense kolliderer med et lagringsminimum bare når den ikke er lengre enn minimumet, og hendelsen grensen regnes fra avgjør om kollisjonen kan ses i teksten eller bare i den enkelte postens historikk (proposisjon 3); å flytte en post ut av det regulerte miljøet oppfyller sletteplikten, men ikke retten til sletting (proposisjon 4). </w:t>
        </w:r>
      </w:ins>
      <w:r>
        <w:t xml:space="preserve">Mekanismen som viser dette, Crypto-Erasure by Invalidation, ødelegger nøkkelen til innholdet i hver enkelt </w:t>
      </w:r>
      <w:del w:id="19" w:author="Arshad Akhtar Abbasia" w:date="2026-10-04T12:00:00Z">
        <w:r>
          <w:delText xml:space="preserve">post, </w:delText>
        </w:r>
      </w:del>
      <w:ins w:id="20" w:author="Arshad Akhtar Abbasia" w:date="2026-10-04T12:00:00Z">
        <w:r>
          <w:t xml:space="preserve">post og fjerner postens kobling til pasienten, </w:t>
        </w:r>
      </w:ins>
      <w:r>
        <w:t xml:space="preserve">samtidig som </w:t>
      </w:r>
      <w:ins w:id="21" w:author="Arshad Akhtar Abbasia" w:date="2026-10-04T12:00:00Z">
        <w:r>
          <w:t xml:space="preserve">identiteten til den som ga seg tilgang, </w:t>
        </w:r>
      </w:ins>
      <w:r>
        <w:t xml:space="preserve">hendelsesmetadata, en skjulende forpliktelse (commitment) og en logget ugyldiggjøringspost </w:t>
      </w:r>
      <w:del w:id="22" w:author="Arshad Akhtar Abbasia" w:date="2026-10-04T12:00:00Z">
        <w:r>
          <w:delText xml:space="preserve">beholdes.</w:delText>
        </w:r>
      </w:del>
      <w:ins w:id="23" w:author="Arshad Akhtar Abbasia" w:date="2026-10-04T12:00:00Z">
        <w:r>
          <w:t xml:space="preserve">beholdes i en manipulasjonssikker logg.</w:t>
        </w:r>
      </w:ins>
    </w:p>
    <w:p>
      <w:pPr>
        <w:pStyle w:val="BodyText"/>
      </w:pPr>
      <w:r>
        <w:t xml:space="preserve">Begge resultatene demonstreres i en Python-sandkasse med to hundre poster og syntetiske FHIR R4-data generert med Synthea: nittifem brudd fordelt på nitti poster under klartekstsemantikk, og ingen under semantikk som bevarer etterrettelighet. Trettini av bruddene oppstår i tilgangslogger uten noen slettebegjæring, men bare under en </w:t>
      </w:r>
      <w:del w:id="24" w:author="Arshad Akhtar Abbasia" w:date="2026-10-04T12:00:00Z">
        <w:r>
          <w:delText xml:space="preserve">omstridt </w:delText>
        </w:r>
      </w:del>
      <w:ins w:id="25" w:author="Arshad Akhtar Abbasia" w:date="2026-10-04T12:00:00Z">
        <w:r>
          <w:t xml:space="preserve">omstridt, vid </w:t>
        </w:r>
      </w:ins>
      <w:r>
        <w:t xml:space="preserve">lesing av artikkel </w:t>
      </w:r>
      <w:del w:id="26" w:author="Arshad Akhtar Abbasia" w:date="2026-10-04T12:00:00Z">
        <w:r>
          <w:delText xml:space="preserve">68(12).</w:delText>
        </w:r>
      </w:del>
      <w:ins w:id="27" w:author="Arshad Akhtar Abbasia" w:date="2026-10-04T12:00:00Z">
        <w:r>
          <w:t xml:space="preserve">68(12), og bare for logger som føres på nivå med den enkelte pasientjournal.</w:t>
        </w:r>
      </w:ins>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t xml:space="preserve">Nøkkelord: europeisk helsedataområde; GDPR artikkel 17; kryptografisk sletting; revisjonsspor; lagringstid; design science-forskning; sikkert analyserom; MyHealth@EU; informasjonslogistikk; Norge</w:t>
      </w:r>
    </w:p>
    <w:p>
      <w:pPr>
        <w:pStyle w:val="Heading2"/>
      </w:pPr>
      <w:r>
        <w:t xml:space="preserve">Statement of Contribution</w:t>
      </w:r>
    </w:p>
    <w:p>
      <w:pPr>
        <w:pStyle w:val="BodyText"/>
      </w:pPr>
      <w:r>
        <w:t xml:space="preserve">This thesis makes four contributions, each stated at the level it can be defended.</w:t>
      </w:r>
    </w:p>
    <w:p>
      <w:pPr>
        <w:pStyle w:val="BodyText"/>
      </w:pPr>
      <w:r>
        <w:t xml:space="preserve">1. A formal model of the tri-lateral retention conflict. 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rPr>
          <w:ins w:id="28" w:author="Arshad Akhtar Abbasia" w:date="2026-10-04T12:00:00Z"/>
        </w:rPr>
      </w:pPr>
      <w:ins w:id="29" w:author="Arshad Akhtar Abbasia" w:date="2026-10-04T12:00:00Z">
        <w:r>
          <w:t xml:space="preserve">2. Feasibility results with an executable witness. Proposition 1 establishes infeasibility under the semantics of an audit log that keeps its payload readable. Proposition 2 establishes satisfiability under an alternative and exhibits the trajectory achieving it. Both are proved informally and demonstrated executably, with an independent exhaustive cross-check. Proposition 3 states the exact condition under which a ceiling collides with a floor and shows that the ceiling’s anchor decides whether the collision can be read from the text; Proposition 4 shows why relocating a record, the rival that removes it from the environment, does not dissolve the conflict.</w:t>
        </w:r>
      </w:ins>
    </w:p>
    <w:p>
      <w:pPr>
        <w:pStyle w:val="BodyText"/>
        <w:rPr>
          <w:del w:id="30" w:author="Arshad Akhtar Abbasia" w:date="2026-10-04T12:00:00Z"/>
        </w:rPr>
      </w:pPr>
      <w:del w:id="31" w:author="Arshad Akhtar Abbasia" w:date="2026-10-04T12:00:00Z">
        <w:r>
          <w:delText xml:space="preserve">2. Two feasibility results with an executable witness. Theorem 1 establishes infeasibility under the semantics implicit in current audit practice. Theorem 2 establishes satisfiability under an alternative and exhibits the trajectory achieving it. Both are proved informally and demonstrated executably, with an independent exhaustive cross-check.</w:delText>
        </w:r>
      </w:del>
    </w:p>
    <w:p>
      <w:pPr>
        <w:pStyle w:val="BodyText"/>
      </w:pPr>
      <w:r>
        <w:t xml:space="preserve">3. A mechanism specification with its residue analysed against the applicable legal threshold. Crypto-Erasure by Invalidation is specified in implementable </w:t>
      </w:r>
      <w:del w:id="32" w:author="Arshad Akhtar Abbasia" w:date="2026-10-04T12:00:00Z">
        <w:r>
          <w:delText xml:space="preserve">detail. </w:delText>
        </w:r>
      </w:del>
      <w:ins w:id="33" w:author="Arshad Akhtar Abbasia" w:date="2026-10-04T12:00:00Z">
        <w:r>
          <w:t xml:space="preserve">detail, with each record’s metadata partitioned into the accessor’s fields, which accountability requires and the mechanism retains, and the link to the patient, which it removes, and with entries committed to a tamper-evident log whose inclusion proofs the demonstration checks. </w:t>
        </w:r>
      </w:ins>
      <w:r>
        <w:t xml:space="preserve">Its surviving residue is characterised as pseudonymised rather than anonymous by the Norwegian standard, and designed to the corridor established by the European Data Protection Board’s finalised Guidelines 02/2025.</w:t>
      </w:r>
    </w:p>
    <w:p>
      <w:pPr>
        <w:pStyle w:val="BodyText"/>
      </w:pPr>
      <w:r>
        <w:t xml:space="preserve">4. An integration analysis against verified Norwegian infrastructure. The mechanism is placed at the audit-repository step of the MyHealth@EU flow and the access-logging boundary of a Secure Processing Environment, and requires of the substrate nothing that the </w:t>
      </w:r>
      <w:del w:id="34" w:author="Arshad Akhtar Abbasia" w:date="2026-10-04T12:00:00Z">
        <w:r>
          <w:delText xml:space="preserve">finalised </w:delText>
        </w:r>
      </w:del>
      <w:r>
        <w:t xml:space="preserve">national criteria </w:t>
      </w:r>
      <w:ins w:id="35" w:author="Arshad Akhtar Abbasia" w:date="2026-10-04T12:00:00Z">
        <w:r>
          <w:t xml:space="preserve">put to public hearing in 2025 </w:t>
        </w:r>
      </w:ins>
      <w:r>
        <w:t xml:space="preserve">do not already demand.</w:t>
      </w:r>
    </w:p>
    <w:p>
      <w:pPr>
        <w:pStyle w:val="BodyText"/>
      </w:pPr>
      <w:r>
        <w:t xml:space="preserve">What is not claimed. 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pPr>
        <w:pStyle w:val="Heading2"/>
      </w:pPr>
      <w:r>
        <w:t xml:space="preserve">Declaration of Originality</w:t>
      </w:r>
    </w:p>
    <w:p>
      <w:pPr>
        <w:pStyle w:val="BodyText"/>
      </w:pPr>
      <w:r>
        <w:t xml:space="preserve">This thesis is my own work. Where the work of others is used, it is cited. Where an argument originates in the supervisory relationship or in feedback on drafts, that is noted in the text.</w:t>
      </w:r>
    </w:p>
    <w:p>
      <w:pPr>
        <w:pStyle w:val="BodyText"/>
        <w:rPr>
          <w:ins w:id="36" w:author="Arshad Akhtar Abbasia" w:date="2026-10-04T12:00:00Z"/>
        </w:rPr>
      </w:pPr>
      <w:ins w:id="37" w:author="Arshad Akhtar Abbasia" w:date="2026-10-04T12:00:00Z">
        <w:r>
          <w:t xml:space="preserve">Two declarations are made explicitly.</w:t>
        </w:r>
      </w:ins>
    </w:p>
    <w:p>
      <w:pPr>
        <w:pStyle w:val="BodyText"/>
        <w:rPr>
          <w:del w:id="38" w:author="Arshad Akhtar Abbasia" w:date="2026-10-04T12:00:00Z"/>
        </w:rPr>
      </w:pPr>
      <w:del w:id="39" w:author="Arshad Akhtar Abbasia" w:date="2026-10-04T12:00:00Z">
        <w:r>
          <w:delText xml:space="preserve">Two declarations are made explicitly because the first version of this project, abandoned in May 2026, failed to make them truthfully.</w:delText>
        </w:r>
      </w:del>
    </w:p>
    <w:p>
      <w:pPr>
        <w:pStyle w:val="BodyText"/>
      </w:pPr>
      <w:r>
        <w:t xml:space="preserve">Ethics. 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w:t>
      </w:r>
      <w:del w:id="40" w:author="Arshad Akhtar Abbasia" w:date="2026-10-04T12:00:00Z">
        <w:r>
          <w:delText xml:space="preserve">obtained. Any claim to the contrary appearing in earlier drafts of this project is withdrawn.</w:delText>
        </w:r>
      </w:del>
      <w:ins w:id="41" w:author="Arshad Akhtar Abbasia" w:date="2026-10-04T12:00:00Z">
        <w:r>
          <w:t xml:space="preserve">obtained.</w:t>
        </w:r>
      </w:ins>
    </w:p>
    <w:p>
      <w:pPr>
        <w:pStyle w:val="BodyText"/>
      </w:pPr>
      <w:r>
        <w:t xml:space="preserve">Sources. Every factual claim in this thesis is traceable to a source retrievable at the time of writing. Where verification of a source remains incomplete, the </w:t>
      </w:r>
      <w:del w:id="42" w:author="Arshad Akhtar Abbasia" w:date="2026-10-04T12:00:00Z">
        <w:r>
          <w:delText xml:space="preserve">incompleteness is flagged in the </w:delText>
        </w:r>
      </w:del>
      <w:r>
        <w:t xml:space="preserve">text </w:t>
      </w:r>
      <w:del w:id="43" w:author="Arshad Akhtar Abbasia" w:date="2026-10-04T12:00:00Z">
        <w:r>
          <w:delText xml:space="preserve">rather than concealed. </w:delText>
        </w:r>
      </w:del>
      <w:ins w:id="44" w:author="Arshad Akhtar Abbasia" w:date="2026-10-04T12:00:00Z">
        <w:r>
          <w:t xml:space="preserve">says so. </w:t>
        </w:r>
      </w:ins>
      <w:r>
        <w:t xml:space="preserve">An </w:t>
      </w:r>
      <w:del w:id="45" w:author="Arshad Akhtar Abbasia" w:date="2026-10-04T12:00:00Z">
        <w:r>
          <w:delText xml:space="preserve">audit conducted </w:delText>
        </w:r>
      </w:del>
      <w:ins w:id="46" w:author="Arshad Akhtar Abbasia" w:date="2026-10-04T12:00:00Z">
        <w:r>
          <w:t xml:space="preserve">earlier draft of this project, discarded </w:t>
        </w:r>
      </w:ins>
      <w:r>
        <w:t xml:space="preserve">in May </w:t>
      </w:r>
      <w:del w:id="47" w:author="Arshad Akhtar Abbasia" w:date="2026-10-04T12:00:00Z">
        <w:r>
          <w:delText xml:space="preserve">2026 identified </w:delText>
        </w:r>
      </w:del>
      <w:ins w:id="48" w:author="Arshad Akhtar Abbasia" w:date="2026-10-04T12:00:00Z">
        <w:r>
          <w:t xml:space="preserve">2026, contained </w:t>
        </w:r>
      </w:ins>
      <w:r>
        <w:t xml:space="preserve">citations </w:t>
      </w:r>
      <w:del w:id="49" w:author="Arshad Akhtar Abbasia" w:date="2026-10-04T12:00:00Z">
        <w:r>
          <w:delText xml:space="preserve">in the earlier draft </w:delText>
        </w:r>
      </w:del>
      <w:r>
        <w:t xml:space="preserve">to works that do not </w:t>
      </w:r>
      <w:del w:id="50" w:author="Arshad Akhtar Abbasia" w:date="2026-10-04T12:00:00Z">
        <w:r>
          <w:delText xml:space="preserve">exist; </w:delText>
        </w:r>
      </w:del>
      <w:ins w:id="51" w:author="Arshad Akhtar Abbasia" w:date="2026-10-04T12:00:00Z">
        <w:r>
          <w:t xml:space="preserve">exist and a statement of ethics approval </w:t>
        </w:r>
      </w:ins>
      <w:r>
        <w:t xml:space="preserve">that </w:t>
      </w:r>
      <w:del w:id="52" w:author="Arshad Akhtar Abbasia" w:date="2026-10-04T12:00:00Z">
        <w:r>
          <w:delText xml:space="preserve">draft has been discarded in its entirety and </w:delText>
        </w:r>
      </w:del>
      <w:ins w:id="53" w:author="Arshad Akhtar Abbasia" w:date="2026-10-04T12:00:00Z">
        <w:r>
          <w:t xml:space="preserve">was never obtained; </w:t>
        </w:r>
      </w:ins>
      <w:r>
        <w:t xml:space="preserve">every citation in the present work has been checked against a primary or retrievable source.</w:t>
      </w:r>
    </w:p>
    <w:p>
      <w:pPr>
        <w:pStyle w:val="BodyText"/>
      </w:pPr>
      <w:r>
        <w:t xml:space="preserve">Use of AI assistance. 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pPr>
        <w:pStyle w:val="Heading2"/>
      </w:pPr>
      <w:r>
        <w:t xml:space="preserve">Nomenclature and Abbreviations</w:t>
      </w:r>
    </w:p>
    <w:p>
      <w:pPr>
        <w:pStyle w:val="BodyText"/>
      </w:pPr>
      <w:r>
        <w:t xml:space="preserve">Model notation</w:t>
      </w:r>
    </w:p>
    <w:p>
      <w:pPr>
        <w:pStyle w:val="BodyText"/>
      </w:pPr>
      <w:r>
        <w:t xml:space="preserve">--------------------------------------------------------------------------------------------------------------------------------------- Symbol Meaning ----------------------------------- --------------------------------------------------------------------------------------------------- a An audit record</w:t>
      </w:r>
    </w:p>
    <w:p>
      <w:pPr>
        <w:pStyle w:val="BodyText"/>
      </w:pPr>
      <w:r>
        <w:t xml:space="preserve">m(a) Event metadata — actor, contact point, patient pseudonym, document category, legal basis, outcome</w:t>
      </w:r>
    </w:p>
    <w:p>
      <w:pPr>
        <w:pStyle w:val="BodyText"/>
      </w:pPr>
      <w:r>
        <w:t xml:space="preserve">p(a) Personal-data payload of the record</w:t>
      </w:r>
    </w:p>
    <w:p>
      <w:pPr>
        <w:pStyle w:val="BodyText"/>
      </w:pPr>
      <w:r>
        <w:t xml:space="preserve">c(a) Hiding commitment to the payload, c = Commit(p, r)</w:t>
      </w:r>
    </w:p>
    <w:p>
      <w:pPr>
        <w:pStyle w:val="BodyText"/>
      </w:pPr>
      <w:r>
        <w:t xml:space="preserve">r(a) Per-record commitment salt</w:t>
      </w:r>
    </w:p>
    <w:p>
      <w:pPr>
        <w:pStyle w:val="BodyText"/>
      </w:pPr>
      <w:r>
        <w:t xml:space="preserve">k(a) Payload key</w:t>
      </w:r>
    </w:p>
    <w:p>
      <w:pPr>
        <w:pStyle w:val="BodyText"/>
      </w:pPr>
      <w:r>
        <w:t xml:space="preserve">ι(a) Invalidation entry — month, legal ground, authorising actor</w:t>
      </w:r>
    </w:p>
    <w:p>
      <w:pPr>
        <w:pStyle w:val="BodyText"/>
      </w:pPr>
      <w:r>
        <w:t xml:space="preserve">t(a) Month in which the access event occurred</w:t>
      </w:r>
    </w:p>
    <w:p>
      <w:pPr>
        <w:pStyle w:val="BodyText"/>
      </w:pPr>
      <w:r>
        <w:t xml:space="preserve">F(a) Retention floor, in months (120 cross-border; 12 for SPE access logs)</w:t>
      </w:r>
    </w:p>
    <w:p>
      <w:pPr>
        <w:pStyle w:val="BodyText"/>
      </w:pPr>
      <w:r>
        <w:t xml:space="preserve">σ(a) Pathway: primary or secondary</w:t>
      </w:r>
    </w:p>
    <w:p>
      <w:pPr>
        <w:pStyle w:val="BodyText"/>
      </w:pPr>
      <w:r>
        <w:t xml:space="preserve">tᵣ(a) Month an erasure request arrives (∞ if none)</w:t>
      </w:r>
    </w:p>
    <w:p>
      <w:pPr>
        <w:pStyle w:val="BodyText"/>
      </w:pPr>
      <w:r>
        <w:t xml:space="preserve">tπ(a) Month a data permit expires (∞ if not applicable)</w:t>
      </w:r>
    </w:p>
    <w:p>
      <w:pPr>
        <w:pStyle w:val="BodyText"/>
      </w:pPr>
      <w:r>
        <w:t xml:space="preserve">tᴵ(a) Invalidation month, min(tᵣ + δ, tπ + 6)</w:t>
      </w:r>
    </w:p>
    <w:p>
      <w:pPr>
        <w:pStyle w:val="BodyText"/>
      </w:pPr>
      <w:r>
        <w:t xml:space="preserve">δ Erasure response period, in months (GDPR Art. 12(3))</w:t>
      </w:r>
    </w:p>
    <w:p>
      <w:pPr>
        <w:pStyle w:val="BodyText"/>
      </w:pPr>
      <w:r>
        <w:t xml:space="preserve">α(a, t) Payload accessibility at month t — 1 if recoverable, 0 otherwise</w:t>
      </w:r>
    </w:p>
    <w:p>
      <w:pPr>
        <w:pStyle w:val="BodyText"/>
      </w:pPr>
      <w:r>
        <w:t xml:space="preserve">V(a, t) Whether the record counts as verifiable at month t</w:t>
      </w:r>
    </w:p>
    <w:p>
      <w:pPr>
        <w:pStyle w:val="BodyText"/>
      </w:pPr>
      <w:r>
        <w:t xml:space="preserve">Vᴵ, Vᴵᴵ Verifiability under Semantics I (plaintext) and Semantics II (accountability-preserving)</w:t>
      </w:r>
    </w:p>
    <w:p>
      <w:pPr>
        <w:pStyle w:val="BodyText"/>
      </w:pPr>
      <w:r>
        <w:t xml:space="preserve">C1, C2, C3 Retention floor, erasure right, and deletion ceiling constraints ---------------------------------------------------------------------------------------------------------------------------------------</w:t>
      </w:r>
    </w:p>
    <w:p>
      <w:pPr>
        <w:pStyle w:val="BodyText"/>
      </w:pPr>
      <w:r>
        <w:t xml:space="preserve">Abbreviations</w:t>
      </w:r>
    </w:p>
    <w:p>
      <w:pPr>
        <w:pStyle w:val="BodyText"/>
      </w:pPr>
      <w:r>
        <w:t xml:space="preserve">--------------------------------------------------------------------------------------------------- Term Expansion ----------------------------------- --------------------------------------------------------------- ATNA Audit Trail and Node Authentication (IHE integration profile)</w:t>
      </w:r>
    </w:p>
    <w:p>
      <w:pPr>
        <w:pStyle w:val="BodyText"/>
      </w:pPr>
      <w:r>
        <w:t xml:space="preserve">CEF Coordinated Enforcement Framework (EDPB)</w:t>
      </w:r>
    </w:p>
    <w:p>
      <w:pPr>
        <w:pStyle w:val="BodyText"/>
      </w:pPr>
      <w:r>
        <w:t xml:space="preserve">DSR Design Science Research</w:t>
      </w:r>
    </w:p>
    <w:p>
      <w:pPr>
        <w:pStyle w:val="BodyText"/>
      </w:pPr>
      <w:r>
        <w:t xml:space="preserve">EDPB European Data Protection Board</w:t>
      </w:r>
    </w:p>
    <w:p>
      <w:pPr>
        <w:pStyle w:val="BodyText"/>
      </w:pPr>
      <w:r>
        <w:t xml:space="preserve">EEA European Economic Area</w:t>
      </w:r>
    </w:p>
    <w:p>
      <w:pPr>
        <w:pStyle w:val="BodyText"/>
      </w:pPr>
      <w:r>
        <w:t xml:space="preserve">EEHRxF European Electronic Health Record Exchange Format</w:t>
      </w:r>
    </w:p>
    <w:p>
      <w:pPr>
        <w:pStyle w:val="BodyText"/>
      </w:pPr>
      <w:r>
        <w:t xml:space="preserve">eHDSI eHealth Digital Service Infrastructure</w:t>
      </w:r>
    </w:p>
    <w:p>
      <w:pPr>
        <w:pStyle w:val="BodyText"/>
      </w:pPr>
      <w:r>
        <w:t xml:space="preserve">eHMSEG eHealth Member States Expert Group</w:t>
      </w:r>
    </w:p>
    <w:p>
      <w:pPr>
        <w:pStyle w:val="BodyText"/>
      </w:pPr>
      <w:r>
        <w:t xml:space="preserve">eHOMB eHealth Operational Management Board</w:t>
      </w:r>
    </w:p>
    <w:p>
      <w:pPr>
        <w:pStyle w:val="BodyText"/>
      </w:pPr>
      <w:r>
        <w:t xml:space="preserve">EHDS European Health Data Space</w:t>
      </w:r>
    </w:p>
    <w:p>
      <w:pPr>
        <w:pStyle w:val="BodyText"/>
      </w:pPr>
      <w:r>
        <w:t xml:space="preserve">FHIR Fast Healthcare Interoperability Resources (HL7)</w:t>
      </w:r>
    </w:p>
    <w:p>
      <w:pPr>
        <w:pStyle w:val="BodyText"/>
      </w:pPr>
      <w:r>
        <w:t xml:space="preserve">GDPR General Data Protection Regulation (EU) 2016/679</w:t>
      </w:r>
    </w:p>
    <w:p>
      <w:pPr>
        <w:pStyle w:val="BodyText"/>
      </w:pPr>
      <w:r>
        <w:t xml:space="preserve">HDAB Health Data Access Body</w:t>
      </w:r>
    </w:p>
    <w:p>
      <w:pPr>
        <w:pStyle w:val="BodyText"/>
      </w:pPr>
      <w:r>
        <w:t xml:space="preserve">HSM Hardware Security Module</w:t>
      </w:r>
    </w:p>
    <w:p>
      <w:pPr>
        <w:pStyle w:val="BodyText"/>
      </w:pPr>
      <w:r>
        <w:t xml:space="preserve">IHE Integrating the Healthcare Enterprise</w:t>
      </w:r>
    </w:p>
    <w:p>
      <w:pPr>
        <w:pStyle w:val="BodyText"/>
      </w:pPr>
      <w:r>
        <w:t xml:space="preserve">NCPeH National Contact Point for eHealth</w:t>
      </w:r>
    </w:p>
    <w:p>
      <w:pPr>
        <w:pStyle w:val="BodyText"/>
      </w:pPr>
      <w:r>
        <w:t xml:space="preserve">NHN Norsk Helsenett SF</w:t>
      </w:r>
    </w:p>
    <w:p>
      <w:pPr>
        <w:pStyle w:val="BodyText"/>
      </w:pPr>
      <w:r>
        <w:t xml:space="preserve">NIST National Institute of Standards and Technology (US)</w:t>
      </w:r>
    </w:p>
    <w:p>
      <w:pPr>
        <w:pStyle w:val="BodyText"/>
      </w:pPr>
      <w:r>
        <w:t xml:space="preserve">NORTRE Norwegian Trusted Research Environments</w:t>
      </w:r>
    </w:p>
    <w:p>
      <w:pPr>
        <w:pStyle w:val="BodyText"/>
      </w:pPr>
      <w:r>
        <w:t xml:space="preserve">OpenNCP Open National Contact Point software stack</w:t>
      </w:r>
    </w:p>
    <w:p>
      <w:pPr>
        <w:pStyle w:val="BodyText"/>
      </w:pPr>
      <w:r>
        <w:t xml:space="preserve">PoSE Proof of Secure Erasure</w:t>
      </w:r>
    </w:p>
    <w:p>
      <w:pPr>
        <w:pStyle w:val="BodyText"/>
      </w:pPr>
      <w:r>
        <w:t xml:space="preserve">SoK Systematization of Knowledge</w:t>
      </w:r>
    </w:p>
    <w:p>
      <w:pPr>
        <w:pStyle w:val="BodyText"/>
      </w:pPr>
      <w:r>
        <w:t xml:space="preserve">SPE Secure Processing Environment</w:t>
      </w:r>
    </w:p>
    <w:p>
      <w:pPr>
        <w:pStyle w:val="BodyText"/>
      </w:pPr>
      <w:r>
        <w:t xml:space="preserve">SPUHiN Secure Provision and Use of Health Data in Norway (project)</w:t>
      </w:r>
    </w:p>
    <w:p>
      <w:pPr>
        <w:pStyle w:val="BodyText"/>
      </w:pPr>
      <w:r>
        <w:t xml:space="preserve">TEHDAS2 Towards European Health Data Space, Joint Action 2</w:t>
      </w:r>
    </w:p>
    <w:p>
      <w:pPr>
        <w:pStyle w:val="BodyText"/>
      </w:pPr>
      <w:r>
        <w:t xml:space="preserve">TRF Tri-Lateral Retention Feasibility (Model)</w:t>
      </w:r>
    </w:p>
    <w:p>
      <w:pPr>
        <w:pStyle w:val="BodyText"/>
      </w:pPr>
      <w:r>
        <w:t xml:space="preserve">zk-SNARK Zero-Knowledge Succinct Non-Interactive Argument of Knowledge ---------------------------------------------------------------------------------------------------</w:t>
      </w:r>
    </w:p>
    <w:p>
      <w:pPr>
        <w:pStyle w:val="BodyText"/>
      </w:pPr>
      <w:r>
        <w:t xml:space="preserve">A note on the project name. 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pPr>
        <w:pStyle w:val="Heading1"/>
        <w:rPr>
          <w:ins w:id="54" w:author="Arshad Akhtar Abbasia" w:date="2026-10-04T12:00:00Z"/>
        </w:rPr>
      </w:pPr>
      <w:ins w:id="55" w:author="Arshad Akhtar Abbasia" w:date="2026-10-04T12:00:00Z">
        <w:r>
          <w:t xml:space="preserve">Chapter 1. Introduction</w:t>
        </w:r>
      </w:ins>
    </w:p>
    <w:p>
      <w:pPr>
        <w:pStyle w:val="Heading2"/>
        <w:rPr>
          <w:ins w:id="56" w:author="Arshad Akhtar Abbasia" w:date="2026-10-04T12:00:00Z"/>
        </w:rPr>
      </w:pPr>
      <w:ins w:id="57" w:author="Arshad Akhtar Abbasia" w:date="2026-10-04T12:00:00Z">
        <w:r>
          <w:t xml:space="preserve">1.1 Background and Context</w:t>
        </w:r>
      </w:ins>
    </w:p>
    <w:p>
      <w:pPr>
        <w:pStyle w:val="BodyText"/>
        <w:rPr>
          <w:del w:id="58" w:author="Arshad Akhtar Abbasia" w:date="2026-10-04T12:00:00Z"/>
        </w:rPr>
      </w:pPr>
      <w:del w:id="59" w:author="Arshad Akhtar Abbasia" w:date="2026-10-04T12:00:00Z">
        <w:r>
          <w:delText xml:space="preserve">Version and Change Record</w:delText>
        </w:r>
      </w:del>
    </w:p>
    <w:p>
      <w:pPr>
        <w:pStyle w:val="BodyText"/>
        <w:rPr>
          <w:del w:id="60" w:author="Arshad Akhtar Abbasia" w:date="2026-10-04T12:00:00Z"/>
        </w:rPr>
      </w:pPr>
      <w:del w:id="61" w:author="Arshad Akhtar Abbasia" w:date="2026-10-04T12:00:00Z">
        <w:r>
          <w:delText xml:space="preserve">This thesis and its artefact are versioned together. The table records what changed, when, and what verified it, so that a reader comparing the document against the published repository can tell which of the two moved if a figure disagrees. The full trail, with an identifier for every individual change, is maintained alongside the artefact.</w:delText>
        </w:r>
      </w:del>
    </w:p>
    <w:p>
      <w:pPr>
        <w:pStyle w:val="BodyText"/>
        <w:rPr>
          <w:del w:id="62" w:author="Arshad Akhtar Abbasia" w:date="2026-10-04T12:00:00Z"/>
        </w:rPr>
      </w:pPr>
      <w:del w:id="63" w:author="Arshad Akhtar Abbasia" w:date="2026-10-04T12:00:00Z">
        <w:r>
          <w:delText xml:space="preserve">Table F.1. Document and artefact versions</w:delText>
        </w:r>
      </w:del>
    </w:p>
    <w:p>
      <w:pPr>
        <w:pStyle w:val="BodyText"/>
        <w:rPr>
          <w:del w:id="64" w:author="Arshad Akhtar Abbasia" w:date="2026-10-04T12:00:00Z"/>
        </w:rPr>
      </w:pPr>
      <w:del w:id="65" w:author="Arshad Akhtar Abbasia" w:date="2026-10-04T12:00:00Z">
        <w:r>
          <w:delText xml:space="preserve">------------------------------------------------------------------------------------------------------------------------------------------------------------------------------------------------------------------------------------------------------------------------------------------------------------------------------------------------------------------------------------------------------------------------------------------------------- Date           Document                                                       Artefact                                                                   What changed                                                                                                                                                     Verification -------------- -------------------------------------------------------------- -------------------------------------------------------------------------- ---------------------------------------------------------------------------------------------------------------------------------------------------------------- ----------------------------------------------------------------------------------------------------------------------------- 16 Sept 2026   Chapters 1–7 assembled                                         trf_checker.py, synthea_layer.py                                           First complete draft; the checker and the realism layer written and run                                                                                          Checker output recorded</w:delText>
        </w:r>
      </w:del>
    </w:p>
    <w:p>
      <w:pPr>
        <w:pStyle w:val="BodyText"/>
        <w:rPr>
          <w:del w:id="66" w:author="Arshad Akhtar Abbasia" w:date="2026-10-04T12:00:00Z"/>
        </w:rPr>
      </w:pPr>
      <w:del w:id="67" w:author="Arshad Akhtar Abbasia" w:date="2026-10-04T12:00:00Z">
        <w:r>
          <w:delText xml:space="preserve">18 Sept 2026   Appendix A written                                             —                                                                          Provenance of the synthetic cohort established by inspecting the bundles rather than by recollection                                                             Six Synthea markers confirmed in every bundle</w:delText>
        </w:r>
      </w:del>
    </w:p>
    <w:p>
      <w:pPr>
        <w:pStyle w:val="BodyText"/>
        <w:rPr>
          <w:del w:id="68" w:author="Arshad Akhtar Abbasia" w:date="2026-10-04T12:00:00Z"/>
        </w:rPr>
      </w:pPr>
      <w:del w:id="69" w:author="Arshad Akhtar Abbasia" w:date="2026-10-04T12:00:00Z">
        <w:r>
          <w:delText xml:space="preserve">19 Sept 2026   §5.5a added                                                    --delta-witness added                                                      The erasure response period tested at δ = 3 rather than asserted                                                                                                 Table 5.2a produced by execution</w:delText>
        </w:r>
      </w:del>
    </w:p>
    <w:p>
      <w:pPr>
        <w:pStyle w:val="BodyText"/>
        <w:rPr>
          <w:del w:id="70" w:author="Arshad Akhtar Abbasia" w:date="2026-10-04T12:00:00Z"/>
        </w:rPr>
      </w:pPr>
      <w:del w:id="71" w:author="Arshad Akhtar Abbasia" w:date="2026-10-04T12:00:00Z">
        <w:r>
          <w:delText xml:space="preserve">21 Sept 2026   §4.8 terminal transition; mathematics to LaTeX                 Salt destroyed with the key                                                A reviewer-found gap at the end of the record’s life closed; 159 equations converted                                                                             Checker output unchanged, byte for byte</w:delText>
        </w:r>
      </w:del>
    </w:p>
    <w:p>
      <w:pPr>
        <w:pStyle w:val="BodyText"/>
        <w:rPr>
          <w:del w:id="72" w:author="Arshad Akhtar Abbasia" w:date="2026-10-04T12:00:00Z"/>
        </w:rPr>
      </w:pPr>
      <w:del w:id="73" w:author="Arshad Akhtar Abbasia" w:date="2026-10-04T12:00:00Z">
        <w:r>
          <w:delText xml:space="preserve">23 Sept 2026   —                                                              Repository published                                                       Code and documents pushed to GitHub; demonstration deployed                                                                                                      —</w:delText>
        </w:r>
      </w:del>
    </w:p>
    <w:p>
      <w:pPr>
        <w:pStyle w:val="BodyText"/>
        <w:rPr>
          <w:del w:id="74" w:author="Arshad Akhtar Abbasia" w:date="2026-10-04T12:00:00Z"/>
        </w:rPr>
      </w:pPr>
      <w:del w:id="75" w:author="Arshad Akhtar Abbasia" w:date="2026-10-04T12:00:00Z">
        <w:r>
          <w:delText xml:space="preserve">28 Sept 2026   §5.2 line counts corrected; §6.9a added; Appendix A extended   Eight-bundle subset committed; Tab 5 added; five recorded runs committed   The dataset the thesis reports on made obtainable; the two robustness results given a viewer; the cross-sector instance carried into the discussion              Verified from a fresh clone: checker byte-identical to its recorded run, realism layer 891 bytes and six identical measures</w:delText>
        </w:r>
      </w:del>
    </w:p>
    <w:p>
      <w:pPr>
        <w:pStyle w:val="BodyText"/>
        <w:rPr>
          <w:del w:id="76" w:author="Arshad Akhtar Abbasia" w:date="2026-10-04T12:00:00Z"/>
        </w:rPr>
      </w:pPr>
      <w:del w:id="77" w:author="Arshad Akhtar Abbasia" w:date="2026-10-04T12:00:00Z">
        <w:r>
          <w:delText xml:space="preserve">28 Sept 2026   Bibliography linked                                            —                                                                          Every entry given a DOI or URL that was fetched; two entries removed as documents that do not exist as cited; six citations corrected on year, title or author   67 of 67 entries carry a locator -------------------------------------------------------------------------------------------------------------------------------------------------------------------------------------------------------------------------------------------------------------------------------------------------------------------------------------------------------------------------------------------------------------------------------------------------------</w:delText>
        </w:r>
      </w:del>
    </w:p>
    <w:p>
      <w:pPr>
        <w:pStyle w:val="BodyText"/>
        <w:rPr>
          <w:del w:id="78" w:author="Arshad Akhtar Abbasia" w:date="2026-10-04T12:00:00Z"/>
        </w:rPr>
      </w:pPr>
      <w:del w:id="79" w:author="Arshad Akhtar Abbasia" w:date="2026-10-04T12:00:00Z">
        <w:r>
          <w:delText xml:space="preserve">Table F.2. The artefact at the date of submission</w:delText>
        </w:r>
      </w:del>
    </w:p>
    <w:p>
      <w:pPr>
        <w:pStyle w:val="BodyText"/>
        <w:rPr>
          <w:del w:id="80" w:author="Arshad Akhtar Abbasia" w:date="2026-10-04T12:00:00Z"/>
        </w:rPr>
      </w:pPr>
      <w:del w:id="81" w:author="Arshad Akhtar Abbasia" w:date="2026-10-04T12:00:00Z">
        <w:r>
          <w:delText xml:space="preserve">------------------------------------------------------------------------- Module                  Lines    Reports a thesis figure? ----------------------- -------- ---------------------------------------- trf_checker.py          363      Yes — Tables 5.1, 5.2a, 5.3</w:delText>
        </w:r>
      </w:del>
    </w:p>
    <w:p>
      <w:pPr>
        <w:pStyle w:val="BodyText"/>
        <w:rPr>
          <w:del w:id="82" w:author="Arshad Akhtar Abbasia" w:date="2026-10-04T12:00:00Z"/>
        </w:rPr>
      </w:pPr>
      <w:del w:id="83" w:author="Arshad Akhtar Abbasia" w:date="2026-10-04T12:00:00Z">
        <w:r>
          <w:delText xml:space="preserve">synthea_layer.py        152      Yes — Table 5.4</w:delText>
        </w:r>
      </w:del>
    </w:p>
    <w:p>
      <w:pPr>
        <w:pStyle w:val="BodyText"/>
        <w:rPr>
          <w:del w:id="84" w:author="Arshad Akhtar Abbasia" w:date="2026-10-04T12:00:00Z"/>
        </w:rPr>
      </w:pPr>
      <w:del w:id="85" w:author="Arshad Akhtar Abbasia" w:date="2026-10-04T12:00:00Z">
        <w:r>
          <w:delText xml:space="preserve">norwegian_layer.py      135      No — illustrative</w:delText>
        </w:r>
      </w:del>
    </w:p>
    <w:p>
      <w:pPr>
        <w:pStyle w:val="BodyText"/>
        <w:rPr>
          <w:del w:id="86" w:author="Arshad Akhtar Abbasia" w:date="2026-10-04T12:00:00Z"/>
        </w:rPr>
      </w:pPr>
      <w:del w:id="87" w:author="Arshad Akhtar Abbasia" w:date="2026-10-04T12:00:00Z">
        <w:r>
          <w:delText xml:space="preserve">cross_sector_check.py   110      No — illustrative, discussed at §6.9a</w:delText>
        </w:r>
      </w:del>
    </w:p>
    <w:p>
      <w:pPr>
        <w:pStyle w:val="BodyText"/>
        <w:rPr>
          <w:del w:id="88" w:author="Arshad Akhtar Abbasia" w:date="2026-10-04T12:00:00Z"/>
        </w:rPr>
      </w:pPr>
      <w:del w:id="89" w:author="Arshad Akhtar Abbasia" w:date="2026-10-04T12:00:00Z">
        <w:r>
          <w:delText xml:space="preserve">app.py                  526      No — a viewer, never a source -------------------------------------------------------------------------</w:delText>
        </w:r>
      </w:del>
    </w:p>
    <w:p>
      <w:pPr>
        <w:pStyle w:val="BodyText"/>
        <w:rPr>
          <w:del w:id="90" w:author="Arshad Akhtar Abbasia" w:date="2026-10-04T12:00:00Z"/>
        </w:rPr>
      </w:pPr>
      <w:del w:id="91" w:author="Arshad Akhtar Abbasia" w:date="2026-10-04T12:00:00Z">
        <w:r>
          <w:delText xml:space="preserve">Repository: https://github.com/Astheno-sphere/TRF · Demonstration: https://trfhimolde.streamlit.app/</w:delText>
        </w:r>
      </w:del>
    </w:p>
    <w:p>
      <w:pPr>
        <w:pStyle w:val="BodyText"/>
        <w:rPr>
          <w:del w:id="92" w:author="Arshad Akhtar Abbasia" w:date="2026-10-04T12:00:00Z"/>
        </w:rPr>
      </w:pPr>
      <w:del w:id="93" w:author="Arshad Akhtar Abbasia" w:date="2026-10-04T12:00:00Z">
        <w:r>
          <w:delText xml:space="preserve">Published commits, most recent first:</w:delText>
        </w:r>
      </w:del>
    </w:p>
    <w:p>
      <w:pPr>
        <w:pStyle w:val="BodyText"/>
        <w:rPr>
          <w:del w:id="94" w:author="Arshad Akhtar Abbasia" w:date="2026-10-04T12:00:00Z"/>
        </w:rPr>
      </w:pPr>
      <w:del w:id="95" w:author="Arshad Akhtar Abbasia" w:date="2026-10-04T12:00:00Z">
        <w:r>
          <w:delText xml:space="preserve">0d855a7  28 Sep 2026  Add Tab 5 robustness checks and a recorded run per command 88840a6  28 Sep 2026  Record R-09 to R-11 and refresh checksums cc0d7f3  28 Sep 2026  Appendix A: drop the norwegian/ path prefix d79b96f  28 Sep 2026  Ship the Synthea subset and repair the flattened upload 03048f2  23 Sep 2026  Add files via upload</w:delText>
        </w:r>
      </w:del>
    </w:p>
    <w:p>
      <w:pPr>
        <w:pStyle w:val="BodyText"/>
        <w:rPr>
          <w:del w:id="96" w:author="Arshad Akhtar Abbasia" w:date="2026-10-04T12:00:00Z"/>
        </w:rPr>
      </w:pPr>
      <w:del w:id="97" w:author="Arshad Akhtar Abbasia" w:date="2026-10-04T12:00:00Z">
        <w:r>
          <w:delText xml:space="preserve">Two corrections are recorded here because they were made against the thesis’s own earlier claims rather than in response to a reviewer. An inference dating a source from the age of its web page was withdrawn, the page being updated in place and its age therefore saying nothing about its contents. And a statement that the artefact’s code carried a comment recommending a cryptographically secure random source was removed, no such comment existing; the salt’s reproducibility-only status is now stated directly instead.</w:delText>
        </w:r>
      </w:del>
    </w:p>
    <w:p>
      <w:pPr>
        <w:pStyle w:val="BodyText"/>
        <w:rPr>
          <w:del w:id="98" w:author="Arshad Akhtar Abbasia" w:date="2026-10-04T12:00:00Z"/>
        </w:rPr>
      </w:pPr>
      <w:del w:id="99" w:author="Arshad Akhtar Abbasia" w:date="2026-10-04T12:00:00Z">
        <w:r>
          <w:delText xml:space="preserve">Introduction</w:delText>
        </w:r>
      </w:del>
    </w:p>
    <w:p>
      <w:pPr>
        <w:pStyle w:val="BodyText"/>
        <w:rPr>
          <w:del w:id="100" w:author="Arshad Akhtar Abbasia" w:date="2026-10-04T12:00:00Z"/>
        </w:rPr>
      </w:pPr>
      <w:del w:id="101" w:author="Arshad Akhtar Abbasia" w:date="2026-10-04T12:00:00Z">
        <w:r>
          <w:delText xml:space="preserve">Background and Context</w:delText>
        </w:r>
      </w:del>
    </w:p>
    <w:p>
      <w:pPr>
        <w:pStyle w:val="BodyText"/>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rPr>
          <w:ins w:id="102" w:author="Arshad Akhtar Abbasia" w:date="2026-10-04T12:00:00Z"/>
        </w:rPr>
      </w:pPr>
      <w:ins w:id="103" w:author="Arshad Akhtar Abbasia" w:date="2026-10-04T12:00:00Z">
        <w:r>
          <w:t xml:space="preserve">Norway’s integration with MyHealth@EU is operational but deliberately narrow: a pilot run by the Norwegian Directorate of Health and the Norwegian Health Network receives patient summaries at two emergency clinics, and no relevant patients had yet presented when the Directorate last reported (Helsedirektoratet, 2026; Chapter 2, Section 2.2 gives the details). As Norway is an EEA member rather than a Member State, EHDS implementation runs through the EEA Joint Committee, and Helsedirektoratet delivered its formal EHDS gap analysis on 11 April 2025 (Helsedirektoratet, n.d.). The cross-border audit records with which this thesis is concerned are therefore beginning to be generated in Norwegian production, on live infrastructure, in small numbers.</w:t>
        </w:r>
      </w:ins>
    </w:p>
    <w:p>
      <w:pPr>
        <w:pStyle w:val="BodyText"/>
        <w:rPr>
          <w:del w:id="104" w:author="Arshad Akhtar Abbasia" w:date="2026-10-04T12:00:00Z"/>
        </w:rPr>
      </w:pPr>
      <w:del w:id="105" w:author="Arshad Akhtar Abbasia" w:date="2026-10-04T12:00:00Z">
        <w:r>
          <w:delText xml:space="preserve">Norway’s integration with MyHealth@EU is no longer prospective but operational, though its scope remains deliberately narrow. The Norwegian connection project has been coordinated jointly by the Norwegian Directorate of Health (Helsedirektoratet) and the Norwegian Health Network (Norsk Helsenett SF) since January 2023, with a planned duration of 41 months. It has taken its pilot live at the emergency clinics (legevakter) in Bodø and Stjørdal, connected to Portugal, Czechia, and Finland for the receipt of patient summaries concerning citizens of those states who require care in Norway. The Bodø and Stjørdal clinics are in production with Czechia and Portugal, and emergency clinics in Trondheim and Ålesund operating on Helseplattformen have requested the service for the next stage of expansion (Helsedirektoratet, 2026). In 2026 the project began its next stage, establishing NCP-A, the contact point through which Norwegian health data will be shared with other participating states (Helsedirektoratet, 2026). Two qualifications are material and are recorded rather than elided. The pilot is live in the sense that the infrastructure is in production, and the legal basis, privacy notices, and data protection impact assessment were completed by 31 March 2025. But the Directorate’s own portfolio reporting notes that no relevant patients had yet presented for the solution to be used in practice, so the volume of genuine cross-border audit records generated in Norway to date is minimal. Infrastructure for receiving ePrescriptions from other EU and EEA states has been planned and developed but is not yet in use. Norway’s scenario of implementing ePrescription without the corresponding eDispensation service required the approval of the other participating states and was carried as a change proposal to the requirement catalogue, approved and decided in the eHealth Operational Management Board on 12 March (Helsedirektoratet, 2026). As Norway is not a Member State of the European Union but an EEA member, EHDS implementation is being processed through the EEA Joint Committee, with Helsedirektoratet having delivered its formal EHDS gap analysis on 11 April 2025 (Helsedirektoratet, n.d.). The cross-border audit records with which this thesis is concerned are therefore beginning to be generated in Norwegian production, on infrastructure that is live rather than hypothetical, even though the present volume is small.</w:delText>
        </w:r>
      </w:del>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w:t>
      </w:r>
      <w:del w:id="106" w:author="Arshad Akhtar Abbasia" w:date="2026-10-04T12:00:00Z">
        <w:r>
          <w:delText xml:space="preserve">must </w:delText>
        </w:r>
      </w:del>
      <w:ins w:id="107" w:author="Arshad Akhtar Abbasia" w:date="2026-10-04T12:00:00Z">
        <w:r>
          <w:t xml:space="preserve">are reported to </w:t>
        </w:r>
      </w:ins>
      <w:r>
        <w:t xml:space="preserve">retain their logs for a minimum of ten years (Simjanoska Misheva et al., 2025; IHE International, </w:t>
      </w:r>
      <w:del w:id="108" w:author="Arshad Akhtar Abbasia" w:date="2026-10-04T12:00:00Z">
        <w:r>
          <w:delText xml:space="preserve">2023). </w:delText>
        </w:r>
      </w:del>
      <w:ins w:id="109" w:author="Arshad Akhtar Abbasia" w:date="2026-10-04T12:00:00Z">
        <w:r>
          <w:t xml:space="preserve">2023), a figure this thesis could not confirm in a primary document and treats as illustrative (Chapter 2, Section 2.3). </w:t>
        </w:r>
      </w:ins>
      <w:r>
        <w:t xml:space="preserve">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w:t>
      </w:r>
      <w:del w:id="110" w:author="Arshad Akhtar Abbasia" w:date="2026-10-04T12:00:00Z">
        <w:r>
          <w:delText xml:space="preserve">personal </w:delText>
        </w:r>
      </w:del>
      <w:ins w:id="111" w:author="Arshad Akhtar Abbasia" w:date="2026-10-04T12:00:00Z">
        <w:r>
          <w:t xml:space="preserve">the electronic health </w:t>
        </w:r>
      </w:ins>
      <w:r>
        <w:t xml:space="preserve">data </w:t>
      </w:r>
      <w:del w:id="112" w:author="Arshad Akhtar Abbasia" w:date="2026-10-04T12:00:00Z">
        <w:r>
          <w:delText xml:space="preserve">must be deleted from </w:delText>
        </w:r>
      </w:del>
      <w:ins w:id="113" w:author="Arshad Akhtar Abbasia" w:date="2026-10-04T12:00:00Z">
        <w:r>
          <w:t xml:space="preserve">in </w:t>
        </w:r>
      </w:ins>
      <w:r>
        <w:t xml:space="preserve">a Secure Processing Environment </w:t>
      </w:r>
      <w:ins w:id="114" w:author="Arshad Akhtar Abbasia" w:date="2026-10-04T12:00:00Z">
        <w:r>
          <w:t xml:space="preserve">must be deleted </w:t>
        </w:r>
      </w:ins>
      <w:r>
        <w:t xml:space="preserve">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w:t>
      </w:r>
      <w:del w:id="115" w:author="Arshad Akhtar Abbasia" w:date="2026-10-04T12:00:00Z">
        <w:r>
          <w:delText xml:space="preserve">that </w:delText>
        </w:r>
      </w:del>
      <w:ins w:id="116" w:author="Arshad Akhtar Abbasia" w:date="2026-10-04T12:00:00Z">
        <w:r>
          <w:t xml:space="preserve">of every </w:t>
        </w:r>
      </w:ins>
      <w:r>
        <w:t xml:space="preserve">Secure Processing </w:t>
      </w:r>
      <w:del w:id="117" w:author="Arshad Akhtar Abbasia" w:date="2026-10-04T12:00:00Z">
        <w:r>
          <w:delText xml:space="preserve">Environments keep </w:delText>
        </w:r>
      </w:del>
      <w:ins w:id="118" w:author="Arshad Akhtar Abbasia" w:date="2026-10-04T12:00:00Z">
        <w:r>
          <w:t xml:space="preserve">Environment “the keeping of </w:t>
        </w:r>
      </w:ins>
      <w:r>
        <w:t xml:space="preserve">identifiable logs of access to and activities </w:t>
      </w:r>
      <w:del w:id="119" w:author="Arshad Akhtar Abbasia" w:date="2026-10-04T12:00:00Z">
        <w:r>
          <w:delText xml:space="preserve">within </w:delText>
        </w:r>
      </w:del>
      <w:ins w:id="120" w:author="Arshad Akhtar Abbasia" w:date="2026-10-04T12:00:00Z">
        <w:r>
          <w:t xml:space="preserve">in </w:t>
        </w:r>
      </w:ins>
      <w:r>
        <w:t xml:space="preserve">the </w:t>
      </w:r>
      <w:ins w:id="121" w:author="Arshad Akhtar Abbasia" w:date="2026-10-04T12:00:00Z">
        <w:r>
          <w:t xml:space="preserve">secure processing </w:t>
        </w:r>
      </w:ins>
      <w:r>
        <w:t xml:space="preserve">environment for the period necessary to verify and audit all processing </w:t>
      </w:r>
      <w:del w:id="122" w:author="Arshad Akhtar Abbasia" w:date="2026-10-04T12:00:00Z">
        <w:r>
          <w:delText xml:space="preserve">operations, and </w:delText>
        </w:r>
      </w:del>
      <w:ins w:id="123" w:author="Arshad Akhtar Abbasia" w:date="2026-10-04T12:00:00Z">
        <w:r>
          <w:t xml:space="preserve">operations in </w:t>
        </w:r>
      </w:ins>
      <w:r>
        <w:t xml:space="preserve">that </w:t>
      </w:r>
      <w:ins w:id="124" w:author="Arshad Akhtar Abbasia" w:date="2026-10-04T12:00:00Z">
        <w:r>
          <w:t xml:space="preserve">environment; </w:t>
        </w:r>
      </w:ins>
      <w:r>
        <w:t xml:space="preserve">logs of access </w:t>
      </w:r>
      <w:ins w:id="125" w:author="Arshad Akhtar Abbasia" w:date="2026-10-04T12:00:00Z">
        <w:r>
          <w:t xml:space="preserve">shall </w:t>
        </w:r>
      </w:ins>
      <w:r>
        <w:t xml:space="preserve">be kept for at least one </w:t>
      </w:r>
      <w:del w:id="126" w:author="Arshad Akhtar Abbasia" w:date="2026-10-04T12:00:00Z">
        <w:r>
          <w:delText xml:space="preserve">year </w:delText>
        </w:r>
      </w:del>
      <w:ins w:id="127" w:author="Arshad Akhtar Abbasia" w:date="2026-10-04T12:00:00Z">
        <w:r>
          <w:t xml:space="preserve">year” </w:t>
        </w:r>
      </w:ins>
      <w:r>
        <w:t xml:space="preserve">(European Parliament and Council of the European Union, 2025). </w:t>
      </w:r>
      <w:del w:id="128" w:author="Arshad Akhtar Abbasia" w:date="2026-10-04T12:00:00Z">
        <w:r>
          <w:delText xml:space="preserve">Identifiable access logs are personal data, and they are data within the environment. Chapter 4, Section 4.6 defends a reading of </w:delText>
        </w:r>
      </w:del>
      <w:r>
        <w:t xml:space="preserve">Article 68(12) </w:t>
      </w:r>
      <w:del w:id="129" w:author="Arshad Akhtar Abbasia" w:date="2026-10-04T12:00:00Z">
        <w:r>
          <w:delText xml:space="preserve">under which the provision governs the </w:delText>
        </w:r>
      </w:del>
      <w:ins w:id="130" w:author="Arshad Akhtar Abbasia" w:date="2026-10-04T12:00:00Z">
        <w:r>
          <w:t xml:space="preserve">provides that “the electronic health </w:t>
        </w:r>
      </w:ins>
      <w:r>
        <w:t xml:space="preserve">data within the secure processing environment </w:t>
      </w:r>
      <w:del w:id="131" w:author="Arshad Akhtar Abbasia" w:date="2026-10-04T12:00:00Z">
        <w:r>
          <w:delText xml:space="preserve">rather than only </w:delText>
        </w:r>
      </w:del>
      <w:ins w:id="132" w:author="Arshad Akhtar Abbasia" w:date="2026-10-04T12:00:00Z">
        <w:r>
          <w:t xml:space="preserve">shall be deleted within six months of </w:t>
        </w:r>
      </w:ins>
      <w:r>
        <w:t xml:space="preserve">the </w:t>
      </w:r>
      <w:del w:id="133" w:author="Arshad Akhtar Abbasia" w:date="2026-10-04T12:00:00Z">
        <w:r>
          <w:delText xml:space="preserve">dataset supplied under </w:delText>
        </w:r>
      </w:del>
      <w:ins w:id="134" w:author="Arshad Akhtar Abbasia" w:date="2026-10-04T12:00:00Z">
        <w:r>
          <w:t xml:space="preserve">expiry of </w:t>
        </w:r>
      </w:ins>
      <w:r>
        <w:t xml:space="preserve">the </w:t>
      </w:r>
      <w:del w:id="135" w:author="Arshad Akhtar Abbasia" w:date="2026-10-04T12:00:00Z">
        <w:r>
          <w:delText xml:space="preserve">permit. </w:delText>
        </w:r>
      </w:del>
      <w:ins w:id="136" w:author="Arshad Akhtar Abbasia" w:date="2026-10-04T12:00:00Z">
        <w:r>
          <w:t xml:space="preserve">data permit”. Where an environment logs access at patient-record granularity, an entry linking a patient’s record to an access is itself electronic health data within the environment. </w:t>
        </w:r>
      </w:ins>
      <w:r>
        <w:t xml:space="preserve">On </w:t>
      </w:r>
      <w:del w:id="137" w:author="Arshad Akhtar Abbasia" w:date="2026-10-04T12:00:00Z">
        <w:r>
          <w:delText xml:space="preserve">that reading, </w:delText>
        </w:r>
      </w:del>
      <w:ins w:id="138" w:author="Arshad Akhtar Abbasia" w:date="2026-10-04T12:00:00Z">
        <w:r>
          <w:t xml:space="preserve">the broad reading set out in Chapter 4, Section 4.6, </w:t>
        </w:r>
      </w:ins>
      <w:r>
        <w:t xml:space="preserve">the Regulation </w:t>
      </w:r>
      <w:ins w:id="139" w:author="Arshad Akhtar Abbasia" w:date="2026-10-04T12:00:00Z">
        <w:r>
          <w:t xml:space="preserve">then </w:t>
        </w:r>
      </w:ins>
      <w:r>
        <w:t xml:space="preserve">requires of a single environment that </w:t>
      </w:r>
      <w:ins w:id="140" w:author="Arshad Akhtar Abbasia" w:date="2026-10-04T12:00:00Z">
        <w:r>
          <w:t xml:space="preserve">such </w:t>
        </w:r>
      </w:ins>
      <w:r>
        <w:t xml:space="preserve">data be </w:t>
      </w:r>
      <w:del w:id="141" w:author="Arshad Akhtar Abbasia" w:date="2026-10-04T12:00:00Z">
        <w:r>
          <w:delText xml:space="preserve">removed </w:delText>
        </w:r>
      </w:del>
      <w:ins w:id="142" w:author="Arshad Akhtar Abbasia" w:date="2026-10-04T12:00:00Z">
        <w:r>
          <w:t xml:space="preserve">deleted </w:t>
        </w:r>
      </w:ins>
      <w:r>
        <w:t xml:space="preserve">within six months of permit expiry and that identifiable logs be </w:t>
      </w:r>
      <w:del w:id="143" w:author="Arshad Akhtar Abbasia" w:date="2026-10-04T12:00:00Z">
        <w:r>
          <w:delText xml:space="preserve">retained </w:delText>
        </w:r>
      </w:del>
      <w:ins w:id="144" w:author="Arshad Akhtar Abbasia" w:date="2026-10-04T12:00:00Z">
        <w:r>
          <w:t xml:space="preserve">kept </w:t>
        </w:r>
      </w:ins>
      <w:r>
        <w:t xml:space="preserve">for at least twelve months. That reading is contestable, and the thesis states its grounds rather than assuming it; under the narrower </w:t>
      </w:r>
      <w:del w:id="145" w:author="Arshad Akhtar Abbasia" w:date="2026-10-04T12:00:00Z">
        <w:r>
          <w:delText xml:space="preserve">alternative </w:delText>
        </w:r>
      </w:del>
      <w:ins w:id="146" w:author="Arshad Akhtar Abbasia" w:date="2026-10-04T12:00:00Z">
        <w:r>
          <w:t xml:space="preserve">alternative, or where logs are kept at dataset granularity, </w:t>
        </w:r>
      </w:ins>
      <w:r>
        <w:t xml:space="preserve">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w:t>
      </w:r>
      <w:del w:id="147" w:author="Arshad Akhtar Abbasia" w:date="2026-10-04T12:00:00Z">
        <w:r>
          <w:delText xml:space="preserve">imposed on </w:delText>
        </w:r>
      </w:del>
      <w:ins w:id="148" w:author="Arshad Akhtar Abbasia" w:date="2026-10-04T12:00:00Z">
        <w:r>
          <w:t xml:space="preserve">reported for </w:t>
        </w:r>
      </w:ins>
      <w:r>
        <w:t xml:space="preserve">cross-border audit repositories </w:t>
      </w:r>
      <w:del w:id="149" w:author="Arshad Akhtar Abbasia" w:date="2026-10-04T12:00:00Z">
        <w:r>
          <w:delText xml:space="preserve">by </w:delText>
        </w:r>
      </w:del>
      <w:ins w:id="150" w:author="Arshad Akhtar Abbasia" w:date="2026-10-04T12:00:00Z">
        <w:r>
          <w:t xml:space="preserve">under </w:t>
        </w:r>
      </w:ins>
      <w:r>
        <w:t xml:space="preserve">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p>
      <w:pPr>
        <w:pStyle w:val="Heading2"/>
      </w:pPr>
      <w:ins w:id="151" w:author="Arshad Akhtar Abbasia" w:date="2026-10-04T12:00:00Z">
        <w:r>
          <w:t xml:space="preserve">1.2 </w:t>
        </w:r>
      </w:ins>
      <w:r>
        <w:t xml:space="preserve">Problem Statement</w:t>
      </w:r>
    </w:p>
    <w:p>
      <w:pPr>
        <w:pStyle w:val="BodyText"/>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w:t>
      </w:r>
      <w:del w:id="152" w:author="Arshad Akhtar Abbasia" w:date="2026-10-04T12:00:00Z">
        <w:r>
          <w:delText xml:space="preserve">at least ten </w:delText>
        </w:r>
      </w:del>
      <w:ins w:id="153" w:author="Arshad Akhtar Abbasia" w:date="2026-10-04T12:00:00Z">
        <w:r>
          <w:t xml:space="preserve">the period its deployment binding sets (ten </w:t>
        </w:r>
      </w:ins>
      <w:r>
        <w:t xml:space="preserve">years </w:t>
      </w:r>
      <w:del w:id="154" w:author="Arshad Akhtar Abbasia" w:date="2026-10-04T12:00:00Z">
        <w:r>
          <w:delText xml:space="preserve">under the eHDSI baseline, </w:delText>
        </w:r>
      </w:del>
      <w:ins w:id="155" w:author="Arshad Akhtar Abbasia" w:date="2026-10-04T12:00:00Z">
        <w:r>
          <w:t xml:space="preserve">as reported, Section 1.1), </w:t>
        </w:r>
      </w:ins>
      <w:r>
        <w:t xml:space="preserve">and accessible to the patient through the home country’s audit-log interface (Simjanoska Misheva et al., 2025). If, during that </w:t>
      </w:r>
      <w:del w:id="156" w:author="Arshad Akhtar Abbasia" w:date="2026-10-04T12:00:00Z">
        <w:r>
          <w:delText xml:space="preserve">ten-year </w:delText>
        </w:r>
      </w:del>
      <w:r>
        <w:t xml:space="preserve">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 necessary for the legal obligation, and the data-minimisation principle of Article 5(1)(c) GDPR requires that no more personal data be retained than the obligation demands. Retaining the full plaintext personal-data payload of an audit record for </w:t>
      </w:r>
      <w:del w:id="157" w:author="Arshad Akhtar Abbasia" w:date="2026-10-04T12:00:00Z">
        <w:r>
          <w:delText xml:space="preserve">ten years </w:delText>
        </w:r>
      </w:del>
      <w:ins w:id="158" w:author="Arshad Akhtar Abbasia" w:date="2026-10-04T12:00:00Z">
        <w:r>
          <w:t xml:space="preserve">the length of the floor </w:t>
        </w:r>
      </w:ins>
      <w:r>
        <w:t xml:space="preserve">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and there it is at its sharpest.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w:t>
      </w:r>
      <w:del w:id="159" w:author="Arshad Akhtar Abbasia" w:date="2026-10-04T12:00:00Z">
        <w:r>
          <w:delText xml:space="preserve">personal </w:delText>
        </w:r>
      </w:del>
      <w:ins w:id="160" w:author="Arshad Akhtar Abbasia" w:date="2026-10-04T12:00:00Z">
        <w:r>
          <w:t xml:space="preserve">the electronic health </w:t>
        </w:r>
      </w:ins>
      <w:r>
        <w:t xml:space="preserve">data </w:t>
      </w:r>
      <w:del w:id="161" w:author="Arshad Akhtar Abbasia" w:date="2026-10-04T12:00:00Z">
        <w:r>
          <w:delText xml:space="preserve">from </w:delText>
        </w:r>
      </w:del>
      <w:ins w:id="162" w:author="Arshad Akhtar Abbasia" w:date="2026-10-04T12:00:00Z">
        <w:r>
          <w:t xml:space="preserve">within </w:t>
        </w:r>
      </w:ins>
      <w:r>
        <w:t xml:space="preserve">the environment within six months of permit expiry. Article 73(1)(e) of the same regulation requires that identifiable access logs for that environment be kept for at least one year. On the broad reading, the environment must therefore be emptied of </w:t>
      </w:r>
      <w:del w:id="163" w:author="Arshad Akhtar Abbasia" w:date="2026-10-04T12:00:00Z">
        <w:r>
          <w:delText xml:space="preserve">personal </w:delText>
        </w:r>
      </w:del>
      <w:ins w:id="164" w:author="Arshad Akhtar Abbasia" w:date="2026-10-04T12:00:00Z">
        <w:r>
          <w:t xml:space="preserve">electronic health </w:t>
        </w:r>
      </w:ins>
      <w:r>
        <w:t xml:space="preserve">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w:t>
      </w:r>
      <w:del w:id="165" w:author="Arshad Akhtar Abbasia" w:date="2026-10-04T12:00:00Z">
        <w:r>
          <w:delText xml:space="preserve">recommendations have since been consolidated into final form, including </w:delText>
        </w:r>
      </w:del>
      <w:ins w:id="166" w:author="Arshad Akhtar Abbasia" w:date="2026-10-04T12:00:00Z">
        <w:r>
          <w:t xml:space="preserve">Directorate states that the criteria are included in deliverable D5.2, with </w:t>
        </w:r>
      </w:ins>
      <w:r>
        <w:t xml:space="preserve">separate compliance checklists for SPE providers and SPE user organisations, positioned as a national reference basis pending the EU implementing act (SPUHiN, 2025). The </w:t>
      </w:r>
      <w:del w:id="167" w:author="Arshad Akhtar Abbasia" w:date="2026-10-04T12:00:00Z">
        <w:r>
          <w:delText xml:space="preserve">finalised criteria contain </w:delText>
        </w:r>
      </w:del>
      <w:ins w:id="168" w:author="Arshad Akhtar Abbasia" w:date="2026-10-04T12:00:00Z">
        <w:r>
          <w:t xml:space="preserve">version this thesis inspected, the one put to hearing, contains </w:t>
        </w:r>
      </w:ins>
      <w:r>
        <w:t xml:space="preserve">governance and functional requirements but no mechanism reconciling the retention and erasure </w:t>
      </w:r>
      <w:del w:id="169" w:author="Arshad Akhtar Abbasia" w:date="2026-10-04T12:00:00Z">
        <w:r>
          <w:delText xml:space="preserve">regimes: the gap addressed here therefore survives </w:delText>
        </w:r>
      </w:del>
      <w:ins w:id="170" w:author="Arshad Akhtar Abbasia" w:date="2026-10-04T12:00:00Z">
        <w:r>
          <w:t xml:space="preserve">regimes. The absence is observed in that version and has not been checked </w:t>
        </w:r>
      </w:ins>
      <w:r>
        <w:t xml:space="preserve">against the </w:t>
      </w:r>
      <w:del w:id="171" w:author="Arshad Akhtar Abbasia" w:date="2026-10-04T12:00:00Z">
        <w:r>
          <w:delText xml:space="preserve">final national document, not merely a draft.</w:delText>
        </w:r>
      </w:del>
      <w:ins w:id="172" w:author="Arshad Akhtar Abbasia" w:date="2026-10-04T12:00:00Z">
        <w:r>
          <w:t xml:space="preserve">deliverable as submitted.</w:t>
        </w:r>
      </w:ins>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p>
      <w:pPr>
        <w:pStyle w:val="Heading2"/>
      </w:pPr>
      <w:ins w:id="173" w:author="Arshad Akhtar Abbasia" w:date="2026-10-04T12:00:00Z">
        <w:r>
          <w:t xml:space="preserve">1.3 </w:t>
        </w:r>
      </w:ins>
      <w:r>
        <w:t xml:space="preserve">Research Objectives and Questions</w:t>
      </w:r>
    </w:p>
    <w:p>
      <w:pPr>
        <w:pStyle w:val="BodyText"/>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w:t>
      </w:r>
      <w:del w:id="174" w:author="Arshad Akhtar Abbasia" w:date="2026-10-04T12:00:00Z">
        <w:r>
          <w:delText xml:space="preserve">2022). </w:delText>
        </w:r>
      </w:del>
      <w:ins w:id="175" w:author="Arshad Akhtar Abbasia" w:date="2026-10-04T12:00:00Z">
        <w:r>
          <w:t xml:space="preserve">2023). </w:t>
        </w:r>
      </w:ins>
      <w:r>
        <w:t xml:space="preserve">The model decomposes each cross-border audit record into an event-metadata </w:t>
      </w:r>
      <w:del w:id="176" w:author="Arshad Akhtar Abbasia" w:date="2026-10-04T12:00:00Z">
        <w:r>
          <w:delText xml:space="preserve">component </w:delText>
        </w:r>
      </w:del>
      <w:ins w:id="177" w:author="Arshad Akhtar Abbasia" w:date="2026-10-04T12:00:00Z">
        <w:r>
          <w:t xml:space="preserve">component, itself divided into the accessor’s fields and the link to the patient, </w:t>
        </w:r>
      </w:ins>
      <w:r>
        <w:t xml:space="preserve">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w:t>
      </w:r>
      <w:del w:id="178" w:author="Arshad Akhtar Abbasia" w:date="2026-10-04T12:00:00Z">
        <w:r>
          <w:delText xml:space="preserve">the prevailing implicit </w:delText>
        </w:r>
      </w:del>
      <w:ins w:id="179" w:author="Arshad Akhtar Abbasia" w:date="2026-10-04T12:00:00Z">
        <w:r>
          <w:t xml:space="preserve">plaintext-verifiability </w:t>
        </w:r>
      </w:ins>
      <w:r>
        <w:t xml:space="preserve">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w:t>
      </w:r>
      <w:del w:id="180" w:author="Arshad Akhtar Abbasia" w:date="2026-10-04T12:00:00Z">
        <w:r>
          <w:delText xml:space="preserve">the </w:delText>
        </w:r>
      </w:del>
      <w:ins w:id="181" w:author="Arshad Akhtar Abbasia" w:date="2026-10-04T12:00:00Z">
        <w:r>
          <w:t xml:space="preserve">a tamper-evident </w:t>
        </w:r>
      </w:ins>
      <w:r>
        <w:t xml:space="preserve">audit </w:t>
      </w:r>
      <w:del w:id="182" w:author="Arshad Akhtar Abbasia" w:date="2026-10-04T12:00:00Z">
        <w:r>
          <w:delText xml:space="preserve">trail. </w:delText>
        </w:r>
      </w:del>
      <w:ins w:id="183" w:author="Arshad Akhtar Abbasia" w:date="2026-10-04T12:00:00Z">
        <w:r>
          <w:t xml:space="preserve">log. </w:t>
        </w:r>
      </w:ins>
      <w:r>
        <w:t xml:space="preserve">The mechanism is thus the constructive witness of the model’s feasibility result, not an independently posited </w:t>
      </w:r>
      <w:del w:id="184" w:author="Arshad Akhtar Abbasia" w:date="2026-10-04T12:00:00Z">
        <w:r>
          <w:delText xml:space="preserve">design.</w:delText>
        </w:r>
      </w:del>
      <w:ins w:id="185" w:author="Arshad Akhtar Abbasia" w:date="2026-10-04T12:00:00Z">
        <w:r>
          <w:t xml:space="preserve">design. Two further results locate the conflict: a deletion ceiling collides with a retention floor exactly when it is no longer than the floor, and the event it is anchored to decides whether the collision can be read from the text (Proposition 3); and moving a record out of the regulated environment meets the ceiling but not the right to erasure (Proposition 4).</w:t>
        </w:r>
      </w:ins>
    </w:p>
    <w:p>
      <w:pPr>
        <w:pStyle w:val="BodyText"/>
      </w:pPr>
      <w:r>
        <w:t xml:space="preserve">The thesis is guided by one primary research question.</w:t>
      </w:r>
    </w:p>
    <w:p>
      <w:pPr>
        <w:pStyle w:val="BodyText"/>
      </w:pPr>
      <w:r>
        <w:t xml:space="preserve">Primary research question. 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w:t>
      </w:r>
      <w:del w:id="186" w:author="Arshad Akhtar Abbasia" w:date="2026-10-04T12:00:00Z">
        <w:r>
          <w:delText xml:space="preserve">imposed on </w:delText>
        </w:r>
      </w:del>
      <w:ins w:id="187" w:author="Arshad Akhtar Abbasia" w:date="2026-10-04T12:00:00Z">
        <w:r>
          <w:t xml:space="preserve">reported for </w:t>
        </w:r>
      </w:ins>
      <w:r>
        <w:t xml:space="preserve">IHE ATNA audit repositories </w:t>
      </w:r>
      <w:del w:id="188" w:author="Arshad Akhtar Abbasia" w:date="2026-10-04T12:00:00Z">
        <w:r>
          <w:delText xml:space="preserve">by </w:delText>
        </w:r>
      </w:del>
      <w:ins w:id="189" w:author="Arshad Akhtar Abbasia" w:date="2026-10-04T12:00:00Z">
        <w:r>
          <w:t xml:space="preserve">under </w:t>
        </w:r>
      </w:ins>
      <w:r>
        <w:t xml:space="preserve">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t xml:space="preserve">SQ1. 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t xml:space="preserve">SQ2. 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t xml:space="preserve">SQ3. 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w:t>
      </w:r>
      <w:del w:id="190" w:author="Arshad Akhtar Abbasia" w:date="2026-10-04T12:00:00Z">
        <w:r>
          <w:delText xml:space="preserve">theorems, </w:delText>
        </w:r>
      </w:del>
      <w:ins w:id="191" w:author="Arshad Akhtar Abbasia" w:date="2026-10-04T12:00:00Z">
        <w:r>
          <w:t xml:space="preserve">propositions, </w:t>
        </w:r>
      </w:ins>
      <w:r>
        <w:t xml:space="preserve">the mechanism specification in Chapter 4, and the executable demonstration in Chapter 5. SQ3 is addressed through Chapter 4’s integration analysis and Chapter 6’s discussion of implications for Norwegian implementing actors.</w:t>
      </w:r>
    </w:p>
    <w:p>
      <w:pPr>
        <w:pStyle w:val="Heading2"/>
      </w:pPr>
      <w:ins w:id="192" w:author="Arshad Akhtar Abbasia" w:date="2026-10-04T12:00:00Z">
        <w:r>
          <w:t xml:space="preserve">1.4 </w:t>
        </w:r>
      </w:ins>
      <w:r>
        <w:t xml:space="preserve">Significance and Relevance</w:t>
      </w:r>
    </w:p>
    <w:p>
      <w:pPr>
        <w:pStyle w:val="BodyText"/>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w:t>
      </w:r>
      <w:del w:id="193" w:author="Arshad Akhtar Abbasia" w:date="2026-10-04T12:00:00Z">
        <w:r>
          <w:delText xml:space="preserve">exchanging records with Portugal, Czechia, and Finland, </w:delText>
        </w:r>
      </w:del>
      <w:r>
        <w:t xml:space="preserve">with its outbound capability under construction during 2026 (Helsedirektoratet, </w:t>
      </w:r>
      <w:del w:id="194" w:author="Arshad Akhtar Abbasia" w:date="2026-10-04T12:00:00Z">
        <w:r>
          <w:delText xml:space="preserve">2026). </w:delText>
        </w:r>
      </w:del>
      <w:ins w:id="195" w:author="Arshad Akhtar Abbasia" w:date="2026-10-04T12:00:00Z">
        <w:r>
          <w:t xml:space="preserve">2026), as Section 1.1 describes. </w:t>
        </w:r>
      </w:ins>
      <w:r>
        <w:t xml:space="preserve">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w:t>
      </w:r>
      <w:del w:id="196" w:author="Arshad Akhtar Abbasia" w:date="2026-10-04T12:00:00Z">
        <w:r>
          <w:delText xml:space="preserve">finalised </w:delText>
        </w:r>
      </w:del>
      <w:r>
        <w:t xml:space="preserve">national SPE criteria from the SPUHiN process, whose </w:t>
      </w:r>
      <w:del w:id="197" w:author="Arshad Akhtar Abbasia" w:date="2026-10-04T12:00:00Z">
        <w:r>
          <w:delText xml:space="preserve">published </w:delText>
        </w:r>
      </w:del>
      <w:r>
        <w:t xml:space="preserve">checklists </w:t>
      </w:r>
      <w:ins w:id="198" w:author="Arshad Akhtar Abbasia" w:date="2026-10-04T12:00:00Z">
        <w:r>
          <w:t xml:space="preserve">in the hearing version </w:t>
        </w:r>
      </w:ins>
      <w:r>
        <w:t xml:space="preserve">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w:t>
      </w:r>
      <w:del w:id="199" w:author="Arshad Akhtar Abbasia" w:date="2026-10-04T12:00:00Z">
        <w:r>
          <w:delText xml:space="preserve">2022), </w:delText>
        </w:r>
      </w:del>
      <w:ins w:id="200" w:author="Arshad Akhtar Abbasia" w:date="2026-10-04T12:00:00Z">
        <w:r>
          <w:t xml:space="preserve">2023), </w:t>
        </w:r>
      </w:ins>
      <w:r>
        <w:t xml:space="preserve">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even for the conflict’s sharpest instance. The collision between the six-month deletion ceiling of Article 68(12) and the one-year log-retention floor of Article 73(1)(e) is stated within a single regulation, yet the review conducted for this thesis found no treatment of </w:t>
      </w:r>
      <w:del w:id="201" w:author="Arshad Akhtar Abbasia" w:date="2026-10-04T12:00:00Z">
        <w:r>
          <w:delText xml:space="preserve">it, including </w:delText>
        </w:r>
      </w:del>
      <w:ins w:id="202" w:author="Arshad Akhtar Abbasia" w:date="2026-10-04T12:00:00Z">
        <w:r>
          <w:t xml:space="preserve">it </w:t>
        </w:r>
      </w:ins>
      <w:r>
        <w:t xml:space="preserve">in the </w:t>
      </w:r>
      <w:del w:id="203" w:author="Arshad Akhtar Abbasia" w:date="2026-10-04T12:00:00Z">
        <w:r>
          <w:delText xml:space="preserve">guidance published by </w:delText>
        </w:r>
      </w:del>
      <w:ins w:id="204" w:author="Arshad Akhtar Abbasia" w:date="2026-10-04T12:00:00Z">
        <w:r>
          <w:t xml:space="preserve">literature. The Joint Action’s specification for these environments comes closest: it requires deletion at permit expiry “while ensuring compliance with applicable legal obligations and traceability or reproducibility requirements”, leaves </w:t>
        </w:r>
      </w:ins>
      <w:r>
        <w:t xml:space="preserve">the </w:t>
      </w:r>
      <w:del w:id="205" w:author="Arshad Akhtar Abbasia" w:date="2026-10-04T12:00:00Z">
        <w:r>
          <w:delText xml:space="preserve">Joint Action drafting </w:delText>
        </w:r>
      </w:del>
      <w:ins w:id="206" w:author="Arshad Akhtar Abbasia" w:date="2026-10-04T12:00:00Z">
        <w:r>
          <w:t xml:space="preserve">balance to each operator’s policy, and in its expert commentary names “open questions about how accountability and anonymisation obligations intersect” (TEHDAS2, 2026, Table 5.2, OPR-6, p. 43; Annex 7, p. 96). It asks for </w:t>
        </w:r>
      </w:ins>
      <w:r>
        <w:t xml:space="preserve">the </w:t>
      </w:r>
      <w:del w:id="207" w:author="Arshad Akhtar Abbasia" w:date="2026-10-04T12:00:00Z">
        <w:r>
          <w:delText xml:space="preserve">specifications for both provisions. </w:delText>
        </w:r>
      </w:del>
      <w:ins w:id="208" w:author="Arshad Akhtar Abbasia" w:date="2026-10-04T12:00:00Z">
        <w:r>
          <w:t xml:space="preserve">balance; it does not supply one. </w:t>
        </w:r>
      </w:ins>
      <w:r>
        <w:t xml:space="preserve">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w:t>
      </w:r>
      <w:del w:id="209" w:author="Arshad Akhtar Abbasia" w:date="2026-10-04T12:00:00Z">
        <w:r>
          <w:delText xml:space="preserve">deliberately </w:delText>
        </w:r>
      </w:del>
      <w:r>
        <w:t xml:space="preserve">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rPr>
          <w:ins w:id="210" w:author="Arshad Akhtar Abbasia" w:date="2026-10-04T12:00:00Z"/>
        </w:rPr>
      </w:pPr>
      <w:ins w:id="211" w:author="Arshad Akhtar Abbasia" w:date="2026-10-04T12:00:00Z">
        <w:r>
          <w:t xml:space="preserve">Fourth, the thesis frames the problem as one of information logistics. Physical cross-border logistics meets a similar problem in customs, where documentation must be retained while the goods it describes may be ordered destroyed. This situates the contribution within the disciplinary identity of Sustainable Energy Logistics at HiMolde. The borrowing is specific rather than wholesale: customs law already keeps the record of goods after the goods themselves have been destroyed (Chapter 2, Section 2.7), and that separation of the record from the thing recorded is the move Chapter 4 makes for the audit trail.</w:t>
        </w:r>
      </w:ins>
    </w:p>
    <w:p>
      <w:pPr>
        <w:pStyle w:val="BodyText"/>
        <w:rPr>
          <w:del w:id="212" w:author="Arshad Akhtar Abbasia" w:date="2026-10-04T12:00:00Z"/>
        </w:rPr>
      </w:pPr>
      <w:del w:id="213" w:author="Arshad Akhtar Abbasia" w:date="2026-10-04T12:00:00Z">
        <w:r>
          <w:delText xml:space="preserve">Fourth, the thesis frames the problem as one of information logistics, and the framing is structural rather than decorative. The reconciliation of conflicting retention regimes across jurisdictional boundaries is the same problem class that physical cross-border logistics manages through customs documentation retention, mandated destruction of restricted goods, and certified-destruction entries in the ledger. The audit log is the customs ledger of the digital consignment; invalidation is its certified destruction certificate. This situates the contribution within the disciplinary identity of Sustainable Energy Logistics at HiMolde and imports a solution structure that logistics has operated for decades into a domain that has not yet recognised the equivalence.</w:delText>
        </w:r>
      </w:del>
    </w:p>
    <w:p>
      <w:pPr>
        <w:pStyle w:val="Heading2"/>
      </w:pPr>
      <w:ins w:id="214" w:author="Arshad Akhtar Abbasia" w:date="2026-10-04T12:00:00Z">
        <w:r>
          <w:t xml:space="preserve">1.5 </w:t>
        </w:r>
      </w:ins>
      <w:r>
        <w:t xml:space="preserve">Scope and Out-of-Scope</w:t>
      </w:r>
    </w:p>
    <w:p>
      <w:pPr>
        <w:pStyle w:val="BodyText"/>
      </w:pPr>
      <w:r>
        <w:t xml:space="preserve">This thesis is bounded by a deliberate and explicit </w:t>
      </w:r>
      <w:del w:id="215" w:author="Arshad Akhtar Abbasia" w:date="2026-10-04T12:00:00Z">
        <w:r>
          <w:delText xml:space="preserve">scope. The bounding is not a limitation to </w:delText>
        </w:r>
      </w:del>
      <w:ins w:id="216" w:author="Arshad Akhtar Abbasia" w:date="2026-10-04T12:00:00Z">
        <w:r>
          <w:t xml:space="preserve">scope, set by what can </w:t>
        </w:r>
      </w:ins>
      <w:r>
        <w:t xml:space="preserve">be </w:t>
      </w:r>
      <w:del w:id="217" w:author="Arshad Akhtar Abbasia" w:date="2026-10-04T12:00:00Z">
        <w:r>
          <w:delText xml:space="preserve">apologised for but a methodological commitment to defensibility </w:delText>
        </w:r>
      </w:del>
      <w:ins w:id="218" w:author="Arshad Akhtar Abbasia" w:date="2026-10-04T12:00:00Z">
        <w:r>
          <w:t xml:space="preserve">defended </w:t>
        </w:r>
      </w:ins>
      <w:r>
        <w:t xml:space="preserve">within the time and resources </w:t>
      </w:r>
      <w:del w:id="219" w:author="Arshad Akhtar Abbasia" w:date="2026-10-04T12:00:00Z">
        <w:r>
          <w:delText xml:space="preserve">available for </w:delText>
        </w:r>
      </w:del>
      <w:ins w:id="220" w:author="Arshad Akhtar Abbasia" w:date="2026-10-04T12:00:00Z">
        <w:r>
          <w:t xml:space="preserve">of </w:t>
        </w:r>
      </w:ins>
      <w:r>
        <w:t xml:space="preserve">an MSc thesis.</w:t>
      </w:r>
    </w:p>
    <w:p>
      <w:pPr>
        <w:pStyle w:val="BodyText"/>
      </w:pPr>
      <w:r>
        <w:t xml:space="preserve">The thesis contributes a formal model, a design-science specification derived from it, and an executable demonstration. The TRF Model formalises the conflict, and the Crypto-Erasure by Invalidation mechanism is specified as the model’s constructive feasibility witness. A Python-based sandbox using synthetic Synthea-generated FHIR data then demonstrates both the infeasibility result under </w:t>
      </w:r>
      <w:del w:id="221" w:author="Arshad Akhtar Abbasia" w:date="2026-10-04T12:00:00Z">
        <w:r>
          <w:delText xml:space="preserve">the status-quo </w:delText>
        </w:r>
      </w:del>
      <w:ins w:id="222" w:author="Arshad Akhtar Abbasia" w:date="2026-10-04T12:00:00Z">
        <w:r>
          <w:t xml:space="preserve">plaintext </w:t>
        </w:r>
      </w:ins>
      <w:r>
        <w:t xml:space="preserve">semantics and the feasibility result under invalidation semantics. The model, the specification, and the demonstration together constitute the artefact.</w:t>
      </w:r>
    </w:p>
    <w:p>
      <w:pPr>
        <w:pStyle w:val="BodyText"/>
      </w:pPr>
      <w:r>
        <w:t xml:space="preserve">The thesis explicitly does not include the following. First, it does not build a working zero-knowledge SNARK circuit; no component of the mechanism requires one, and the cryptographic machinery that an earlier design iteration envisaged is treated as future </w:t>
      </w:r>
      <w:del w:id="223" w:author="Arshad Akhtar Abbasia" w:date="2026-10-04T12:00:00Z">
        <w:r>
          <w:delText xml:space="preserve">work. </w:delText>
        </w:r>
      </w:del>
      <w:ins w:id="224" w:author="Arshad Akhtar Abbasia" w:date="2026-10-04T12:00:00Z">
        <w:r>
          <w:t xml:space="preserve">work, at the one point where it becomes necessary (Chapter 7, Section 7.5). </w:t>
        </w:r>
      </w:ins>
      <w:r>
        <w:t xml:space="preserve">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w:t>
      </w:r>
      <w:ins w:id="225" w:author="Arshad Akhtar Abbasia" w:date="2026-10-04T12:00:00Z">
        <w:r>
          <w:t xml:space="preserve">Its place in a programme in Sustainable Energy Logistics is therefore in the logistics of information rather than of energy: it treats a regulated cross-border record as a consignment whose custody, retention and destruction are governed by the regimes it crosses. </w:t>
        </w:r>
      </w:ins>
      <w:r>
        <w:t xml:space="preserve">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w:t>
      </w:r>
      <w:del w:id="226" w:author="Arshad Akhtar Abbasia" w:date="2026-10-04T12:00:00Z">
        <w:r>
          <w:delText xml:space="preserve">two feasibility theorems </w:delText>
        </w:r>
      </w:del>
      <w:ins w:id="227" w:author="Arshad Akhtar Abbasia" w:date="2026-10-04T12:00:00Z">
        <w:r>
          <w:t xml:space="preserve">four propositions </w:t>
        </w:r>
      </w:ins>
      <w:r>
        <w:t xml:space="preserve">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w:t>
      </w:r>
      <w:del w:id="228" w:author="Arshad Akhtar Abbasia" w:date="2026-10-04T12:00:00Z">
        <w:r>
          <w:delText xml:space="preserve">conceptually </w:delText>
        </w:r>
      </w:del>
      <w:r>
        <w:t xml:space="preserve">related to the broader research direction are </w:t>
      </w:r>
      <w:del w:id="229" w:author="Arshad Akhtar Abbasia" w:date="2026-10-04T12:00:00Z">
        <w:r>
          <w:delText xml:space="preserve">presented in a separate addendum to </w:delText>
        </w:r>
      </w:del>
      <w:ins w:id="230" w:author="Arshad Akhtar Abbasia" w:date="2026-10-04T12:00:00Z">
        <w:r>
          <w:t xml:space="preserve">outside </w:t>
        </w:r>
      </w:ins>
      <w:r>
        <w:t xml:space="preserve">the </w:t>
      </w:r>
      <w:del w:id="231" w:author="Arshad Akhtar Abbasia" w:date="2026-10-04T12:00:00Z">
        <w:r>
          <w:delText xml:space="preserve">thesis supervisor: </w:delText>
        </w:r>
      </w:del>
      <w:ins w:id="232" w:author="Arshad Akhtar Abbasia" w:date="2026-10-04T12:00:00Z">
        <w:r>
          <w:t xml:space="preserve">scope of this thesis: </w:t>
        </w:r>
      </w:ins>
      <w:r>
        <w:t xml:space="preserve">a zero-knowledge assertion circuit for healthcare-professional authorisation, a sustainability indicator for proof systems, and a cross-border consent-revocation propagation protocol. </w:t>
      </w:r>
      <w:del w:id="233" w:author="Arshad Akhtar Abbasia" w:date="2026-10-04T12:00:00Z">
        <w:r>
          <w:delText xml:space="preserve">The addendum signals future research direction without claiming results that </w:delText>
        </w:r>
      </w:del>
      <w:ins w:id="234" w:author="Arshad Akhtar Abbasia" w:date="2026-10-04T12:00:00Z">
        <w:r>
          <w:t xml:space="preserve">Results for them </w:t>
        </w:r>
      </w:ins>
      <w:r>
        <w:t xml:space="preserve">have not been </w:t>
      </w:r>
      <w:del w:id="235" w:author="Arshad Akhtar Abbasia" w:date="2026-10-04T12:00:00Z">
        <w:r>
          <w:delText xml:space="preserve">produced.</w:delText>
        </w:r>
      </w:del>
      <w:ins w:id="236" w:author="Arshad Akhtar Abbasia" w:date="2026-10-04T12:00:00Z">
        <w:r>
          <w:t xml:space="preserve">produced and are not claimed.</w:t>
        </w:r>
      </w:ins>
    </w:p>
    <w:p>
      <w:pPr>
        <w:pStyle w:val="Heading2"/>
      </w:pPr>
      <w:ins w:id="237" w:author="Arshad Akhtar Abbasia" w:date="2026-10-04T12:00:00Z">
        <w:r>
          <w:t xml:space="preserve">1.6 </w:t>
        </w:r>
      </w:ins>
      <w:r>
        <w:t xml:space="preserve">Methodological Approach</w:t>
      </w:r>
    </w:p>
    <w:p>
      <w:pPr>
        <w:pStyle w:val="BodyText"/>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w:t>
      </w:r>
      <w:del w:id="238" w:author="Arshad Akhtar Abbasia" w:date="2026-10-04T12:00:00Z">
        <w:r>
          <w:delText xml:space="preserve">al. (2022). </w:delText>
        </w:r>
      </w:del>
      <w:ins w:id="239" w:author="Arshad Akhtar Abbasia" w:date="2026-10-04T12:00:00Z">
        <w:r>
          <w:t xml:space="preserve">al. (2023). </w:t>
        </w:r>
      </w:ins>
      <w:r>
        <w:t xml:space="preserve">It </w:t>
      </w:r>
      <w:del w:id="240" w:author="Arshad Akhtar Abbasia" w:date="2026-10-04T12:00:00Z">
        <w:r>
          <w:delText xml:space="preserve">deliberately </w:delText>
        </w:r>
      </w:del>
      <w:r>
        <w:t xml:space="preserve">employs lighter machinery, a feasibility formulation over one binary state variable per record, suited to defence at Master’s level and to the logistics-modelling training of the author’s programme.</w:t>
      </w:r>
    </w:p>
    <w:p>
      <w:pPr>
        <w:pStyle w:val="BodyText"/>
      </w:pPr>
      <w:del w:id="241" w:author="Arshad Akhtar Abbasia" w:date="2026-10-04T12:00:00Z">
        <w:r>
          <w:delText xml:space="preserve">A note on nomenclature records the design’s evolution honestly. </w:delText>
        </w:r>
      </w:del>
      <w:r>
        <w:t xml:space="preserve">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w:t>
      </w:r>
      <w:del w:id="242" w:author="Arshad Akhtar Abbasia" w:date="2026-10-04T12:00:00Z">
        <w:r>
          <w:delText xml:space="preserve">accumulator-based </w:delText>
        </w:r>
      </w:del>
      <w:ins w:id="243" w:author="Arshad Akhtar Abbasia" w:date="2026-10-04T12:00:00Z">
        <w:r>
          <w:t xml:space="preserve">a logged </w:t>
        </w:r>
      </w:ins>
      <w:r>
        <w:t xml:space="preserve">invalidation </w:t>
      </w:r>
      <w:ins w:id="244" w:author="Arshad Akhtar Abbasia" w:date="2026-10-04T12:00:00Z">
        <w:r>
          <w:t xml:space="preserve">registry </w:t>
        </w:r>
      </w:ins>
      <w:r>
        <w:t xml:space="preserve">suffice for the audit-trail problem, and that no SNARK is </w:t>
      </w:r>
      <w:del w:id="245" w:author="Arshad Akhtar Abbasia" w:date="2026-10-04T12:00:00Z">
        <w:r>
          <w:delText xml:space="preserve">required. </w:delText>
        </w:r>
      </w:del>
      <w:ins w:id="246" w:author="Arshad Akhtar Abbasia" w:date="2026-10-04T12:00:00Z">
        <w:r>
          <w:t xml:space="preserve">required; an accumulator layer is specified in Chapter 4 as optional and is not implemented. </w:t>
        </w:r>
      </w:ins>
      <w:r>
        <w:t xml:space="preserve">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w:t>
      </w:r>
      <w:del w:id="247" w:author="Arshad Akhtar Abbasia" w:date="2026-10-04T12:00:00Z">
        <w:r>
          <w:delText xml:space="preserve">theorems; </w:delText>
        </w:r>
      </w:del>
      <w:ins w:id="248" w:author="Arshad Akhtar Abbasia" w:date="2026-10-04T12:00:00Z">
        <w:r>
          <w:t xml:space="preserve">propositions; </w:t>
        </w:r>
      </w:ins>
      <w:r>
        <w:t xml:space="preserve">external validity through compatibility with verified existing infrastructure; reliability through deterministic execution with fixed random seeds. No empirical performance benchmarks are reported. The full methodological treatment is provided in Chapter 3.</w:t>
      </w:r>
    </w:p>
    <w:p>
      <w:pPr>
        <w:pStyle w:val="Heading2"/>
      </w:pPr>
      <w:ins w:id="249" w:author="Arshad Akhtar Abbasia" w:date="2026-10-04T12:00:00Z">
        <w:r>
          <w:t xml:space="preserve">1.7 </w:t>
        </w:r>
      </w:ins>
      <w:r>
        <w:t xml:space="preserve">Thesis Structure</w:t>
      </w:r>
    </w:p>
    <w:p>
      <w:pPr>
        <w:pStyle w:val="BodyText"/>
      </w:pPr>
      <w:r>
        <w:t xml:space="preserve">The thesis is organised in seven chapters and appendices.</w:t>
      </w:r>
    </w:p>
    <w:p>
      <w:pPr>
        <w:pStyle w:val="BodyText"/>
      </w:pPr>
      <w:r>
        <w:t xml:space="preserve">Chapter 1 introduces the regulatory background, the problem, the research objectives, the significance of the study, the scope and explicit out-of-scope boundaries, and the methodological approach.</w:t>
      </w:r>
    </w:p>
    <w:p>
      <w:pPr>
        <w:pStyle w:val="BodyText"/>
      </w:pPr>
      <w:r>
        <w:t xml:space="preserve">Chapter 2 reviews the literature in </w:t>
      </w:r>
      <w:del w:id="250" w:author="Arshad Akhtar Abbasia" w:date="2026-10-04T12:00:00Z">
        <w:r>
          <w:delText xml:space="preserve">five </w:delText>
        </w:r>
      </w:del>
      <w:ins w:id="251" w:author="Arshad Akhtar Abbasia" w:date="2026-10-04T12:00:00Z">
        <w:r>
          <w:t xml:space="preserve">six </w:t>
        </w:r>
      </w:ins>
      <w:r>
        <w:t xml:space="preserve">domains: the cross-border health data exchange landscape under EHDS; the audit-retention versus right-to-erasure tension, including the Article 17(3)(b) exemption argument; cryptographic approaches to audit </w:t>
      </w:r>
      <w:del w:id="252" w:author="Arshad Akhtar Abbasia" w:date="2026-10-04T12:00:00Z">
        <w:r>
          <w:delText xml:space="preserve">compliance; </w:delText>
        </w:r>
      </w:del>
      <w:ins w:id="253" w:author="Arshad Akhtar Abbasia" w:date="2026-10-04T12:00:00Z">
        <w:r>
          <w:t xml:space="preserve">compliance, including secure deletion and tamper-evident logging; </w:t>
        </w:r>
      </w:ins>
      <w:r>
        <w:t xml:space="preserve">formal approaches to regulatory-compliance verification; </w:t>
      </w:r>
      <w:del w:id="254" w:author="Arshad Akhtar Abbasia" w:date="2026-10-04T12:00:00Z">
        <w:r>
          <w:delText xml:space="preserve">and </w:delText>
        </w:r>
      </w:del>
      <w:r>
        <w:t xml:space="preserve">the Norwegian secondary-use </w:t>
      </w:r>
      <w:del w:id="255" w:author="Arshad Akhtar Abbasia" w:date="2026-10-04T12:00:00Z">
        <w:r>
          <w:delText xml:space="preserve">infrastructure. </w:delText>
        </w:r>
      </w:del>
      <w:ins w:id="256" w:author="Arshad Akhtar Abbasia" w:date="2026-10-04T12:00:00Z">
        <w:r>
          <w:t xml:space="preserve">infrastructure; and the information-logistics framing. </w:t>
        </w:r>
      </w:ins>
      <w:r>
        <w:t xml:space="preserve">It identifies the research gaps and positions the contribution.</w:t>
      </w:r>
    </w:p>
    <w:p>
      <w:pPr>
        <w:pStyle w:val="BodyText"/>
      </w:pPr>
      <w:r>
        <w:t xml:space="preserve">Chapter 3 establishes the design science research paradigm, the specification-and-demonstration variant extended with formal modelling, the synthetic data methodology, the sandbox approach, and validity, reliability, and ethical considerations.</w:t>
      </w:r>
    </w:p>
    <w:p>
      <w:pPr>
        <w:pStyle w:val="BodyText"/>
        <w:rPr>
          <w:ins w:id="257" w:author="Arshad Akhtar Abbasia" w:date="2026-10-04T12:00:00Z"/>
        </w:rPr>
      </w:pPr>
      <w:ins w:id="258" w:author="Arshad Akhtar Abbasia" w:date="2026-10-04T12:00:00Z">
        <w:r>
          <w:t xml:space="preserve">Chapter 4 develops the TRF Model, covering its sets, decomposition, constraints, the two verifiability semantics, the infeasibility and feasibility propositions, and the anchoring proposition. It then specifies the Crypto-Erasure by Invalidation mechanism derived from it, including the key hierarchy, the invalidation registry and the tamper-evident log, analyses its residue, compares it against six rival designs with the location proposition, and traces it requirement by requirement to the regulation, the Joint Action’s specification for Secure Processing Environments, and the Norwegian NCPeH and NORTRE infrastructure (Table 4.1).</w:t>
        </w:r>
      </w:ins>
    </w:p>
    <w:p>
      <w:pPr>
        <w:pStyle w:val="BodyText"/>
        <w:rPr>
          <w:ins w:id="259" w:author="Arshad Akhtar Abbasia" w:date="2026-10-04T12:00:00Z"/>
        </w:rPr>
      </w:pPr>
      <w:ins w:id="260" w:author="Arshad Akhtar Abbasia" w:date="2026-10-04T12:00:00Z">
        <w:r>
          <w:t xml:space="preserve">Chapter 5 presents the sandbox demonstration: the executable feasibility check, the independent exhaustive cross-check, the audit-log integrity and tamper tests, and the optional run with real envelope encryption. Chapter 6 discusses findings and their implications for practice, theory, and policy, engages the principal counter-positions, and tests the model on a statute outside health. Chapter 7 concludes, summarises contributions, revisits limitations, and outlines future work.</w:t>
        </w:r>
      </w:ins>
    </w:p>
    <w:p>
      <w:pPr>
        <w:pStyle w:val="BodyText"/>
        <w:rPr>
          <w:del w:id="261" w:author="Arshad Akhtar Abbasia" w:date="2026-10-04T12:00:00Z"/>
        </w:rPr>
      </w:pPr>
      <w:del w:id="262" w:author="Arshad Akhtar Abbasia" w:date="2026-10-04T12:00:00Z">
        <w:r>
          <w:delText xml:space="preserve">Chapter 4 develops the TRF Model, covering its sets, decomposition, constraints, the two verifiability semantics, and the infeasibility and feasibility theorems. It then specifies the Crypto-Erasure by Invalidation mechanism derived from it, including the invalidation registry, audit-trail behaviour, a comparison against rival designs, and integration analysis with Norwegian NCPeH and NORTRE infrastructure.</w:delText>
        </w:r>
      </w:del>
    </w:p>
    <w:p>
      <w:pPr>
        <w:pStyle w:val="BodyText"/>
        <w:rPr>
          <w:del w:id="263" w:author="Arshad Akhtar Abbasia" w:date="2026-10-04T12:00:00Z"/>
        </w:rPr>
      </w:pPr>
      <w:del w:id="264" w:author="Arshad Akhtar Abbasia" w:date="2026-10-04T12:00:00Z">
        <w:r>
          <w:delText xml:space="preserve">Chapter 5 presents the sandbox demonstration, including the executable feasibility check. Chapter 6 discusses findings and their implications for practice, theory, and policy, and engages the principal counter-positions. Chapter 7 concludes, summarises contributions, revisits limitations, and outlines future work.</w:delText>
        </w:r>
      </w:del>
    </w:p>
    <w:p>
      <w:pPr>
        <w:pStyle w:val="Heading1"/>
      </w:pPr>
      <w:ins w:id="265" w:author="Arshad Akhtar Abbasia" w:date="2026-10-04T12:00:00Z">
        <w:r>
          <w:t xml:space="preserve">Chapter 2. </w:t>
        </w:r>
      </w:ins>
      <w:r>
        <w:t xml:space="preserve">Literature Review and Theoretical Foundation</w:t>
      </w:r>
    </w:p>
    <w:p>
      <w:pPr>
        <w:pStyle w:val="Heading2"/>
      </w:pPr>
      <w:ins w:id="266" w:author="Arshad Akhtar Abbasia" w:date="2026-10-04T12:00:00Z">
        <w:r>
          <w:t xml:space="preserve">2.1 </w:t>
        </w:r>
      </w:ins>
      <w:r>
        <w:t xml:space="preserve">Review Protocol</w:t>
      </w:r>
    </w:p>
    <w:p>
      <w:pPr>
        <w:pStyle w:val="Heading3"/>
      </w:pPr>
      <w:ins w:id="267" w:author="Arshad Akhtar Abbasia" w:date="2026-10-04T12:00:00Z">
        <w:r>
          <w:t xml:space="preserve">2.1.1 </w:t>
        </w:r>
      </w:ins>
      <w:r>
        <w:t xml:space="preserve">Type of review and why it is named as such</w:t>
      </w:r>
    </w:p>
    <w:p>
      <w:pPr>
        <w:pStyle w:val="BodyText"/>
      </w:pPr>
      <w:r>
        <w:t xml:space="preserve">This review is a structured narrative review conducted under a documented and dated protocol. It is not a systematic </w:t>
      </w:r>
      <w:del w:id="268" w:author="Arshad Akhtar Abbasia" w:date="2026-10-04T12:00:00Z">
        <w:r>
          <w:delText xml:space="preserve">review, and the distinction is stated at the outset rather than left to inference. </w:delText>
        </w:r>
      </w:del>
      <w:ins w:id="269" w:author="Arshad Akhtar Abbasia" w:date="2026-10-04T12:00:00Z">
        <w:r>
          <w:t xml:space="preserve">review. </w:t>
        </w:r>
      </w:ins>
      <w:r>
        <w:t xml:space="preserve">A systematic review executes a pre-registered search strategy in a single sweep, against a fixed set of indexed databases, with independent screening by more than one reviewer. This review proceeded iteratively across four dated </w:t>
      </w:r>
      <w:del w:id="270" w:author="Arshad Akhtar Abbasia" w:date="2026-10-04T12:00:00Z">
        <w:r>
          <w:delText xml:space="preserve">rounds, </w:delText>
        </w:r>
      </w:del>
      <w:ins w:id="271" w:author="Arshad Akhtar Abbasia" w:date="2026-10-04T12:00:00Z">
        <w:r>
          <w:t xml:space="preserve">search rounds and a fifth, verification-only round, </w:t>
        </w:r>
      </w:ins>
      <w:r>
        <w:t xml:space="preserve">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p>
      <w:pPr>
        <w:pStyle w:val="Heading3"/>
      </w:pPr>
      <w:ins w:id="272" w:author="Arshad Akhtar Abbasia" w:date="2026-10-04T12:00:00Z">
        <w:r>
          <w:t xml:space="preserve">2.1.2 </w:t>
        </w:r>
      </w:ins>
      <w:r>
        <w:t xml:space="preserve">What the review had to establish</w:t>
      </w:r>
    </w:p>
    <w:p>
      <w:pPr>
        <w:pStyle w:val="BodyText"/>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p>
      <w:pPr>
        <w:pStyle w:val="Heading3"/>
      </w:pPr>
      <w:ins w:id="273" w:author="Arshad Akhtar Abbasia" w:date="2026-10-04T12:00:00Z">
        <w:r>
          <w:t xml:space="preserve">2.1.3 </w:t>
        </w:r>
      </w:ins>
      <w:r>
        <w:t xml:space="preserve">Sources searched</w:t>
      </w:r>
    </w:p>
    <w:p>
      <w:pPr>
        <w:pStyle w:val="BodyText"/>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p>
      <w:pPr>
        <w:pStyle w:val="Heading3"/>
      </w:pPr>
      <w:ins w:id="274" w:author="Arshad Akhtar Abbasia" w:date="2026-10-04T12:00:00Z">
        <w:r>
          <w:t xml:space="preserve">2.1.4 </w:t>
        </w:r>
      </w:ins>
      <w:r>
        <w:t xml:space="preserve">Search rounds</w:t>
      </w:r>
    </w:p>
    <w:p>
      <w:pPr>
        <w:pStyle w:val="BodyText"/>
      </w:pPr>
      <w:r>
        <w:t xml:space="preserve">--------------------------------------------------------------------------------------------------------------------------------- Round Date Purpose Distinct queries ----------------- -------------------- ---------------------------------------------------------------------- ------------------- 0 before 24 May 2026 Exploratory reading and drafting, documented at artifact level only not recoverable</w:t>
      </w:r>
    </w:p>
    <w:p>
      <w:pPr>
        <w:pStyle w:val="BodyText"/>
      </w:pPr>
      <w:r>
        <w:t xml:space="preserve">1 25 May 2026 Landscape, infrastructure, regulatory baseline 16</w:t>
      </w:r>
    </w:p>
    <w:p>
      <w:pPr>
        <w:pStyle w:val="BodyText"/>
      </w:pPr>
      <w:r>
        <w:t xml:space="preserve">2 29 May 2026 Verification and correction of the initial draft’s claims 10</w:t>
      </w:r>
    </w:p>
    <w:p>
      <w:pPr>
        <w:pStyle w:val="BodyText"/>
      </w:pPr>
      <w:r>
        <w:t xml:space="preserve">3 15 September 2026 Resumption; novelty audit and currency check 10</w:t>
      </w:r>
    </w:p>
    <w:p>
      <w:pPr>
        <w:pStyle w:val="BodyText"/>
      </w:pPr>
      <w:r>
        <w:t xml:space="preserve">4 16 September 2026 Adversarial novelty testing, prior art, final currency 23</w:t>
      </w:r>
    </w:p>
    <w:p>
      <w:pPr>
        <w:pStyle w:val="BodyText"/>
        <w:rPr>
          <w:ins w:id="275" w:author="Arshad Akhtar Abbasia" w:date="2026-10-04T12:00:00Z"/>
        </w:rPr>
      </w:pPr>
      <w:ins w:id="276" w:author="Arshad Akhtar Abbasia" w:date="2026-10-04T12:00:00Z">
        <w:r>
          <w:t xml:space="preserve">5 28 September 2026 Locator verification and source-standing audit; no discovery queries 18 locator checks</w:t>
        </w:r>
      </w:ins>
    </w:p>
    <w:p>
      <w:pPr>
        <w:pStyle w:val="BodyText"/>
        <w:rPr>
          <w:ins w:id="277" w:author="Arshad Akhtar Abbasia" w:date="2026-10-04T12:00:00Z"/>
        </w:rPr>
      </w:pPr>
      <w:ins w:id="278" w:author="Arshad Akhtar Abbasia" w:date="2026-10-04T12:00:00Z">
        <w:r>
          <w:t xml:space="preserve">Total discovery and verification queries, rounds 1–4 59 ---------------------------------------------------------------------------------------------------------------------------------</w:t>
        </w:r>
      </w:ins>
    </w:p>
    <w:p>
      <w:pPr>
        <w:pStyle w:val="BodyText"/>
        <w:rPr>
          <w:ins w:id="279" w:author="Arshad Akhtar Abbasia" w:date="2026-10-04T12:00:00Z"/>
        </w:rPr>
      </w:pPr>
      <w:ins w:id="280" w:author="Arshad Akhtar Abbasia" w:date="2026-10-04T12:00:00Z">
        <w:r>
          <w:t xml:space="preserve">Round 0 is the exploratory reading that preceded the documented rounds. Its queries were not recorded, and it contributes nothing to the absence claim of Section 2.9, which rests on the four documented search rounds.</w:t>
        </w:r>
      </w:ins>
    </w:p>
    <w:p>
      <w:pPr>
        <w:pStyle w:val="BodyText"/>
        <w:rPr>
          <w:del w:id="281" w:author="Arshad Akhtar Abbasia" w:date="2026-10-04T12:00:00Z"/>
        </w:rPr>
      </w:pPr>
      <w:del w:id="282" w:author="Arshad Akhtar Abbasia" w:date="2026-10-04T12:00:00Z">
        <w:r>
          <w:delText xml:space="preserve">Total                                                                 59 ---------------------------------------------------------------------------------------------------------------------</w:delText>
        </w:r>
      </w:del>
    </w:p>
    <w:p>
      <w:pPr>
        <w:pStyle w:val="BodyText"/>
        <w:rPr>
          <w:del w:id="283" w:author="Arshad Akhtar Abbasia" w:date="2026-10-04T12:00:00Z"/>
        </w:rPr>
      </w:pPr>
      <w:del w:id="284" w:author="Arshad Akhtar Abbasia" w:date="2026-10-04T12:00:00Z">
        <w:r>
          <w:delText xml:space="preserve">Round 0 requires explanation. An exploratory phase preceded the documented rounds and produced a full draft dated 24 May 2026, which survives as an artifact and is the reason the rebuild occurred. That draft contains no search strings, no inclusion criteria, no screening account, and no reference to any review protocol: a fact established by inspection of the file rather than by recollection. Its queries are not recoverable and are not reconstructed here. Round 0 is therefore reported at artifact level rather than query level, and contributes nothing to the absence claim of Section 2.9, which rests entirely on the four documented rounds.</w:delText>
        </w:r>
      </w:del>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w:t>
      </w:r>
      <w:del w:id="285" w:author="Arshad Akhtar Abbasia" w:date="2026-10-04T12:00:00Z">
        <w:r>
          <w:delText xml:space="preserve">of an earlier draft and led to its abandonment. </w:delText>
        </w:r>
      </w:del>
      <w:ins w:id="286" w:author="Arshad Akhtar Abbasia" w:date="2026-10-04T12:00:00Z">
        <w:r>
          <w:t xml:space="preserve">carried forward from the exploratory phase. </w:t>
        </w:r>
      </w:ins>
      <w:r>
        <w:t xml:space="preserve">Round 4 sought work that would defeat the thesis’s novelty claim rather than support it, which is how the closest prior art, a database retention-and-purging research programme and its associated patent, was located and </w:t>
      </w:r>
      <w:del w:id="287" w:author="Arshad Akhtar Abbasia" w:date="2026-10-04T12:00:00Z">
        <w:r>
          <w:delText xml:space="preserve">disclosed. Round 4 also produced a correction to the thesis’s own headline claim, recorded in Chapter 4, Section 4.6.</w:delText>
        </w:r>
      </w:del>
      <w:ins w:id="288" w:author="Arshad Akhtar Abbasia" w:date="2026-10-04T12:00:00Z">
        <w:r>
          <w:t xml:space="preserve">disclosed.</w:t>
        </w:r>
      </w:ins>
    </w:p>
    <w:p>
      <w:pPr>
        <w:pStyle w:val="Heading3"/>
      </w:pPr>
      <w:ins w:id="289" w:author="Arshad Akhtar Abbasia" w:date="2026-10-04T12:00:00Z">
        <w:r>
          <w:t xml:space="preserve">2.1.5 </w:t>
        </w:r>
      </w:ins>
      <w:r>
        <w:t xml:space="preserve">Selection criteria and screening</w:t>
      </w:r>
    </w:p>
    <w:p>
      <w:pPr>
        <w:pStyle w:val="BodyText"/>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rPr>
          <w:ins w:id="290" w:author="Arshad Akhtar Abbasia" w:date="2026-10-04T12:00:00Z"/>
        </w:rPr>
      </w:pPr>
      <w:ins w:id="291" w:author="Arshad Akhtar Abbasia" w:date="2026-10-04T12:00:00Z">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w:t>
        </w:r>
      </w:ins>
    </w:p>
    <w:p>
      <w:pPr>
        <w:pStyle w:val="BodyText"/>
        <w:rPr>
          <w:del w:id="292" w:author="Arshad Akhtar Abbasia" w:date="2026-10-04T12:00:00Z"/>
        </w:rPr>
      </w:pPr>
      <w:del w:id="293" w:author="Arshad Akhtar Abbasia" w:date="2026-10-04T12:00:00Z">
        <w:r>
          <w:delTex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 The last of these was applied to the thesis’s own earlier draft. That draft carried twenty-eight distinct citations, of which approximately fourteen could not be verified against any primary or publisher record; the draft was discarded rather than repaired, and the verification audit that established this is recorded in the project’s working log of 25 May 2026.</w:delText>
        </w:r>
      </w:del>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w:t>
      </w:r>
      <w:del w:id="294" w:author="Arshad Akhtar Abbasia" w:date="2026-10-04T12:00:00Z">
        <w:r>
          <w:delText xml:space="preserve">honestly </w:delText>
        </w:r>
      </w:del>
      <w:r>
        <w:t xml:space="preserve">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p>
      <w:pPr>
        <w:pStyle w:val="Heading3"/>
      </w:pPr>
      <w:ins w:id="295" w:author="Arshad Akhtar Abbasia" w:date="2026-10-04T12:00:00Z">
        <w:r>
          <w:t xml:space="preserve">2.1.6 </w:t>
        </w:r>
      </w:ins>
      <w:r>
        <w:t xml:space="preserve">Prospective Boolean protocol for replication</w:t>
      </w:r>
    </w:p>
    <w:p>
      <w:pPr>
        <w:pStyle w:val="BodyText"/>
      </w:pPr>
      <w:r>
        <w:t xml:space="preserve">The following strings are offered so that a researcher may test this review’s conclusions against a systematic sweep of indexed databases. They were not the instrument used here, and are stated prospectively.</w:t>
      </w:r>
    </w:p>
    <w:p>
      <w:pPr>
        <w:pStyle w:val="BodyText"/>
      </w:pPr>
      <w:r>
        <w:t xml:space="preserve">------------------------------------------------------------------------------------------------------------------------------------------------------------------------------------------------------------------------------------------------- # Target String ----------------------- -------------------------- ---------------------------------------------------------------------------------------------------------------------------------------------------------------------------------------------- B1 Scopus, Web of Science TITLE-ABS-KEY(("crypto-shredding" OR "cryptographic erasure" OR "crypto erasure" OR "secure deletion" OR "data sanitization") AND ("GDPR" OR "right to erasure" OR "right to be forgotten"))</w:t>
      </w:r>
    </w:p>
    <w:p>
      <w:pPr>
        <w:pStyle w:val="BodyText"/>
      </w:pPr>
      <w:r>
        <w:t xml:space="preserve">B2 Scopus, IEEE Xplore TITLE-ABS-KEY(("audit log" OR "audit trail" OR "access log") AND ("retention" OR "retention period") AND ("erasure" OR "deletion") AND ("conflict" OR "tension" OR "reconcil*"))</w:t>
      </w:r>
    </w:p>
    <w:p>
      <w:pPr>
        <w:pStyle w:val="BodyText"/>
      </w:pPr>
      <w:r>
        <w:t xml:space="preserve">B3 Scopus, PubMed TITLE-ABS-KEY(("European Health Data Space" OR "EHDS" OR "MyHealth@EU" OR "eHDSI") AND ("secure processing environment" OR "audit" OR "retention" OR "erasure"))</w:t>
      </w:r>
    </w:p>
    <w:p>
      <w:pPr>
        <w:pStyle w:val="BodyText"/>
      </w:pPr>
      <w:r>
        <w:t xml:space="preserve">B4 Scopus, IEEE Xplore, ACM TITLE-ABS-KEY(("formal verification" OR "satisfiability" OR "temporal logic" OR "constraint satisfaction") AND ("regulatory compliance" OR "legal compliance" OR "GDPR"))</w:t>
      </w:r>
    </w:p>
    <w:p>
      <w:pPr>
        <w:pStyle w:val="BodyText"/>
      </w:pPr>
      <w:r>
        <w:t xml:space="preserve">B5 Scopus, Web of Science TITLE-ABS-KEY(("health data" OR "electronic health record") AND ("cross-border" OR "cross border") AND ("privacy" OR "data protection") AND ("Norway" OR "Nordic" OR "EEA"))</w:t>
      </w:r>
    </w:p>
    <w:p>
      <w:pPr>
        <w:pStyle w:val="BodyText"/>
      </w:pPr>
      <w:r>
        <w:t xml:space="preserve">B6 IACR ePrint, arXiv ("certified deletion" OR "proof of secure erasure" OR "provable deletion") AND ("verifiab*" OR "attestation") -------------------------------------------------------------------------------------------------------------------------------------------------------------------------------------------------------------------------------------------------</w:t>
      </w:r>
    </w:p>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p>
      <w:pPr>
        <w:pStyle w:val="Heading3"/>
      </w:pPr>
      <w:ins w:id="296" w:author="Arshad Akhtar Abbasia" w:date="2026-10-04T12:00:00Z">
        <w:r>
          <w:t xml:space="preserve">2.1.7 </w:t>
        </w:r>
      </w:ins>
      <w:r>
        <w:t xml:space="preserve">Limitations of the protocol</w:t>
      </w:r>
    </w:p>
    <w:p>
      <w:pPr>
        <w:pStyle w:val="BodyText"/>
      </w:pPr>
      <w:r>
        <w:t xml:space="preserve">Four limitations follow from how the review was </w:t>
      </w:r>
      <w:del w:id="297" w:author="Arshad Akhtar Abbasia" w:date="2026-10-04T12:00:00Z">
        <w:r>
          <w:delText xml:space="preserve">conducted and are stated so that they are not inferred from silence.</w:delText>
        </w:r>
      </w:del>
      <w:ins w:id="298" w:author="Arshad Akhtar Abbasia" w:date="2026-10-04T12:00:00Z">
        <w:r>
          <w:t xml:space="preserve">conducted.</w:t>
        </w:r>
      </w:ins>
    </w:p>
    <w:p>
      <w:pPr>
        <w:pStyle w:val="BodyText"/>
      </w:pPr>
      <w:r>
        <w:t xml:space="preserve">The exploratory phase </w:t>
      </w:r>
      <w:del w:id="299" w:author="Arshad Akhtar Abbasia" w:date="2026-10-04T12:00:00Z">
        <w:r>
          <w:delText xml:space="preserve">preceding the documented rounds </w:delText>
        </w:r>
      </w:del>
      <w:ins w:id="300" w:author="Arshad Akhtar Abbasia" w:date="2026-10-04T12:00:00Z">
        <w:r>
          <w:t xml:space="preserve">before round 1 </w:t>
        </w:r>
      </w:ins>
      <w:r>
        <w:t xml:space="preserve">is </w:t>
      </w:r>
      <w:del w:id="301" w:author="Arshad Akhtar Abbasia" w:date="2026-10-04T12:00:00Z">
        <w:r>
          <w:delText xml:space="preserve">acknowledged but </w:delText>
        </w:r>
      </w:del>
      <w:r>
        <w:t xml:space="preserve">not claimed as evidence, because its queries were never </w:t>
      </w:r>
      <w:del w:id="302" w:author="Arshad Akhtar Abbasia" w:date="2026-10-04T12:00:00Z">
        <w:r>
          <w:delText xml:space="preserve">recorded; only the resulting draft survives, and it is used in this chapter solely as an artifact demonstrating the absence of a protocol. </w:delText>
        </w:r>
      </w:del>
      <w:ins w:id="303" w:author="Arshad Akhtar Abbasia" w:date="2026-10-04T12:00:00Z">
        <w:r>
          <w:t xml:space="preserve">recorded. </w:t>
        </w:r>
      </w:ins>
      <w:r>
        <w:t xml:space="preserve">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w:t>
      </w:r>
      <w:ins w:id="304" w:author="Arshad Akhtar Abbasia" w:date="2026-10-04T12:00:00Z">
        <w:r>
          <w:t xml:space="preserve">search </w:t>
        </w:r>
      </w:ins>
      <w:r>
        <w:t xml:space="preserve">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p>
      <w:pPr>
        <w:pStyle w:val="Heading2"/>
      </w:pPr>
      <w:ins w:id="305" w:author="Arshad Akhtar Abbasia" w:date="2026-10-04T12:00:00Z">
        <w:r>
          <w:t xml:space="preserve">2.2 </w:t>
        </w:r>
      </w:ins>
      <w:r>
        <w:t xml:space="preserve">The Cross-Border Health Data Exchange Landscape</w:t>
      </w:r>
    </w:p>
    <w:p>
      <w:pPr>
        <w:pStyle w:val="BodyText"/>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w:t>
      </w:r>
      <w:del w:id="306" w:author="Arshad Akhtar Abbasia" w:date="2026-10-04T12:00:00Z">
        <w:r>
          <w:delText xml:space="preserve">a National Digital Health Authority </w:delText>
        </w:r>
      </w:del>
      <w:ins w:id="307" w:author="Arshad Akhtar Abbasia" w:date="2026-10-04T12:00:00Z">
        <w:r>
          <w:t xml:space="preserve">one or more digital health authorities and inform the Commission of them </w:t>
        </w:r>
      </w:ins>
      <w:r>
        <w:t xml:space="preserve">by </w:t>
      </w:r>
      <w:del w:id="308" w:author="Arshad Akhtar Abbasia" w:date="2026-10-04T12:00:00Z">
        <w:r>
          <w:delText xml:space="preserve">June 2025, </w:delText>
        </w:r>
      </w:del>
      <w:ins w:id="309" w:author="Arshad Akhtar Abbasia" w:date="2026-10-04T12:00:00Z">
        <w:r>
          <w:t xml:space="preserve">26 March 2027 (Article 19(1)), </w:t>
        </w:r>
      </w:ins>
      <w:r>
        <w:t xml:space="preserve">and </w:t>
      </w:r>
      <w:del w:id="310" w:author="Arshad Akhtar Abbasia" w:date="2026-10-04T12:00:00Z">
        <w:r>
          <w:delText xml:space="preserve">healthcare providers and </w:delText>
        </w:r>
      </w:del>
      <w:ins w:id="311" w:author="Arshad Akhtar Abbasia" w:date="2026-10-04T12:00:00Z">
        <w:r>
          <w:t xml:space="preserve">the requirements on </w:t>
        </w:r>
      </w:ins>
      <w:r>
        <w:t xml:space="preserve">electronic health record </w:t>
      </w:r>
      <w:del w:id="312" w:author="Arshad Akhtar Abbasia" w:date="2026-10-04T12:00:00Z">
        <w:r>
          <w:delText xml:space="preserve">vendors must certify their </w:delText>
        </w:r>
      </w:del>
      <w:r>
        <w:t xml:space="preserve">systems </w:t>
      </w:r>
      <w:del w:id="313" w:author="Arshad Akhtar Abbasia" w:date="2026-10-04T12:00:00Z">
        <w:r>
          <w:delText xml:space="preserve">for interoperability </w:delText>
        </w:r>
      </w:del>
      <w:ins w:id="314" w:author="Arshad Akhtar Abbasia" w:date="2026-10-04T12:00:00Z">
        <w:r>
          <w:t xml:space="preserve">follow the same Article 105 schedule, applying from 26 March 2029 to the systems that process the first priority categories (European Parliament </w:t>
        </w:r>
      </w:ins>
      <w:r>
        <w:t xml:space="preserve">and </w:t>
      </w:r>
      <w:del w:id="315" w:author="Arshad Akhtar Abbasia" w:date="2026-10-04T12:00:00Z">
        <w:r>
          <w:delText xml:space="preserve">security compliance by January 2026 (Ernst &amp; Young, </w:delText>
        </w:r>
      </w:del>
      <w:ins w:id="316" w:author="Arshad Akhtar Abbasia" w:date="2026-10-04T12:00:00Z">
        <w:r>
          <w:t xml:space="preserve">Council of the European Union, </w:t>
        </w:r>
      </w:ins>
      <w:r>
        <w:t xml:space="preserve">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w:t>
      </w:r>
      <w:del w:id="317" w:author="Arshad Akhtar Abbasia" w:date="2026-10-04T12:00:00Z">
        <w:r>
          <w:delText xml:space="preserve">al. </w:delText>
        </w:r>
      </w:del>
      <w:ins w:id="318" w:author="Arshad Akhtar Abbasia" w:date="2026-10-04T12:00:00Z">
        <w:r>
          <w:t xml:space="preserve">al. </w:t>
        </w:r>
      </w:ins>
      <w:r>
        <w:t xml:space="preserve">(2025).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w:t>
      </w:r>
      <w:del w:id="319" w:author="Arshad Akhtar Abbasia" w:date="2026-10-04T12:00:00Z">
        <w:r>
          <w:delText xml:space="preserve">repository with a minimum ten-year </w:delText>
        </w:r>
      </w:del>
      <w:ins w:id="320" w:author="Arshad Akhtar Abbasia" w:date="2026-10-04T12:00:00Z">
        <w:r>
          <w:t xml:space="preserve">repository, whose </w:t>
        </w:r>
      </w:ins>
      <w:r>
        <w:t xml:space="preserve">retention </w:t>
      </w:r>
      <w:del w:id="321" w:author="Arshad Akhtar Abbasia" w:date="2026-10-04T12:00:00Z">
        <w:r>
          <w:delText xml:space="preserve">period.</w:delText>
        </w:r>
      </w:del>
      <w:ins w:id="322" w:author="Arshad Akhtar Abbasia" w:date="2026-10-04T12:00:00Z">
        <w:r>
          <w:t xml:space="preserve">period is set by the deployment binding (Section 2.3).</w:t>
        </w:r>
      </w:ins>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w:t>
      </w:r>
      <w:ins w:id="323" w:author="Arshad Akhtar Abbasia" w:date="2026-10-04T12:00:00Z">
        <w:r>
          <w:t xml:space="preserve">The legal basis, privacy notices and data protection impact assessment were completed by 31 March 2025. </w:t>
        </w:r>
      </w:ins>
      <w:r>
        <w:t xml:space="preserve">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p>
      <w:pPr>
        <w:pStyle w:val="Heading2"/>
      </w:pPr>
      <w:ins w:id="324" w:author="Arshad Akhtar Abbasia" w:date="2026-10-04T12:00:00Z">
        <w:r>
          <w:t xml:space="preserve">2.3 </w:t>
        </w:r>
      </w:ins>
      <w:r>
        <w:t xml:space="preserve">The Audit-Retention versus Right-to-Erasure Tension</w:t>
      </w:r>
    </w:p>
    <w:p>
      <w:pPr>
        <w:pStyle w:val="BodyText"/>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w:t>
      </w:r>
      <w:del w:id="325" w:author="Arshad Akhtar Abbasia" w:date="2026-10-04T12:00:00Z">
        <w:r>
          <w:delText xml:space="preserve">does </w:delText>
        </w:r>
      </w:del>
      <w:ins w:id="326" w:author="Arshad Akhtar Abbasia" w:date="2026-10-04T12:00:00Z">
        <w:r>
          <w:t xml:space="preserve">is reported to </w:t>
        </w:r>
      </w:ins>
      <w:r>
        <w:t xml:space="preserve">specify retention in concrete </w:t>
      </w:r>
      <w:del w:id="327" w:author="Arshad Akhtar Abbasia" w:date="2026-10-04T12:00:00Z">
        <w:r>
          <w:delText xml:space="preserve">terms. The framework adopted by the eHMSEG governance body for cross-border NCPeH operations requires audit repositories to retain records for </w:delText>
        </w:r>
      </w:del>
      <w:ins w:id="328" w:author="Arshad Akhtar Abbasia" w:date="2026-10-04T12:00:00Z">
        <w:r>
          <w:t xml:space="preserve">terms: Simjanoska Misheva et al. (2025) characterise </w:t>
        </w:r>
      </w:ins>
      <w:r>
        <w:t xml:space="preserve">a minimum of ten </w:t>
      </w:r>
      <w:del w:id="329" w:author="Arshad Akhtar Abbasia" w:date="2026-10-04T12:00:00Z">
        <w:r>
          <w:delText xml:space="preserve">years, characterised by Simjanoska Misheva et al. (2025) </w:delText>
        </w:r>
      </w:del>
      <w:ins w:id="330" w:author="Arshad Akhtar Abbasia" w:date="2026-10-04T12:00:00Z">
        <w:r>
          <w:t xml:space="preserve">years for audit repositories </w:t>
        </w:r>
      </w:ins>
      <w:r>
        <w:t xml:space="preserve">as the binding deployment </w:t>
      </w:r>
      <w:del w:id="331" w:author="Arshad Akhtar Abbasia" w:date="2026-10-04T12:00:00Z">
        <w:r>
          <w:delText xml:space="preserve">baseline. </w:delText>
        </w:r>
      </w:del>
      <w:ins w:id="332" w:author="Arshad Akhtar Abbasia" w:date="2026-10-04T12:00:00Z">
        <w:r>
          <w:t xml:space="preserve">baseline for cross-border NCPeH operations. The primary document this thesis could inspect, the agreement under which National Contact Points join the cross-border services, requires each party to ensure its contact point’s compliance “with the requirements for logs, audit trails, non-repudiation” and states no period in its main text (eHealth Network, 2017, clause II.4.2); the annexes that would fix one were not available. The thesis therefore treats ten years as an illustrative value of the floor parameter rather than as an established requirement, and Chapter 4, Corollary 2.2 shows that no result depends on it. </w:t>
        </w:r>
      </w:ins>
      <w:r>
        <w:t xml:space="preserve">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w:t>
      </w:r>
      <w:del w:id="333" w:author="Arshad Akhtar Abbasia" w:date="2026-10-04T12:00:00Z">
        <w:r>
          <w:delText xml:space="preserve">Personal </w:delText>
        </w:r>
      </w:del>
      <w:ins w:id="334" w:author="Arshad Akhtar Abbasia" w:date="2026-10-04T12:00:00Z">
        <w:r>
          <w:t xml:space="preserve">Electronic health </w:t>
        </w:r>
      </w:ins>
      <w:r>
        <w:t xml:space="preserve">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w:t>
      </w:r>
      <w:del w:id="335" w:author="Arshad Akhtar Abbasia" w:date="2026-10-04T12:00:00Z">
        <w:r>
          <w:delText xml:space="preserve">personal </w:delText>
        </w:r>
      </w:del>
      <w:ins w:id="336" w:author="Arshad Akhtar Abbasia" w:date="2026-10-04T12:00:00Z">
        <w:r>
          <w:t xml:space="preserve">the permitted </w:t>
        </w:r>
      </w:ins>
      <w:r>
        <w:t xml:space="preserve">data are not </w:t>
      </w:r>
      <w:del w:id="337" w:author="Arshad Akhtar Abbasia" w:date="2026-10-04T12:00:00Z">
        <w:r>
          <w:delText xml:space="preserve">permitted </w:delText>
        </w:r>
      </w:del>
      <w:r>
        <w:t xml:space="preserve">to </w:t>
      </w:r>
      <w:del w:id="338" w:author="Arshad Akhtar Abbasia" w:date="2026-10-04T12:00:00Z">
        <w:r>
          <w:delText xml:space="preserve">remain. </w:delText>
        </w:r>
      </w:del>
      <w:ins w:id="339" w:author="Arshad Akhtar Abbasia" w:date="2026-10-04T12:00:00Z">
        <w:r>
          <w:t xml:space="preserve">remain within it. </w:t>
        </w:r>
      </w:ins>
      <w:r>
        <w:t xml:space="preserve">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w:t>
      </w:r>
      <w:ins w:id="340" w:author="Arshad Akhtar Abbasia" w:date="2026-10-04T12:00:00Z">
        <w:r>
          <w:t xml:space="preserve">of </w:t>
        </w:r>
      </w:ins>
      <w:r>
        <w:t xml:space="preserve">Secure Processing Environments </w:t>
      </w:r>
      <w:del w:id="341" w:author="Arshad Akhtar Abbasia" w:date="2026-10-04T12:00:00Z">
        <w:r>
          <w:delText xml:space="preserve">to keep </w:delText>
        </w:r>
      </w:del>
      <w:ins w:id="342" w:author="Arshad Akhtar Abbasia" w:date="2026-10-04T12:00:00Z">
        <w:r>
          <w:t xml:space="preserve">“the keeping of </w:t>
        </w:r>
      </w:ins>
      <w:r>
        <w:t xml:space="preserve">identifiable logs of access to and activities </w:t>
      </w:r>
      <w:del w:id="343" w:author="Arshad Akhtar Abbasia" w:date="2026-10-04T12:00:00Z">
        <w:r>
          <w:delText xml:space="preserve">within </w:delText>
        </w:r>
      </w:del>
      <w:ins w:id="344" w:author="Arshad Akhtar Abbasia" w:date="2026-10-04T12:00:00Z">
        <w:r>
          <w:t xml:space="preserve">in </w:t>
        </w:r>
      </w:ins>
      <w:r>
        <w:t xml:space="preserve">the </w:t>
      </w:r>
      <w:ins w:id="345" w:author="Arshad Akhtar Abbasia" w:date="2026-10-04T12:00:00Z">
        <w:r>
          <w:t xml:space="preserve">secure processing </w:t>
        </w:r>
      </w:ins>
      <w:r>
        <w:t xml:space="preserve">environment for the period necessary to verify and audit all processing </w:t>
      </w:r>
      <w:del w:id="346" w:author="Arshad Akhtar Abbasia" w:date="2026-10-04T12:00:00Z">
        <w:r>
          <w:delText xml:space="preserve">operations, and specifies </w:delText>
        </w:r>
      </w:del>
      <w:ins w:id="347" w:author="Arshad Akhtar Abbasia" w:date="2026-10-04T12:00:00Z">
        <w:r>
          <w:t xml:space="preserve">operations in </w:t>
        </w:r>
      </w:ins>
      <w:r>
        <w:t xml:space="preserve">that </w:t>
      </w:r>
      <w:ins w:id="348" w:author="Arshad Akhtar Abbasia" w:date="2026-10-04T12:00:00Z">
        <w:r>
          <w:t xml:space="preserve">environment; </w:t>
        </w:r>
      </w:ins>
      <w:r>
        <w:t xml:space="preserve">logs of access </w:t>
      </w:r>
      <w:ins w:id="349" w:author="Arshad Akhtar Abbasia" w:date="2026-10-04T12:00:00Z">
        <w:r>
          <w:t xml:space="preserve">shall </w:t>
        </w:r>
      </w:ins>
      <w:r>
        <w:t xml:space="preserve">be kept for at least one </w:t>
      </w:r>
      <w:del w:id="350" w:author="Arshad Akhtar Abbasia" w:date="2026-10-04T12:00:00Z">
        <w:r>
          <w:delText xml:space="preserve">year </w:delText>
        </w:r>
      </w:del>
      <w:ins w:id="351" w:author="Arshad Akhtar Abbasia" w:date="2026-10-04T12:00:00Z">
        <w:r>
          <w:t xml:space="preserve">year” </w:t>
        </w:r>
      </w:ins>
      <w:r>
        <w:t xml:space="preserve">(European Parliament and Council of the European Union, 2025). </w:t>
      </w:r>
      <w:del w:id="352" w:author="Arshad Akhtar Abbasia" w:date="2026-10-04T12:00:00Z">
        <w:r>
          <w:delText xml:space="preserve">Identifiable access logs are personal data and are data within the environment. </w:delText>
        </w:r>
      </w:del>
      <w:r>
        <w:t xml:space="preserve">Article 68(12) </w:t>
      </w:r>
      <w:del w:id="353" w:author="Arshad Akhtar Abbasia" w:date="2026-10-04T12:00:00Z">
        <w:r>
          <w:delText xml:space="preserve">governs, in terms, the </w:delText>
        </w:r>
      </w:del>
      <w:ins w:id="354" w:author="Arshad Akhtar Abbasia" w:date="2026-10-04T12:00:00Z">
        <w:r>
          <w:t xml:space="preserve">requires that “the electronic health </w:t>
        </w:r>
      </w:ins>
      <w:r>
        <w:t xml:space="preserve">data within the secure processing environment </w:t>
      </w:r>
      <w:del w:id="355" w:author="Arshad Akhtar Abbasia" w:date="2026-10-04T12:00:00Z">
        <w:r>
          <w:delText xml:space="preserve">rather than only the dataset supplied under the permit; on that reading the Regulation requires of one environment both that data </w:delText>
        </w:r>
      </w:del>
      <w:ins w:id="356" w:author="Arshad Akhtar Abbasia" w:date="2026-10-04T12:00:00Z">
        <w:r>
          <w:t xml:space="preserve">shall </w:t>
        </w:r>
      </w:ins>
      <w:r>
        <w:t xml:space="preserve">be </w:t>
      </w:r>
      <w:del w:id="357" w:author="Arshad Akhtar Abbasia" w:date="2026-10-04T12:00:00Z">
        <w:r>
          <w:delText xml:space="preserve">removed </w:delText>
        </w:r>
      </w:del>
      <w:ins w:id="358" w:author="Arshad Akhtar Abbasia" w:date="2026-10-04T12:00:00Z">
        <w:r>
          <w:t xml:space="preserve">deleted </w:t>
        </w:r>
      </w:ins>
      <w:r>
        <w:t xml:space="preserve">within six months of </w:t>
      </w:r>
      <w:del w:id="359" w:author="Arshad Akhtar Abbasia" w:date="2026-10-04T12:00:00Z">
        <w:r>
          <w:delText xml:space="preserve">permit </w:delText>
        </w:r>
      </w:del>
      <w:ins w:id="360" w:author="Arshad Akhtar Abbasia" w:date="2026-10-04T12:00:00Z">
        <w:r>
          <w:t xml:space="preserve">the </w:t>
        </w:r>
      </w:ins>
      <w:r>
        <w:t xml:space="preserve">expiry </w:t>
      </w:r>
      <w:del w:id="361" w:author="Arshad Akhtar Abbasia" w:date="2026-10-04T12:00:00Z">
        <w:r>
          <w:delText xml:space="preserve">and that identifiable </w:delText>
        </w:r>
      </w:del>
      <w:ins w:id="362" w:author="Arshad Akhtar Abbasia" w:date="2026-10-04T12:00:00Z">
        <w:r>
          <w:t xml:space="preserve">of the data permit”. On the broad reading it reaches access </w:t>
        </w:r>
      </w:ins>
      <w:r>
        <w:t xml:space="preserve">logs </w:t>
      </w:r>
      <w:del w:id="363" w:author="Arshad Akhtar Abbasia" w:date="2026-10-04T12:00:00Z">
        <w:r>
          <w:delText xml:space="preserve">persist for </w:delText>
        </w:r>
      </w:del>
      <w:ins w:id="364" w:author="Arshad Akhtar Abbasia" w:date="2026-10-04T12:00:00Z">
        <w:r>
          <w:t xml:space="preserve">kept </w:t>
        </w:r>
      </w:ins>
      <w:r>
        <w:t xml:space="preserve">at </w:t>
      </w:r>
      <w:del w:id="365" w:author="Arshad Akhtar Abbasia" w:date="2026-10-04T12:00:00Z">
        <w:r>
          <w:delText xml:space="preserve">least twelve months. </w:delText>
        </w:r>
      </w:del>
      <w:ins w:id="366" w:author="Arshad Akhtar Abbasia" w:date="2026-10-04T12:00:00Z">
        <w:r>
          <w:t xml:space="preserve">patient-record granularity, whose entries are themselves data concerning health; on a narrower reading it reaches only the permitted dataset. </w:t>
        </w:r>
      </w:ins>
      <w:r>
        <w:t xml:space="preserve">The reading is </w:t>
      </w:r>
      <w:del w:id="367" w:author="Arshad Akhtar Abbasia" w:date="2026-10-04T12:00:00Z">
        <w:r>
          <w:delText xml:space="preserve">contestable (the provision sits within the data-permit article, and a narrower construction confines it to the permitted dataset) </w:delText>
        </w:r>
      </w:del>
      <w:ins w:id="368" w:author="Arshad Akhtar Abbasia" w:date="2026-10-04T12:00:00Z">
        <w:r>
          <w:t xml:space="preserve">contestable, </w:t>
        </w:r>
      </w:ins>
      <w:r>
        <w:t xml:space="preserve">and Chapter 4, Section 4.6 </w:t>
      </w:r>
      <w:del w:id="369" w:author="Arshad Akhtar Abbasia" w:date="2026-10-04T12:00:00Z">
        <w:r>
          <w:delText xml:space="preserve">states </w:delText>
        </w:r>
      </w:del>
      <w:ins w:id="370" w:author="Arshad Akhtar Abbasia" w:date="2026-10-04T12:00:00Z">
        <w:r>
          <w:t xml:space="preserve">sets out </w:t>
        </w:r>
      </w:ins>
      <w:r>
        <w:t xml:space="preserve">the grounds on both </w:t>
      </w:r>
      <w:del w:id="371" w:author="Arshad Akhtar Abbasia" w:date="2026-10-04T12:00:00Z">
        <w:r>
          <w:delText xml:space="preserve">sides and shows which results depend on which. </w:delText>
        </w:r>
      </w:del>
      <w:ins w:id="372" w:author="Arshad Akhtar Abbasia" w:date="2026-10-04T12:00:00Z">
        <w:r>
          <w:t xml:space="preserve">sides. </w:t>
        </w:r>
      </w:ins>
      <w:r>
        <w:t xml:space="preserve">On the broad reading, </w:t>
      </w:r>
      <w:ins w:id="373" w:author="Arshad Akhtar Abbasia" w:date="2026-10-04T12:00:00Z">
        <w:r>
          <w:t xml:space="preserve">for logs kept at patient-record granularity, </w:t>
        </w:r>
      </w:ins>
      <w:r>
        <w:t xml:space="preserve">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A further explanation </w:t>
      </w:r>
      <w:del w:id="374" w:author="Arshad Akhtar Abbasia" w:date="2026-10-04T12:00:00Z">
        <w:r>
          <w:delText xml:space="preserve">is procedural and worth recording, because the apparent obviousness </w:delText>
        </w:r>
      </w:del>
      <w:r>
        <w:t xml:space="preserve">of </w:t>
      </w:r>
      <w:ins w:id="375" w:author="Arshad Akhtar Abbasia" w:date="2026-10-04T12:00:00Z">
        <w:r>
          <w:t xml:space="preserve">why </w:t>
        </w:r>
      </w:ins>
      <w:r>
        <w:t xml:space="preserve">the conflict </w:t>
      </w:r>
      <w:del w:id="376" w:author="Arshad Akhtar Abbasia" w:date="2026-10-04T12:00:00Z">
        <w:r>
          <w:delText xml:space="preserve">otherwise invites the question of why it </w:delText>
        </w:r>
      </w:del>
      <w:r>
        <w:t xml:space="preserve">has not been </w:t>
      </w:r>
      <w:del w:id="377" w:author="Arshad Akhtar Abbasia" w:date="2026-10-04T12:00:00Z">
        <w:r>
          <w:delText xml:space="preserve">addressed. </w:delText>
        </w:r>
      </w:del>
      <w:ins w:id="378" w:author="Arshad Akhtar Abbasia" w:date="2026-10-04T12:00:00Z">
        <w:r>
          <w:t xml:space="preserve">addressed is procedural. </w:t>
        </w:r>
      </w:ins>
      <w:r>
        <w:t xml:space="preserve">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t>
      </w:r>
    </w:p>
    <w:p>
      <w:pPr>
        <w:pStyle w:val="BodyText"/>
      </w:pPr>
      <w:r>
        <w:t xml:space="preserve">The conflict is structural and operational. When a Norwegian patient is treated under MyHealth@EU in another Member State, the cross-border access event is logged in the foreign NCPeH’s ATNA-compliant audit repository for </w:t>
      </w:r>
      <w:del w:id="379" w:author="Arshad Akhtar Abbasia" w:date="2026-10-04T12:00:00Z">
        <w:r>
          <w:delText xml:space="preserve">at least ten years. </w:delText>
        </w:r>
      </w:del>
      <w:ins w:id="380" w:author="Arshad Akhtar Abbasia" w:date="2026-10-04T12:00:00Z">
        <w:r>
          <w:t xml:space="preserve">the period its deployment binding sets. </w:t>
        </w:r>
      </w:ins>
      <w:r>
        <w:t xml:space="preserve">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w:t>
      </w:r>
      <w:del w:id="381" w:author="Arshad Akhtar Abbasia" w:date="2026-10-04T12:00:00Z">
        <w:r>
          <w:delText xml:space="preserve">eHDSI ten-year baseline. </w:delText>
        </w:r>
      </w:del>
      <w:ins w:id="382" w:author="Arshad Akhtar Abbasia" w:date="2026-10-04T12:00:00Z">
        <w:r>
          <w:t xml:space="preserve">cross-border floor. </w:t>
        </w:r>
      </w:ins>
      <w:r>
        <w:t xml:space="preserve">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w:t>
      </w:r>
      <w:del w:id="383" w:author="Arshad Akhtar Abbasia" w:date="2026-10-04T12:00:00Z">
        <w:r>
          <w:delText xml:space="preserve">ten years </w:delText>
        </w:r>
      </w:del>
      <w:ins w:id="384" w:author="Arshad Akhtar Abbasia" w:date="2026-10-04T12:00:00Z">
        <w:r>
          <w:t xml:space="preserve">the length of the floor </w:t>
        </w:r>
      </w:ins>
      <w:r>
        <w:t xml:space="preserve">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The technique is not without criticism. SecuPi (2025) argues that cryptographic erasure introduces operational complexity in row-level encryption scenarios and that auditable key management adds rather than removes overhead, making it inappropriate as a general solution for the right to erasure in heavily distributed systems. </w:t>
      </w:r>
      <w:del w:id="385" w:author="Arshad Akhtar Abbasia" w:date="2026-10-04T12:00:00Z">
        <w:r>
          <w:delText xml:space="preserve">Engaging with this critique is essential for the thesis to remain defensible; </w:delText>
        </w:r>
      </w:del>
      <w:r>
        <w:t xml:space="preserve">Chapter </w:t>
      </w:r>
      <w:del w:id="386" w:author="Arshad Akhtar Abbasia" w:date="2026-10-04T12:00:00Z">
        <w:r>
          <w:delText xml:space="preserve">6 returns to it explicitly.</w:delText>
        </w:r>
      </w:del>
      <w:ins w:id="387" w:author="Arshad Akhtar Abbasia" w:date="2026-10-04T12:00:00Z">
        <w:r>
          <w:t xml:space="preserve">6, Section 6.4 engages it.</w:t>
        </w:r>
      </w:ins>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(“anonymisering likestilles med sletting av personopplysninger”),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w:t>
      </w:r>
      <w:del w:id="388" w:author="Arshad Akhtar Abbasia" w:date="2026-10-04T12:00:00Z">
        <w:r>
          <w:delText xml:space="preserve">eHDSI ten-year </w:delText>
        </w:r>
      </w:del>
      <w:ins w:id="389" w:author="Arshad Akhtar Abbasia" w:date="2026-10-04T12:00:00Z">
        <w:r>
          <w:t xml:space="preserve">cross-border </w:t>
        </w:r>
      </w:ins>
      <w:r>
        <w:t xml:space="preserve">retention </w:t>
      </w:r>
      <w:del w:id="390" w:author="Arshad Akhtar Abbasia" w:date="2026-10-04T12:00:00Z">
        <w:r>
          <w:delText xml:space="preserve">baseline, </w:delText>
        </w:r>
      </w:del>
      <w:ins w:id="391" w:author="Arshad Akhtar Abbasia" w:date="2026-10-04T12:00:00Z">
        <w:r>
          <w:t xml:space="preserve">floor, </w:t>
        </w:r>
      </w:ins>
      <w:r>
        <w:t xml:space="preserve">GDPR Article 17(3)(b), and the </w:t>
      </w:r>
      <w:del w:id="392" w:author="Arshad Akhtar Abbasia" w:date="2026-10-04T12:00:00Z">
        <w:r>
          <w:delText xml:space="preserve">TEHDAS2 </w:delText>
        </w:r>
      </w:del>
      <w:r>
        <w:t xml:space="preserve">six-month </w:t>
      </w:r>
      <w:del w:id="393" w:author="Arshad Akhtar Abbasia" w:date="2026-10-04T12:00:00Z">
        <w:r>
          <w:delText xml:space="preserve">rule. </w:delText>
        </w:r>
      </w:del>
      <w:ins w:id="394" w:author="Arshad Akhtar Abbasia" w:date="2026-10-04T12:00:00Z">
        <w:r>
          <w:t xml:space="preserve">rule of Article 68(12). </w:t>
        </w:r>
      </w:ins>
      <w:r>
        <w:t xml:space="preserve">The mechanism must be both technically demonstrable and compatible with the operational reality of Norwegian NCPeH and Helsedataservice. The next section reviews the cryptographic literature that informs the design of such a mechanism.</w:t>
      </w:r>
    </w:p>
    <w:p>
      <w:pPr>
        <w:pStyle w:val="Heading2"/>
      </w:pPr>
      <w:ins w:id="395" w:author="Arshad Akhtar Abbasia" w:date="2026-10-04T12:00:00Z">
        <w:r>
          <w:t xml:space="preserve">2.4 </w:t>
        </w:r>
      </w:ins>
      <w:r>
        <w:t xml:space="preserve">Cryptographic Approaches to Audit Compliance</w:t>
      </w:r>
    </w:p>
    <w:p>
      <w:pPr>
        <w:pStyle w:val="BodyText"/>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 “disruptive logging” 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rPr>
          <w:ins w:id="396" w:author="Arshad Akhtar Abbasia" w:date="2026-10-04T12:00:00Z"/>
        </w:rPr>
      </w:pPr>
      <w:ins w:id="397" w:author="Arshad Akhtar Abbasia" w:date="2026-10-04T12:00:00Z">
        <w:r>
          <w:t xml:space="preserve">A second strand applies zero-knowledge proofs to electronic health record access control. The closest comparator is Albalwy (2026), whose ZK-EHR framework uses a Groth16 zk-SNARK circuit to let a patient, a doctor or a researcher prove that they hold policy-compliant credentials for cross-institutional sharing without revealing identity, role or affiliation, with encrypted records held off-chain and verification on-chain. It works within a single jurisdiction; the cross-border space addressed by MyHealth@EU, with its eIDAS-based authentication chains and audit repositories spanning several national legal regimes, is distinct.</w:t>
        </w:r>
      </w:ins>
    </w:p>
    <w:p>
      <w:pPr>
        <w:pStyle w:val="BodyText"/>
        <w:rPr>
          <w:ins w:id="398" w:author="Arshad Akhtar Abbasia" w:date="2026-10-04T12:00:00Z"/>
        </w:rPr>
      </w:pPr>
      <w:ins w:id="399" w:author="Arshad Akhtar Abbasia" w:date="2026-10-04T12:00:00Z">
        <w:r>
          <w:t xml:space="preserve">Health-zkIDM (Bai et al., 2022) shows that decentralised identity management with zero-knowledge components runs at more than 400 transactions per second on Hyperledger Fabric; it targets identity verification rather than audit-trail erasure.</w:t>
        </w:r>
      </w:ins>
    </w:p>
    <w:p>
      <w:pPr>
        <w:pStyle w:val="BodyText"/>
        <w:rPr>
          <w:ins w:id="400" w:author="Arshad Akhtar Abbasia" w:date="2026-10-04T12:00:00Z"/>
        </w:rPr>
      </w:pPr>
      <w:ins w:id="401" w:author="Arshad Akhtar Abbasia" w:date="2026-10-04T12:00:00Z">
        <w:r>
          <w:t xml:space="preserve">zkFL-Health (Sharma et al., 2025) combines federated learning, trusted execution and succinct proofs generated with Halo2 or Nova, so that an aggregator proves it used exactly the committed client updates, and records the commitments on-chain as what the authors call an “immutable audit trail”. It illustrates the pattern on which the mechanism of this thesis also rests: commitments in the trail, data held elsewhere.</w:t>
        </w:r>
      </w:ins>
    </w:p>
    <w:p>
      <w:pPr>
        <w:pStyle w:val="BodyText"/>
        <w:rPr>
          <w:del w:id="402" w:author="Arshad Akhtar Abbasia" w:date="2026-10-04T12:00:00Z"/>
        </w:rPr>
      </w:pPr>
      <w:del w:id="403" w:author="Arshad Akhtar Abbasia" w:date="2026-10-04T12:00:00Z">
        <w:r>
          <w:delText xml:space="preserve">A second strand of work has explored zero-knowledge proofs applied to electronic health record access control, with the most direct comparator for the present thesis being Albalwy (2026). The ZK-EHR framework uses a Groth16 zk-SNARK circuit to enforce policy compliance for cross-institutional health data sharing, with three actor roles defined as the Patient as data owner, the Doctor as care provider, and the Researcher as authorised analyst. Encrypted records are stored on the InterPlanetary File System, with on-chain smart contracts handling policy enforcement and cryptographic verification. The architecture decouples authorisation from identity disclosure, allowing a requesting actor to prove they hold valid policy-compliant credentials without revealing their identity, role, or affiliations. The framework reports an on-chain verification latency of approximately 390 milliseconds and a gas consumption of 216,631 units per verification. Albalwy’s contribution occupies the cross-institutional space within a single jurisdiction; the cross-border space addressed by MyHealth@EU, with its eIDAS-based authentication chains and its operational coupling to ATNA-compliant audit repositories spanning multiple national legal regimes, is genuinely distinct.</w:delText>
        </w:r>
      </w:del>
    </w:p>
    <w:p>
      <w:pPr>
        <w:pStyle w:val="BodyText"/>
        <w:rPr>
          <w:del w:id="404" w:author="Arshad Akhtar Abbasia" w:date="2026-10-04T12:00:00Z"/>
        </w:rPr>
      </w:pPr>
      <w:del w:id="405" w:author="Arshad Akhtar Abbasia" w:date="2026-10-04T12:00:00Z">
        <w:r>
          <w:delText xml:space="preserve">The Health-zkIDM system developed by Bai et al. (2022) provides a complementary perspective. Built on Hyperledger Fabric with zero-knowledge proof components implemented at the chaincode level, Health-zkIDM achieves throughput exceeding 400 transactions per second in Caliper benchmarking, demonstrating that decentralised identity management with cryptographic privacy guarantees is operationally viable in healthcare settings. The architecture targets identity verification rather than audit-trail erasure, but its performance evidence is informative for the design constraints of any cross-border verifiable compliance mechanism.</w:delText>
        </w:r>
      </w:del>
    </w:p>
    <w:p>
      <w:pPr>
        <w:pStyle w:val="BodyText"/>
        <w:rPr>
          <w:del w:id="406" w:author="Arshad Akhtar Abbasia" w:date="2026-10-04T12:00:00Z"/>
        </w:rPr>
      </w:pPr>
      <w:del w:id="407" w:author="Arshad Akhtar Abbasia" w:date="2026-10-04T12:00:00Z">
        <w:r>
          <w:delText xml:space="preserve">A more recent contribution is zkFL-Health (Sharma et al., 2025), which combines federated learning with zero-knowledge proofs and trusted execution environments for medical artificial intelligence training. Clients train locally and commit cryptographic representations of their updates. An aggregator operating within a trusted execution environment then computes the global update and produces a succinct zero-knowledge proof, generated using Halo2 or Nova. The proof shows that the aggregation used exactly the committed inputs and applied the prescribed rule, without revealing any individual client update. Verifier nodes record cryptographic commitments on-chain, creating what the authors explicitly characterise as an “immutable audit trail” removing the need to trust any single party. zkFL-Health is significant for the present thesis in two respects. It demonstrates that the combination of trusted execution environments and zero-knowledge proofs can produce verifiable audit trails compatible with healthcare data. And it provides a recent illustration of the design pattern in which commitments on-chain reference data held off-chain, a pattern central to the cryptographic-erasure-by-invalidation mechanism this thesis proposes.</w:delText>
        </w:r>
      </w:del>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rPr>
          <w:ins w:id="408" w:author="Arshad Akhtar Abbasia" w:date="2026-10-04T12:00:00Z"/>
        </w:rPr>
      </w:pPr>
      <w:ins w:id="409" w:author="Arshad Akhtar Abbasia" w:date="2026-10-04T12:00:00Z">
        <w:r>
          <w:t xml:space="preserve">The integrity of the audit trail itself has an older literature of its own. Schneier and Kelsey (1999) designed audit logs in which entries written before an attacker compromises the logging machine can be neither read nor altered without detection, by chaining each entry to its predecessor under evolving keys. Crosby and Wallach (2009) replaced the chain with a Merkle tree (Merkle, 1988), so that the presence of a single entry, and the consistency of an earlier version of the log with a later one, can each be checked with a proof logarithmic in the size of the log. Certificate Transparency standardised that construction for public append-only logs (Laurie, Langley, &amp; Kasper, 2013), and has operated it at the scale of the web’s certificate infrastructure (Laurie, 2014). These designs make a log immutable in the sense accountability needs. None was designed for a log that must also lose content on request, and a log that records personal data in its entries, as KONFIDO’s blockchain component did, reproduces the immutability-against-erasure tension described above. Chapter 4, Section 4.8 keeps the construction and resolves the tension by deciding what an entry may contain.</w:t>
        </w:r>
      </w:ins>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w:t>
      </w:r>
      <w:del w:id="410" w:author="Arshad Akhtar Abbasia" w:date="2026-10-04T12:00:00Z">
        <w:r>
          <w:delText xml:space="preserve">observation: it </w:delText>
        </w:r>
      </w:del>
      <w:ins w:id="411" w:author="Arshad Akhtar Abbasia" w:date="2026-10-04T12:00:00Z">
        <w:r>
          <w:t xml:space="preserve">observation, and an old one: Boneh and Lipton (1996) proposed making files removable from backups by encrypting them and later forgetting the key. It </w:t>
        </w:r>
      </w:ins>
      <w:r>
        <w:t xml:space="preserve">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w:t>
      </w:r>
      <w:del w:id="412" w:author="Arshad Akhtar Abbasia" w:date="2026-10-04T12:00:00Z">
        <w:r>
          <w:delText xml:space="preserve">honest </w:delText>
        </w:r>
      </w:del>
      <w:r>
        <w:t xml:space="preserve">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 erasure under multi-regime retention conflict: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 “erasure” and “anonymisation” 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w:t>
      </w:r>
      <w:del w:id="413" w:author="Arshad Akhtar Abbasia" w:date="2026-10-04T12:00:00Z">
        <w:r>
          <w:delText xml:space="preserve">thesis, and honest scholarship requires it be surfaced rather than left for a reviewer to find. </w:delText>
        </w:r>
      </w:del>
      <w:ins w:id="414" w:author="Arshad Akhtar Abbasia" w:date="2026-10-04T12:00:00Z">
        <w:r>
          <w:t xml:space="preserve">thesis. </w:t>
        </w:r>
      </w:ins>
      <w:r>
        <w:t xml:space="preserve">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 recoverable 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 attested invalidation, not a proven 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w:t>
      </w:r>
      <w:del w:id="415" w:author="Arshad Akhtar Abbasia" w:date="2026-10-04T12:00:00Z">
        <w:r>
          <w:delText xml:space="preserve">accumulator witnesses, </w:delText>
        </w:r>
      </w:del>
      <w:ins w:id="416" w:author="Arshad Akhtar Abbasia" w:date="2026-10-04T12:00:00Z">
        <w:r>
          <w:t xml:space="preserve">a tamper-evident log, </w:t>
        </w:r>
      </w:ins>
      <w:r>
        <w:t xml:space="preserve">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p>
      <w:pPr>
        <w:pStyle w:val="Heading2"/>
      </w:pPr>
      <w:ins w:id="417" w:author="Arshad Akhtar Abbasia" w:date="2026-10-04T12:00:00Z">
        <w:r>
          <w:t xml:space="preserve">2.5 </w:t>
        </w:r>
      </w:ins>
      <w:r>
        <w:t xml:space="preserve">Formal Approaches to Regulatory-Compliance Verification</w:t>
      </w:r>
    </w:p>
    <w:p>
      <w:pPr>
        <w:pStyle w:val="BodyText"/>
      </w:pPr>
      <w:r>
        <w:t xml:space="preserve">The thesis’s analytical method belongs to a research tradition that treats legal compliance as a formal-verification problem, and </w:t>
      </w:r>
      <w:del w:id="418" w:author="Arshad Akhtar Abbasia" w:date="2026-10-04T12:00:00Z">
        <w:r>
          <w:delText xml:space="preserve">this tradition must be reviewed </w:delText>
        </w:r>
      </w:del>
      <w:ins w:id="419" w:author="Arshad Akhtar Abbasia" w:date="2026-10-04T12:00:00Z">
        <w:r>
          <w:t xml:space="preserve">reviewing it </w:t>
        </w:r>
      </w:ins>
      <w:r>
        <w:t xml:space="preserve">both </w:t>
      </w:r>
      <w:del w:id="420" w:author="Arshad Akhtar Abbasia" w:date="2026-10-04T12:00:00Z">
        <w:r>
          <w:delText xml:space="preserve">to anchor </w:delText>
        </w:r>
      </w:del>
      <w:ins w:id="421" w:author="Arshad Akhtar Abbasia" w:date="2026-10-04T12:00:00Z">
        <w:r>
          <w:t xml:space="preserve">anchors </w:t>
        </w:r>
      </w:ins>
      <w:r>
        <w:t xml:space="preserve">the method and </w:t>
      </w:r>
      <w:del w:id="422" w:author="Arshad Akhtar Abbasia" w:date="2026-10-04T12:00:00Z">
        <w:r>
          <w:delText xml:space="preserve">to bound </w:delText>
        </w:r>
      </w:del>
      <w:ins w:id="423" w:author="Arshad Akhtar Abbasia" w:date="2026-10-04T12:00:00Z">
        <w:r>
          <w:t xml:space="preserve">bounds </w:t>
        </w:r>
      </w:ins>
      <w:r>
        <w:t xml:space="preserve">the novelty </w:t>
      </w:r>
      <w:del w:id="424" w:author="Arshad Akhtar Abbasia" w:date="2026-10-04T12:00:00Z">
        <w:r>
          <w:delText xml:space="preserve">claim honestly.</w:delText>
        </w:r>
      </w:del>
      <w:ins w:id="425" w:author="Arshad Akhtar Abbasia" w:date="2026-10-04T12:00:00Z">
        <w:r>
          <w:t xml:space="preserve">claim.</w:t>
        </w:r>
      </w:ins>
    </w:p>
    <w:p>
      <w:pPr>
        <w:pStyle w:val="BodyText"/>
      </w:pPr>
      <w:r>
        <w:t xml:space="preserve">The most direct methodological ancestor is the work of Feng, Marsso, Sabetzadeh, and Chechik </w:t>
      </w:r>
      <w:del w:id="426" w:author="Arshad Akhtar Abbasia" w:date="2026-10-04T12:00:00Z">
        <w:r>
          <w:delText xml:space="preserve">(2022) </w:delText>
        </w:r>
      </w:del>
      <w:ins w:id="427" w:author="Arshad Akhtar Abbasia" w:date="2026-10-04T12:00:00Z">
        <w:r>
          <w:t xml:space="preserve">(2023) </w:t>
        </w:r>
      </w:ins>
      <w:r>
        <w:t xml:space="preserve">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w:t>
      </w:r>
      <w:del w:id="428" w:author="Arshad Akhtar Abbasia" w:date="2026-10-04T12:00:00Z">
        <w:r>
          <w:delText xml:space="preserve">double-edged and is stated plainly. </w:delText>
        </w:r>
      </w:del>
      <w:ins w:id="429" w:author="Arshad Akhtar Abbasia" w:date="2026-10-04T12:00:00Z">
        <w:r>
          <w:t xml:space="preserve">double-edged. </w:t>
        </w:r>
      </w:ins>
      <w:r>
        <w:t xml:space="preserve">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w:t>
      </w:r>
      <w:del w:id="430" w:author="Arshad Akhtar Abbasia" w:date="2026-10-04T12:00:00Z">
        <w:r>
          <w:delText xml:space="preserve">deliberately </w:delText>
        </w:r>
      </w:del>
      <w:r>
        <w:t xml:space="preserve">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 “verifiable” 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w:t>
      </w:r>
      <w:del w:id="431" w:author="Arshad Akhtar Abbasia" w:date="2026-10-04T12:00:00Z">
        <w:r>
          <w:delText xml:space="preserve">2022); </w:delText>
        </w:r>
      </w:del>
      <w:ins w:id="432" w:author="Arshad Akhtar Abbasia" w:date="2026-10-04T12:00:00Z">
        <w:r>
          <w:t xml:space="preserve">2023); </w:t>
        </w:r>
      </w:ins>
      <w:r>
        <w:t xml:space="preserve">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p>
      <w:pPr>
        <w:pStyle w:val="Heading2"/>
      </w:pPr>
      <w:ins w:id="433" w:author="Arshad Akhtar Abbasia" w:date="2026-10-04T12:00:00Z">
        <w:r>
          <w:t xml:space="preserve">2.6 </w:t>
        </w:r>
      </w:ins>
      <w:r>
        <w:t xml:space="preserve">Norwegian Secondary-Use Infrastructure</w:t>
      </w:r>
    </w:p>
    <w:p>
      <w:pPr>
        <w:pStyle w:val="BodyText"/>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 “it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 (SPUHiN,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w:t>
      </w:r>
      <w:del w:id="434" w:author="Arshad Akhtar Abbasia" w:date="2026-10-04T12:00:00Z">
        <w:r>
          <w:delText xml:space="preserve">recommendations were consolidated into final form as </w:delText>
        </w:r>
      </w:del>
      <w:ins w:id="435" w:author="Arshad Akhtar Abbasia" w:date="2026-10-04T12:00:00Z">
        <w:r>
          <w:t xml:space="preserve">criteria were, by the Directorate’s account, included in </w:t>
        </w:r>
      </w:ins>
      <w:r>
        <w:t xml:space="preserve">SPUHiN deliverable D5.2, Recommendations for minimum requirements for Secure Processing Environments in Norway.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w:t>
      </w:r>
      <w:del w:id="436" w:author="Arshad Akhtar Abbasia" w:date="2026-10-04T12:00:00Z">
        <w:r>
          <w:delText xml:space="preserve">finalised </w:delText>
        </w:r>
      </w:del>
      <w:r>
        <w:t xml:space="preserve">checklists </w:t>
      </w:r>
      <w:ins w:id="437" w:author="Arshad Akhtar Abbasia" w:date="2026-10-04T12:00:00Z">
        <w:r>
          <w:t xml:space="preserve">in the hearing version </w:t>
        </w:r>
      </w:ins>
      <w:r>
        <w:t xml:space="preserve">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w:t>
      </w:r>
      <w:del w:id="438" w:author="Arshad Akhtar Abbasia" w:date="2026-10-04T12:00:00Z">
        <w:r>
          <w:delText xml:space="preserve">the finalised </w:delText>
        </w:r>
      </w:del>
      <w:ins w:id="439" w:author="Arshad Akhtar Abbasia" w:date="2026-10-04T12:00:00Z">
        <w:r>
          <w:t xml:space="preserve">those </w:t>
        </w:r>
      </w:ins>
      <w:r>
        <w:t xml:space="preserve">criteria do not contain, at any grade, is a requirement or mechanism addressing the reconciliation of audit-retention obligations with erasure and deletion obligations on the records the SPE generates. The gap identified by this thesis therefore survives </w:t>
      </w:r>
      <w:del w:id="440" w:author="Arshad Akhtar Abbasia" w:date="2026-10-04T12:00:00Z">
        <w:r>
          <w:delText xml:space="preserve">contact with </w:delText>
        </w:r>
      </w:del>
      <w:r>
        <w:t xml:space="preserve">the </w:t>
      </w:r>
      <w:del w:id="441" w:author="Arshad Akhtar Abbasia" w:date="2026-10-04T12:00:00Z">
        <w:r>
          <w:delText xml:space="preserve">final national document, </w:delText>
        </w:r>
      </w:del>
      <w:ins w:id="442" w:author="Arshad Akhtar Abbasia" w:date="2026-10-04T12:00:00Z">
        <w:r>
          <w:t xml:space="preserve">hearing version, </w:t>
        </w:r>
      </w:ins>
      <w:r>
        <w:t xml:space="preserve">not </w:t>
      </w:r>
      <w:del w:id="443" w:author="Arshad Akhtar Abbasia" w:date="2026-10-04T12:00:00Z">
        <w:r>
          <w:delText xml:space="preserve">merely its </w:delText>
        </w:r>
      </w:del>
      <w:ins w:id="444" w:author="Arshad Akhtar Abbasia" w:date="2026-10-04T12:00:00Z">
        <w:r>
          <w:t xml:space="preserve">only the 2024 </w:t>
        </w:r>
      </w:ins>
      <w:r>
        <w:t xml:space="preserve">draft: Norway now </w:t>
      </w:r>
      <w:del w:id="445" w:author="Arshad Akhtar Abbasia" w:date="2026-10-04T12:00:00Z">
        <w:r>
          <w:delText xml:space="preserve">possesses finalised </w:delText>
        </w:r>
      </w:del>
      <w:ins w:id="446" w:author="Arshad Akhtar Abbasia" w:date="2026-10-04T12:00:00Z">
        <w:r>
          <w:t xml:space="preserve">has national </w:t>
        </w:r>
      </w:ins>
      <w:r>
        <w:t xml:space="preserve">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w:t>
      </w:r>
      <w:del w:id="447" w:author="Arshad Akhtar Abbasia" w:date="2026-10-04T12:00:00Z">
        <w:r>
          <w:delText xml:space="preserve">period. The Norwegian </w:delText>
        </w:r>
      </w:del>
      <w:ins w:id="448" w:author="Arshad Akhtar Abbasia" w:date="2026-10-04T12:00:00Z">
        <w:r>
          <w:t xml:space="preserve">period: with the </w:t>
        </w:r>
      </w:ins>
      <w:r>
        <w:t xml:space="preserve">NCPeH pilot </w:t>
      </w:r>
      <w:del w:id="449" w:author="Arshad Akhtar Abbasia" w:date="2026-10-04T12:00:00Z">
        <w:r>
          <w:delText xml:space="preserve">is live at </w:delText>
        </w:r>
      </w:del>
      <w:ins w:id="450" w:author="Arshad Akhtar Abbasia" w:date="2026-10-04T12:00:00Z">
        <w:r>
          <w:t xml:space="preserve">of Section 2.2 in production (Helsedirektoratet, 2026), </w:t>
        </w:r>
      </w:ins>
      <w:r>
        <w:t xml:space="preserve">the </w:t>
      </w:r>
      <w:del w:id="451" w:author="Arshad Akhtar Abbasia" w:date="2026-10-04T12:00:00Z">
        <w:r>
          <w:delText xml:space="preserve">Bodø and Stjørdal emergency clinics, receiving patient summaries from Portugal, Czechia, and Finland (Helsedirektoratet, 2026). The </w:delText>
        </w:r>
      </w:del>
      <w:r>
        <w:t xml:space="preserve">cross-border audit records this thesis concerns are </w:t>
      </w:r>
      <w:del w:id="452" w:author="Arshad Akhtar Abbasia" w:date="2026-10-04T12:00:00Z">
        <w:r>
          <w:delText xml:space="preserve">therefore </w:delText>
        </w:r>
      </w:del>
      <w:r>
        <w:t xml:space="preserve">beginning to be generated in </w:t>
      </w:r>
      <w:del w:id="453" w:author="Arshad Akhtar Abbasia" w:date="2026-10-04T12:00:00Z">
        <w:r>
          <w:delText xml:space="preserve">Norwegian production, </w:delText>
        </w:r>
      </w:del>
      <w:ins w:id="454" w:author="Arshad Akhtar Abbasia" w:date="2026-10-04T12:00:00Z">
        <w:r>
          <w:t xml:space="preserve">Norway, </w:t>
        </w:r>
      </w:ins>
      <w:r>
        <w:t xml:space="preserve">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w:t>
      </w:r>
      <w:del w:id="455" w:author="Arshad Akhtar Abbasia" w:date="2026-10-04T12:00:00Z">
        <w:r>
          <w:delText xml:space="preserve">finalised </w:delText>
        </w:r>
      </w:del>
      <w:ins w:id="456" w:author="Arshad Akhtar Abbasia" w:date="2026-10-04T12:00:00Z">
        <w:r>
          <w:t xml:space="preserve">national </w:t>
        </w:r>
      </w:ins>
      <w:r>
        <w:t xml:space="preserve">criteria do not already demand) fits the Norwegian context as it actually is.</w:t>
      </w:r>
    </w:p>
    <w:p>
      <w:pPr>
        <w:pStyle w:val="Heading2"/>
      </w:pPr>
      <w:ins w:id="457" w:author="Arshad Akhtar Abbasia" w:date="2026-10-04T12:00:00Z">
        <w:r>
          <w:t xml:space="preserve">2.7 </w:t>
        </w:r>
      </w:ins>
      <w:r>
        <w:t xml:space="preserve">Information Logistics Framing</w:t>
      </w:r>
    </w:p>
    <w:p>
      <w:pPr>
        <w:pStyle w:val="BodyText"/>
      </w:pPr>
      <w:r>
        <w:t xml:space="preserve">The thesis frames the audit-retention versus erasure problem as one of information </w:t>
      </w:r>
      <w:del w:id="458" w:author="Arshad Akhtar Abbasia" w:date="2026-10-04T12:00:00Z">
        <w:r>
          <w:delText xml:space="preserve">logistics. This framing is not a metaphor but an analytical commitment that grounds the contribution </w:delText>
        </w:r>
      </w:del>
      <w:ins w:id="459" w:author="Arshad Akhtar Abbasia" w:date="2026-10-04T12:00:00Z">
        <w:r>
          <w:t xml:space="preserve">logistics, which places it </w:t>
        </w:r>
      </w:ins>
      <w:r>
        <w:t xml:space="preserve">within the </w:t>
      </w:r>
      <w:del w:id="460" w:author="Arshad Akhtar Abbasia" w:date="2026-10-04T12:00:00Z">
        <w:r>
          <w:delText xml:space="preserve">disciplinary identity </w:delText>
        </w:r>
      </w:del>
      <w:ins w:id="461" w:author="Arshad Akhtar Abbasia" w:date="2026-10-04T12:00:00Z">
        <w:r>
          <w:t xml:space="preserve">discipline </w:t>
        </w:r>
      </w:ins>
      <w:r>
        <w:t xml:space="preserve">of Sustainable Energy Logistics at HiMolde and within </w:t>
      </w:r>
      <w:del w:id="462" w:author="Arshad Akhtar Abbasia" w:date="2026-10-04T12:00:00Z">
        <w:r>
          <w:delText xml:space="preserve">an active academic </w:delText>
        </w:r>
      </w:del>
      <w:ins w:id="463" w:author="Arshad Akhtar Abbasia" w:date="2026-10-04T12:00:00Z">
        <w:r>
          <w:t xml:space="preserve">a </w:t>
        </w:r>
      </w:ins>
      <w:r>
        <w:t xml:space="preserve">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w:t>
      </w:r>
      <w:del w:id="464" w:author="Arshad Akhtar Abbasia" w:date="2026-10-04T12:00:00Z">
        <w:r>
          <w:delText xml:space="preserve">The Organisation for Economic Co-operation and Development has estimated that full data autarky, defined as complete restriction of cross-border data flows, would reduce global gross domestic product by 4.5 percent and cut exports by 8.5 percent (International Chamber of Commerce, 2025). </w:delText>
        </w:r>
      </w:del>
      <w:r>
        <w:t xml:space="preserve">Restrictive and fragmented data policies act as non-tariff barriers in the same operational sense that documentation requirements, retention obligations, and audit rules act as non-tariff barriers in physical logistics.</w:t>
      </w:r>
    </w:p>
    <w:p>
      <w:pPr>
        <w:pStyle w:val="BodyText"/>
        <w:rPr>
          <w:ins w:id="465" w:author="Arshad Akhtar Abbasia" w:date="2026-10-04T12:00:00Z"/>
        </w:rPr>
      </w:pPr>
      <w:ins w:id="466" w:author="Arshad Akhtar Abbasia" w:date="2026-10-04T12:00:00Z">
        <w:r>
          <w:t xml:space="preserve">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 “for at least three years”,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 “may require goods which have been presented to customs to be destroyed” (Article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(Chapter 4, Section 4.5). Checked against the anchoring result of Chapter 6, Section 6.10,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ins>
    </w:p>
    <w:p>
      <w:pPr>
        <w:pStyle w:val="BodyText"/>
        <w:rPr>
          <w:del w:id="467" w:author="Arshad Akhtar Abbasia" w:date="2026-10-04T12:00:00Z"/>
        </w:rPr>
      </w:pPr>
      <w:del w:id="468" w:author="Arshad Akhtar Abbasia" w:date="2026-10-04T12:00:00Z">
        <w:r>
          <w:delText xml:space="preserve">The structural analogy is precise rather than loose. 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ten-year retention floor for that audit log under the eHDSI security framework is the digital equivalent of mandatory customs record-keeping obligations under physical trade law. The right to erasure under General Data Protection Regulation Article 17 is the digital equivalent of the destruction-of-records requirements that apply to perishable or sensitive physical goods. The conflict between these regimes is the same kind of conflict that physical logistics has long managed through ledger-based reconciliation systems, certified destruction protocols, and chain-of-custody documentation.</w:delText>
        </w:r>
      </w:del>
    </w:p>
    <w:p>
      <w:pPr>
        <w:pStyle w:val="BodyText"/>
        <w:rPr>
          <w:del w:id="469" w:author="Arshad Akhtar Abbasia" w:date="2026-10-04T12:00:00Z"/>
        </w:rPr>
      </w:pPr>
      <w:del w:id="470" w:author="Arshad Akhtar Abbasia" w:date="2026-10-04T12:00:00Z">
        <w:r>
          <w:delText xml:space="preserve">The maritime sector provides a concrete Norwegian-context illustration of the information-logistics framing in operation. Norwegian regulations on the medical examination of seafarers are governed by the Norwegian Maritime Authority under the implementation of the International Convention on Standards of Training, Certification and Watchkeeping for Seafarers and the Maritime Labour Convention 2006. They were amended specifically to implement the General Data Protection Regulation, restricting electronic registration of medical certificates by seafarer’s doctors operating outside Norway and the European Economic Area (Norwegian Maritime Authority, 2023). The amendments demonstrate that cross-border health data flow is not a theoretical question for Norwegian maritime and offshore logistics; it is an operationally binding regulatory constraint that already shapes which doctors can submit which medical certifications electronically and which cannot.</w:delText>
        </w:r>
      </w:del>
    </w:p>
    <w:p>
      <w:pPr>
        <w:pStyle w:val="BodyText"/>
      </w:pPr>
      <w:r>
        <w:t xml:space="preserve">The analogy </w:t>
      </w:r>
      <w:del w:id="471" w:author="Arshad Akhtar Abbasia" w:date="2026-10-04T12:00:00Z">
        <w:r>
          <w:delText xml:space="preserve">is load-bearing at </w:delText>
        </w:r>
      </w:del>
      <w:ins w:id="472" w:author="Arshad Akhtar Abbasia" w:date="2026-10-04T12:00:00Z">
        <w:r>
          <w:t xml:space="preserve">constrains </w:t>
        </w:r>
      </w:ins>
      <w:r>
        <w:t xml:space="preserve">one </w:t>
      </w:r>
      <w:del w:id="473" w:author="Arshad Akhtar Abbasia" w:date="2026-10-04T12:00:00Z">
        <w:r>
          <w:delText xml:space="preserve">specific point </w:delText>
        </w:r>
      </w:del>
      <w:ins w:id="474" w:author="Arshad Akhtar Abbasia" w:date="2026-10-04T12:00:00Z">
        <w:r>
          <w:t xml:space="preserve">decision </w:t>
        </w:r>
      </w:ins>
      <w:r>
        <w:t xml:space="preserve">in the </w:t>
      </w:r>
      <w:del w:id="475" w:author="Arshad Akhtar Abbasia" w:date="2026-10-04T12:00:00Z">
        <w:r>
          <w:delText xml:space="preserve">design, and the point is worth isolating because an analogy that motivates a topic without constraining a decision is decoration rather than framing. </w:delText>
        </w:r>
      </w:del>
      <w:ins w:id="476" w:author="Arshad Akhtar Abbasia" w:date="2026-10-04T12:00:00Z">
        <w:r>
          <w:t xml:space="preserve">design. </w:t>
        </w:r>
      </w:ins>
      <w:r>
        <w:t xml:space="preserve">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p>
      <w:pPr>
        <w:pStyle w:val="Heading2"/>
      </w:pPr>
      <w:ins w:id="477" w:author="Arshad Akhtar Abbasia" w:date="2026-10-04T12:00:00Z">
        <w:r>
          <w:t xml:space="preserve">2.8 </w:t>
        </w:r>
      </w:ins>
      <w:r>
        <w:t xml:space="preserve">Comparative Analysis</w:t>
      </w:r>
    </w:p>
    <w:p>
      <w:pPr>
        <w:pStyle w:val="BodyText"/>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t xml:space="preserve">Table 2.1. Comparative Analysis of Cryptographic Compliance Approaches to Health Data Audit</w:t>
      </w:r>
    </w:p>
    <w:p>
      <w:pPr>
        <w:pStyle w:val="BodyText"/>
      </w:pPr>
      <w:del w:id="478" w:author="Arshad Akhtar Abbasia" w:date="2026-10-04T12:00:00Z">
        <w:r>
          <w:delText xml:space="preserve">----------------------------------------------------------------------------------------------------------------------------------------------------------------------------------------------------------------------------------------------------------------------------------------------------------------------------------------------------------------------------------- System                                                          </w:delText>
        </w:r>
      </w:del>
      <w:ins w:id="479" w:author="Arshad Akhtar Abbasia" w:date="2026-10-04T12:00:00Z">
        <w:r>
          <w:t xml:space="preserve">--------------------------------------------------------------------------------------------------------------------------------------------------------------------------------------------------------------------------------------------------------------------------------------------------------------------------------------------------------------------------------------------------------- System </w:t>
        </w:r>
      </w:ins>
      <w:r>
        <w:t xml:space="preserve">Cross-Border or </w:t>
      </w:r>
      <w:del w:id="480" w:author="Arshad Akhtar Abbasia" w:date="2026-10-04T12:00:00Z">
        <w:r>
          <w:delText xml:space="preserve">Cross-Institutional         </w:delText>
        </w:r>
      </w:del>
      <w:ins w:id="481" w:author="Arshad Akhtar Abbasia" w:date="2026-10-04T12:00:00Z">
        <w:r>
          <w:t xml:space="preserve">Cross-Institutional </w:t>
        </w:r>
      </w:ins>
      <w:r>
        <w:t xml:space="preserve">Hardware </w:t>
      </w:r>
      <w:del w:id="482" w:author="Arshad Akhtar Abbasia" w:date="2026-10-04T12:00:00Z">
        <w:r>
          <w:delText xml:space="preserve">Dependency    </w:delText>
        </w:r>
      </w:del>
      <w:ins w:id="483" w:author="Arshad Akhtar Abbasia" w:date="2026-10-04T12:00:00Z">
        <w:r>
          <w:t xml:space="preserve">Dependency </w:t>
        </w:r>
      </w:ins>
      <w:r>
        <w:t xml:space="preserve">Addresses GDPR Article 17 </w:t>
      </w:r>
      <w:del w:id="484" w:author="Arshad Akhtar Abbasia" w:date="2026-10-04T12:00:00Z">
        <w:r>
          <w:delText xml:space="preserve">Erasure                                </w:delText>
        </w:r>
      </w:del>
      <w:ins w:id="485" w:author="Arshad Akhtar Abbasia" w:date="2026-10-04T12:00:00Z">
        <w:r>
          <w:t xml:space="preserve">Erasure </w:t>
        </w:r>
      </w:ins>
      <w:r>
        <w:t xml:space="preserve">Primary or Secondary </w:t>
      </w:r>
      <w:del w:id="486" w:author="Arshad Akhtar Abbasia" w:date="2026-10-04T12:00:00Z">
        <w:r>
          <w:delText xml:space="preserve">Use            </w:delText>
        </w:r>
      </w:del>
      <w:ins w:id="487" w:author="Arshad Akhtar Abbasia" w:date="2026-10-04T12:00:00Z">
        <w:r>
          <w:t xml:space="preserve">Use </w:t>
        </w:r>
      </w:ins>
      <w:r>
        <w:t xml:space="preserve">Norwegian </w:t>
      </w:r>
      <w:del w:id="488" w:author="Arshad Akhtar Abbasia" w:date="2026-10-04T12:00:00Z">
        <w:r>
          <w:delText xml:space="preserve">Context                                          </w:delText>
        </w:r>
      </w:del>
      <w:ins w:id="489" w:author="Arshad Akhtar Abbasia" w:date="2026-10-04T12:00:00Z">
        <w:r>
          <w:t xml:space="preserve">Context </w:t>
        </w:r>
      </w:ins>
      <w:r>
        <w:t xml:space="preserve">Formal Model of the Retention–Erasure Conflict </w:t>
      </w:r>
      <w:del w:id="490" w:author="Arshad Akhtar Abbasia" w:date="2026-10-04T12:00:00Z">
        <w:r>
          <w:delText xml:space="preserve">--------------------------------------------------------------- </w:delText>
        </w:r>
      </w:del>
      <w:ins w:id="491" w:author="Arshad Akhtar Abbasia" w:date="2026-10-04T12:00:00Z">
        <w:r>
          <w:t xml:space="preserve">------------------------------------------------------------------------------------ </w:t>
        </w:r>
      </w:ins>
      <w:r>
        <w:t xml:space="preserve">------------------------------------------- ---------------------- ---------------------------------------------------------------- ----------------------------------- </w:t>
      </w:r>
      <w:del w:id="492" w:author="Arshad Akhtar Abbasia" w:date="2026-10-04T12:00:00Z">
        <w:r>
          <w:delText xml:space="preserve">---------------------------------------------------------- </w:delText>
        </w:r>
      </w:del>
      <w:ins w:id="493" w:author="Arshad Akhtar Abbasia" w:date="2026-10-04T12:00:00Z">
        <w:r>
          <w:t xml:space="preserve">----------------------------------------------------------- </w:t>
        </w:r>
      </w:ins>
      <w:r>
        <w:t xml:space="preserve">-------------------------------------------------------------------------------- </w:t>
      </w:r>
      <w:del w:id="494" w:author="Arshad Akhtar Abbasia" w:date="2026-10-04T12:00:00Z">
        <w:r>
          <w:delText xml:space="preserve">KONFIDO (Natsiavas et al., 2021; Diamantopoulos et al., 2019)   Cross-border (OpenNCP)                      Yes — Intel SGX        No — treats immutability as feature                              Primary use                         EU pilot; not Norway-specific                              No</w:delText>
        </w:r>
      </w:del>
      <w:ins w:id="495" w:author="Arshad Akhtar Abbasia" w:date="2026-10-04T12:00:00Z">
        <w:r>
          <w:t xml:space="preserve">Peer-reviewed systems</w:t>
        </w:r>
      </w:ins>
    </w:p>
    <w:p>
      <w:pPr>
        <w:pStyle w:val="BodyText"/>
        <w:rPr>
          <w:ins w:id="496" w:author="Arshad Akhtar Abbasia" w:date="2026-10-04T12:00:00Z"/>
        </w:rPr>
      </w:pPr>
      <w:ins w:id="497" w:author="Arshad Akhtar Abbasia" w:date="2026-10-04T12:00:00Z">
        <w:r>
          <w:t xml:space="preserve">KONFIDO (Natsiavas et al., 2021; Diamantopoulos et al., 2019) Cross-border (OpenNCP) Yes — Intel SGX No — treats immutability as feature Primary use EU pilot; not Norway-specific No</w:t>
        </w:r>
      </w:ins>
    </w:p>
    <w:p>
      <w:pPr>
        <w:pStyle w:val="BodyText"/>
      </w:pPr>
      <w:r>
        <w:t xml:space="preserve">ZK-EHR (Albalwy, 2026) Cross-institutional No — software only Partial — revocation, not the retention conflict Primary use (clinical) None No</w:t>
      </w:r>
    </w:p>
    <w:p>
      <w:pPr>
        <w:pStyle w:val="BodyText"/>
      </w:pPr>
      <w:r>
        <w:t xml:space="preserve">Health-zkIDM (Bai et al., 2022) Identity (institutional) No No Primary use (identity) None No</w:t>
      </w:r>
    </w:p>
    <w:p>
      <w:pPr>
        <w:pStyle w:val="BodyText"/>
        <w:rPr>
          <w:ins w:id="498" w:author="Arshad Akhtar Abbasia" w:date="2026-10-04T12:00:00Z"/>
        </w:rPr>
      </w:pPr>
      <w:ins w:id="499" w:author="Arshad Akhtar Abbasia" w:date="2026-10-04T12:00:00Z">
        <w:r>
          <w:t xml:space="preserve">NewbornTime (Brunner et al., 2025) Single-institution (Stavanger) No Yes — consent withdrawal Primary use (clinical research) Yes — Norwegian deployment No</w:t>
        </w:r>
      </w:ins>
    </w:p>
    <w:p>
      <w:pPr>
        <w:pStyle w:val="BodyText"/>
        <w:rPr>
          <w:ins w:id="500" w:author="Arshad Akhtar Abbasia" w:date="2026-10-04T12:00:00Z"/>
        </w:rPr>
      </w:pPr>
      <w:ins w:id="501" w:author="Arshad Akhtar Abbasia" w:date="2026-10-04T12:00:00Z">
        <w:r>
          <w:t xml:space="preserve">National policy framework</w:t>
        </w:r>
      </w:ins>
    </w:p>
    <w:p>
      <w:pPr>
        <w:pStyle w:val="BodyText"/>
        <w:rPr>
          <w:ins w:id="502" w:author="Arshad Akhtar Abbasia" w:date="2026-10-04T12:00:00Z"/>
        </w:rPr>
      </w:pPr>
      <w:ins w:id="503" w:author="Arshad Akhtar Abbasia" w:date="2026-10-04T12:00:00Z">
        <w:r>
          <w:t xml:space="preserve">SPUHiN D5.2 criteria (SPUHiN, 2025) National policy framework n/a — specification No — not addressed at any grade Secondary use (SPE) Yes — Norwegian policy, hearing version No</w:t>
        </w:r>
      </w:ins>
    </w:p>
    <w:p>
      <w:pPr>
        <w:pStyle w:val="BodyText"/>
        <w:rPr>
          <w:ins w:id="504" w:author="Arshad Akhtar Abbasia" w:date="2026-10-04T12:00:00Z"/>
        </w:rPr>
      </w:pPr>
      <w:ins w:id="505" w:author="Arshad Akhtar Abbasia" w:date="2026-10-04T12:00:00Z">
        <w:r>
          <w:t xml:space="preserve">Preprints and practitioner sources (not peer-reviewed; compared for position only)</w:t>
        </w:r>
      </w:ins>
    </w:p>
    <w:p>
      <w:pPr>
        <w:pStyle w:val="BodyText"/>
      </w:pPr>
      <w:r>
        <w:t xml:space="preserve">zkFL-Health (Sharma et al., 2025) Cross-institutional federated Yes — TEE aggregator No Secondary use (AI training) None No</w:t>
      </w:r>
    </w:p>
    <w:p>
      <w:pPr>
        <w:pStyle w:val="BodyText"/>
        <w:rPr>
          <w:del w:id="506" w:author="Arshad Akhtar Abbasia" w:date="2026-10-04T12:00:00Z"/>
        </w:rPr>
      </w:pPr>
      <w:del w:id="507" w:author="Arshad Akhtar Abbasia" w:date="2026-10-04T12:00:00Z">
        <w:r>
          <w:delText xml:space="preserve">NewbornTime (Brunner et al., 2025)                              Single-institution (Stavanger)              No                     Yes — consent withdrawal                                         Primary use (clinical research)     Yes — Norwegian deployment                                 No</w:delText>
        </w:r>
      </w:del>
    </w:p>
    <w:p>
      <w:pPr>
        <w:pStyle w:val="BodyText"/>
        <w:rPr>
          <w:del w:id="508" w:author="Arshad Akhtar Abbasia" w:date="2026-10-04T12:00:00Z"/>
        </w:rPr>
      </w:pPr>
      <w:del w:id="509" w:author="Arshad Akhtar Abbasia" w:date="2026-10-04T12:00:00Z">
        <w:r>
          <w:delText xml:space="preserve">SPUHiN D5.2 criteria (SPUHiN, 2025)                             National policy framework                   n/a — specification    No — not addressed at any grade                                  Secondary use (SPE)                 Yes — Norwegian policy, final                              No</w:delText>
        </w:r>
      </w:del>
    </w:p>
    <w:p>
      <w:pPr>
        <w:pStyle w:val="BodyText"/>
      </w:pPr>
      <w:r>
        <w:t xml:space="preserve">Ledger crypto-erasure SoK (Aikebaier, 2026) Storage-technology scope (public ledgers) No Yes — formalises erasure side only n/a None Partial — formalises erasure, excludes retention law by stated scope</w:t>
      </w:r>
    </w:p>
    <w:p>
      <w:pPr>
        <w:pStyle w:val="BodyText"/>
      </w:pPr>
      <w:r>
        <w:t xml:space="preserve">Practitioner crypto-shredding pattern (VeritasChain, 2026) Sector pattern (finance) No Yes — asserted, bi-lateral n/a None No — asserted reconciliation, no model, no verifiability semantics</w:t>
      </w:r>
    </w:p>
    <w:p>
      <w:pPr>
        <w:pStyle w:val="BodyText"/>
      </w:pPr>
      <w:r>
        <w:t xml:space="preserve">This thesis (TRF Model + Crypto-Erasure by </w:t>
      </w:r>
      <w:del w:id="510" w:author="Arshad Akhtar Abbasia" w:date="2026-10-04T12:00:00Z">
        <w:r>
          <w:delText xml:space="preserve">Invalidation)        Cross-border                                </w:delText>
        </w:r>
      </w:del>
      <w:ins w:id="511" w:author="Arshad Akhtar Abbasia" w:date="2026-10-04T12:00:00Z">
        <w:r>
          <w:t xml:space="preserve">Invalidation) Cross-border </w:t>
        </w:r>
      </w:ins>
      <w:r>
        <w:t xml:space="preserve">No — software </w:t>
      </w:r>
      <w:del w:id="512" w:author="Arshad Akhtar Abbasia" w:date="2026-10-04T12:00:00Z">
        <w:r>
          <w:delText xml:space="preserve">only     </w:delText>
        </w:r>
      </w:del>
      <w:ins w:id="513" w:author="Arshad Akhtar Abbasia" w:date="2026-10-04T12:00:00Z">
        <w:r>
          <w:t xml:space="preserve">only </w:t>
        </w:r>
      </w:ins>
      <w:r>
        <w:t xml:space="preserve">Yes — derived from the model, within the EDPB 02/2025 </w:t>
      </w:r>
      <w:del w:id="514" w:author="Arshad Akhtar Abbasia" w:date="2026-10-04T12:00:00Z">
        <w:r>
          <w:delText xml:space="preserve">corridor   </w:delText>
        </w:r>
      </w:del>
      <w:ins w:id="515" w:author="Arshad Akhtar Abbasia" w:date="2026-10-04T12:00:00Z">
        <w:r>
          <w:t xml:space="preserve">corridor </w:t>
        </w:r>
      </w:ins>
      <w:r>
        <w:t xml:space="preserve">Both, at the audit-trail </w:t>
      </w:r>
      <w:del w:id="516" w:author="Arshad Akhtar Abbasia" w:date="2026-10-04T12:00:00Z">
        <w:r>
          <w:delText xml:space="preserve">boundary   </w:delText>
        </w:r>
      </w:del>
      <w:ins w:id="517" w:author="Arshad Akhtar Abbasia" w:date="2026-10-04T12:00:00Z">
        <w:r>
          <w:t xml:space="preserve">boundary </w:t>
        </w:r>
      </w:ins>
      <w:r>
        <w:t xml:space="preserve">Yes — designed against the </w:t>
      </w:r>
      <w:del w:id="518" w:author="Arshad Akhtar Abbasia" w:date="2026-10-04T12:00:00Z">
        <w:r>
          <w:delText xml:space="preserve">finalised </w:delText>
        </w:r>
      </w:del>
      <w:ins w:id="519" w:author="Arshad Akhtar Abbasia" w:date="2026-10-04T12:00:00Z">
        <w:r>
          <w:t xml:space="preserve">documented </w:t>
        </w:r>
      </w:ins>
      <w:r>
        <w:t xml:space="preserve">Norwegian </w:t>
      </w:r>
      <w:del w:id="520" w:author="Arshad Akhtar Abbasia" w:date="2026-10-04T12:00:00Z">
        <w:r>
          <w:delText xml:space="preserve">substrate   </w:delText>
        </w:r>
      </w:del>
      <w:ins w:id="521" w:author="Arshad Akhtar Abbasia" w:date="2026-10-04T12:00:00Z">
        <w:r>
          <w:t xml:space="preserve">substrate </w:t>
        </w:r>
      </w:ins>
      <w:r>
        <w:t xml:space="preserve">Yes — tri-lateral feasibility model with infeasibility and feasibility results </w:t>
      </w:r>
      <w:del w:id="522" w:author="Arshad Akhtar Abbasia" w:date="2026-10-04T12:00:00Z">
        <w:r>
          <w:delText xml:space="preserve">-----------------------------------------------------------------------------------------------------------------------------------------------------------------------------------------------------------------------------------------------------------------------------------------------------------------------------------------------------------------------------------</w:delText>
        </w:r>
      </w:del>
      <w:ins w:id="523" w:author="Arshad Akhtar Abbasia" w:date="2026-10-04T12:00:00Z">
        <w:r>
          <w:t xml:space="preserve">---------------------------------------------------------------------------------------------------------------------------------------------------------------------------------------------------------------------------------------------------------------------------------------------------------------------------------------------------------------------------------------------------------</w:t>
        </w:r>
      </w:ins>
    </w:p>
    <w:p>
      <w:pPr>
        <w:pStyle w:val="BodyText"/>
      </w:pPr>
      <w:r>
        <w:t xml:space="preserve">The table makes the position of the contribution explicit against both its architectural and its analytical neighbours. </w:t>
      </w:r>
      <w:ins w:id="524" w:author="Arshad Akhtar Abbasia" w:date="2026-10-04T12:00:00Z">
        <w:r>
          <w:t xml:space="preserve">Rows in the third band are not peer-reviewed; they are compared for the position they occupy, and no claim of the thesis rests on any of them alone. </w:t>
        </w:r>
      </w:ins>
      <w:r>
        <w:t xml:space="preserve">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p>
      <w:pPr>
        <w:pStyle w:val="Heading2"/>
      </w:pPr>
      <w:ins w:id="525" w:author="Arshad Akhtar Abbasia" w:date="2026-10-04T12:00:00Z">
        <w:r>
          <w:t xml:space="preserve">2.9 </w:t>
        </w:r>
      </w:ins>
      <w:r>
        <w:t xml:space="preserve">Identified Research Gaps</w:t>
      </w:r>
    </w:p>
    <w:p>
      <w:pPr>
        <w:pStyle w:val="BodyText"/>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w:t>
      </w:r>
      <w:del w:id="526" w:author="Arshad Akhtar Abbasia" w:date="2026-10-04T12:00:00Z">
        <w:r>
          <w:delText xml:space="preserve">2022), </w:delText>
        </w:r>
      </w:del>
      <w:ins w:id="527" w:author="Arshad Akhtar Abbasia" w:date="2026-10-04T12:00:00Z">
        <w:r>
          <w:t xml:space="preserve">2023), </w:t>
        </w:r>
      </w:ins>
      <w:r>
        <w:t xml:space="preserve">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strength of this gap is best demonstrated by its sharpest instance. The collision between the six-month deletion ceiling of Article 68(12) and the one-year identifiable-log retention floor of Article 73(1)(e) requires no synthesis across instruments of differing legal </w:t>
      </w:r>
      <w:del w:id="528" w:author="Arshad Akhtar Abbasia" w:date="2026-10-04T12:00:00Z">
        <w:r>
          <w:delText xml:space="preserve">weight and no interpretive work by this author: </w:delText>
        </w:r>
      </w:del>
      <w:ins w:id="529" w:author="Arshad Akhtar Abbasia" w:date="2026-10-04T12:00:00Z">
        <w:r>
          <w:t xml:space="preserve">weight: on the broad reading, for logs kept at patient-record granularity, </w:t>
        </w:r>
      </w:ins>
      <w:r>
        <w:t xml:space="preserve">it is stated by one regulation, in adjacent articles of one chapter, about one environment. The review conducted for this thesis located no treatment of </w:t>
      </w:r>
      <w:del w:id="530" w:author="Arshad Akhtar Abbasia" w:date="2026-10-04T12:00:00Z">
        <w:r>
          <w:delText xml:space="preserve">it: not </w:delText>
        </w:r>
      </w:del>
      <w:ins w:id="531" w:author="Arshad Akhtar Abbasia" w:date="2026-10-04T12:00:00Z">
        <w:r>
          <w:t xml:space="preserve">it </w:t>
        </w:r>
      </w:ins>
      <w:r>
        <w:t xml:space="preserve">in the academic </w:t>
      </w:r>
      <w:del w:id="532" w:author="Arshad Akhtar Abbasia" w:date="2026-10-04T12:00:00Z">
        <w:r>
          <w:delText xml:space="preserve">literature, not </w:delText>
        </w:r>
      </w:del>
      <w:ins w:id="533" w:author="Arshad Akhtar Abbasia" w:date="2026-10-04T12:00:00Z">
        <w:r>
          <w:t xml:space="preserve">literature or </w:t>
        </w:r>
      </w:ins>
      <w:r>
        <w:t xml:space="preserve">in the professional commentary on EHDS secondary </w:t>
      </w:r>
      <w:del w:id="534" w:author="Arshad Akhtar Abbasia" w:date="2026-10-04T12:00:00Z">
        <w:r>
          <w:delText xml:space="preserve">use, and not in the guidance published by the </w:delText>
        </w:r>
      </w:del>
      <w:ins w:id="535" w:author="Arshad Akhtar Abbasia" w:date="2026-10-04T12:00:00Z">
        <w:r>
          <w:t xml:space="preserve">use. The </w:t>
        </w:r>
      </w:ins>
      <w:r>
        <w:t xml:space="preserve">Joint Action drafting the specifications </w:t>
      </w:r>
      <w:del w:id="536" w:author="Arshad Akhtar Abbasia" w:date="2026-10-04T12:00:00Z">
        <w:r>
          <w:delText xml:space="preserve">for both provisions. </w:delText>
        </w:r>
      </w:del>
      <w:ins w:id="537" w:author="Arshad Akhtar Abbasia" w:date="2026-10-04T12:00:00Z">
        <w:r>
          <w:t xml:space="preserve">comes closest. Its specification requires deletion at permit expiry “while ensuring compliance with applicable legal obligations and traceability or reproducibility requirements where relevant” and leaves “the deletion and retention policy” to “balance these obligations” (TEHDAS2, 2026, Table 5.2, OPR-6, p. 43). Its expert commentary goes further: log keeping “raises open questions about how accountability and anonymisation obligations intersect”, and “further guidance will be needed on retention of project-level collaborative metadata” (Annex 7, p. 96). The body drafting the requirements names the question; no mechanism answering it has been published. </w:t>
        </w:r>
      </w:ins>
      <w:r>
        <w:t xml:space="preserve">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t>
      </w:r>
      <w:del w:id="538" w:author="Arshad Akhtar Abbasia" w:date="2026-10-04T12:00:00Z">
        <w:r>
          <w:delText xml:space="preserve">weight this can bear must be stated with the claim rather than left at its first mention: the </w:delText>
        </w:r>
      </w:del>
      <w:r>
        <w:t xml:space="preserve">work is a single-author preprint with industry affiliation and no peer review, and </w:t>
      </w:r>
      <w:del w:id="539" w:author="Arshad Akhtar Abbasia" w:date="2026-10-04T12:00:00Z">
        <w:r>
          <w:delText xml:space="preserve">a reader is entitled to discount it accordingly. </w:delText>
        </w:r>
      </w:del>
      <w:ins w:id="540" w:author="Arshad Akhtar Abbasia" w:date="2026-10-04T12:00:00Z">
        <w:r>
          <w:t xml:space="preserve">carries correspondingly less weight. </w:t>
        </w:r>
      </w:ins>
      <w:r>
        <w:t xml:space="preserve">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w:t>
      </w:r>
      <w:del w:id="541" w:author="Arshad Akhtar Abbasia" w:date="2026-10-04T12:00:00Z">
        <w:r>
          <w:delText xml:space="preserve">contextual and has sharpened since the first version of this review. </w:delText>
        </w:r>
      </w:del>
      <w:ins w:id="542" w:author="Arshad Akhtar Abbasia" w:date="2026-10-04T12:00:00Z">
        <w:r>
          <w:t xml:space="preserve">contextual. </w:t>
        </w:r>
      </w:ins>
      <w:r>
        <w:t xml:space="preserve">The </w:t>
      </w:r>
      <w:del w:id="543" w:author="Arshad Akhtar Abbasia" w:date="2026-10-04T12:00:00Z">
        <w:r>
          <w:delText xml:space="preserve">finalised </w:delText>
        </w:r>
      </w:del>
      <w:r>
        <w:t xml:space="preserve">Norwegian SPE criteria </w:t>
      </w:r>
      <w:ins w:id="544" w:author="Arshad Akhtar Abbasia" w:date="2026-10-04T12:00:00Z">
        <w:r>
          <w:t xml:space="preserve">in their hearing version </w:t>
        </w:r>
      </w:ins>
      <w:r>
        <w:t xml:space="preserve">(SPUHiN,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w:t>
      </w:r>
      <w:del w:id="545" w:author="Arshad Akhtar Abbasia" w:date="2026-10-04T12:00:00Z">
        <w:r>
          <w:delText xml:space="preserve">finalised </w:delText>
        </w:r>
      </w:del>
      <w:r>
        <w:t xml:space="preserve">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p>
      <w:pPr>
        <w:pStyle w:val="Heading2"/>
      </w:pPr>
      <w:ins w:id="546" w:author="Arshad Akhtar Abbasia" w:date="2026-10-04T12:00:00Z">
        <w:r>
          <w:t xml:space="preserve">2.10 </w:t>
        </w:r>
      </w:ins>
      <w:r>
        <w:t xml:space="preserve">Conceptual Positioning of the Thesis</w:t>
      </w:r>
    </w:p>
    <w:p>
      <w:pPr>
        <w:pStyle w:val="BodyText"/>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w:t>
      </w:r>
      <w:del w:id="547" w:author="Arshad Akhtar Abbasia" w:date="2026-10-04T12:00:00Z">
        <w:r>
          <w:delText xml:space="preserve">finalised </w:delText>
        </w:r>
      </w:del>
      <w:ins w:id="548" w:author="Arshad Akhtar Abbasia" w:date="2026-10-04T12:00:00Z">
        <w:r>
          <w:t xml:space="preserve">documented </w:t>
        </w:r>
      </w:ins>
      <w:r>
        <w:t xml:space="preserve">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pPr>
        <w:pStyle w:val="Heading1"/>
      </w:pPr>
      <w:ins w:id="549" w:author="Arshad Akhtar Abbasia" w:date="2026-10-04T12:00:00Z">
        <w:r>
          <w:t xml:space="preserve">Chapter 3. </w:t>
        </w:r>
      </w:ins>
      <w:r>
        <w:t xml:space="preserve">Methodology and Research Design</w:t>
      </w:r>
    </w:p>
    <w:p>
      <w:pPr>
        <w:pStyle w:val="Heading2"/>
      </w:pPr>
      <w:ins w:id="550" w:author="Arshad Akhtar Abbasia" w:date="2026-10-04T12:00:00Z">
        <w:r>
          <w:t xml:space="preserve">3.1 </w:t>
        </w:r>
      </w:ins>
      <w:r>
        <w:t xml:space="preserve">Research Paradigm</w:t>
      </w:r>
    </w:p>
    <w:p>
      <w:pPr>
        <w:pStyle w:val="BodyText"/>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w:t>
      </w:r>
      <w:del w:id="551" w:author="Arshad Akhtar Abbasia" w:date="2026-10-04T12:00:00Z">
        <w:r>
          <w:delText xml:space="preserve">(2022) </w:delText>
        </w:r>
      </w:del>
      <w:ins w:id="552" w:author="Arshad Akhtar Abbasia" w:date="2026-10-04T12:00:00Z">
        <w:r>
          <w:t xml:space="preserve">(2023) </w:t>
        </w:r>
      </w:ins>
      <w:r>
        <w:t xml:space="preserve">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p>
      <w:pPr>
        <w:pStyle w:val="Heading2"/>
      </w:pPr>
      <w:ins w:id="553" w:author="Arshad Akhtar Abbasia" w:date="2026-10-04T12:00:00Z">
        <w:r>
          <w:t xml:space="preserve">3.2 </w:t>
        </w:r>
      </w:ins>
      <w:r>
        <w:t xml:space="preserve">The Design Science Cycle Adopted</w:t>
      </w:r>
    </w:p>
    <w:p>
      <w:pPr>
        <w:pStyle w:val="BodyText"/>
      </w:pPr>
      <w:r>
        <w:t xml:space="preserve">The Peffers et al. (2007) six-activity model structures the thesis and maps onto its chapters as follows.</w:t>
      </w:r>
    </w:p>
    <w:p>
      <w:pPr>
        <w:pStyle w:val="BodyText"/>
      </w:pPr>
      <w:r>
        <w:t xml:space="preserve">Activity 1: Problem identification and motivation. The tri-lateral retention conflict is identified from primary regulatory and technical sources and shown to be unresolved in both the literature and Norwegian national policy. Chapters 1 and 2.</w:t>
      </w:r>
    </w:p>
    <w:p>
      <w:pPr>
        <w:pStyle w:val="BodyText"/>
      </w:pPr>
      <w:r>
        <w:t xml:space="preserve">Activity 2: Definition of objectives for a solution. 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t xml:space="preserve">Activity 3: Design and development. 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t xml:space="preserve">Activity 4: Demonstration. The model and mechanism are instantiated in a software sandbox operating over synthetic patient records, which exhibits the infeasibility result under </w:t>
      </w:r>
      <w:del w:id="554" w:author="Arshad Akhtar Abbasia" w:date="2026-10-04T12:00:00Z">
        <w:r>
          <w:delText xml:space="preserve">status-quo </w:delText>
        </w:r>
      </w:del>
      <w:ins w:id="555" w:author="Arshad Akhtar Abbasia" w:date="2026-10-04T12:00:00Z">
        <w:r>
          <w:t xml:space="preserve">plaintext </w:t>
        </w:r>
      </w:ins>
      <w:r>
        <w:t xml:space="preserve">semantics and the feasibility result under invalidation semantics. Chapter 5.</w:t>
      </w:r>
    </w:p>
    <w:p>
      <w:pPr>
        <w:pStyle w:val="BodyText"/>
      </w:pPr>
      <w:r>
        <w:t xml:space="preserve">Activity 5, Evaluation. The artefact is evaluated against the objectives of Activity 2 on three axes, internal consistency, external compatibility with verified infrastructure, and engagement with the principal counter-positions surfaced in Chapter 2. Chapters 5 and 6.</w:t>
      </w:r>
    </w:p>
    <w:p>
      <w:pPr>
        <w:pStyle w:val="BodyText"/>
        <w:rPr>
          <w:ins w:id="556" w:author="Arshad Akhtar Abbasia" w:date="2026-10-04T12:00:00Z"/>
        </w:rPr>
      </w:pPr>
      <w:ins w:id="557" w:author="Arshad Akhtar Abbasia" w:date="2026-10-04T12:00:00Z">
        <w:r>
          <w:t xml:space="preserve">Activity 6: Communication. The thesis itself. Chapters 6 and 7.</w:t>
        </w:r>
      </w:ins>
    </w:p>
    <w:p>
      <w:pPr>
        <w:pStyle w:val="BodyText"/>
        <w:rPr>
          <w:del w:id="558" w:author="Arshad Akhtar Abbasia" w:date="2026-10-04T12:00:00Z"/>
        </w:rPr>
      </w:pPr>
      <w:del w:id="559" w:author="Arshad Akhtar Abbasia" w:date="2026-10-04T12:00:00Z">
        <w:r>
          <w:delText xml:space="preserve">Activity 6: Communication. The thesis itself, together with the supplementary addendum to the supervisor covering research directions deliberately excluded from the thesis scope. Chapters 6 and 7.</w:delText>
        </w:r>
      </w:del>
    </w:p>
    <w:p>
      <w:pPr>
        <w:pStyle w:val="BodyText"/>
      </w:pPr>
      <w:r>
        <w:t xml:space="preserve">Peffers et </w:t>
      </w:r>
      <w:del w:id="560" w:author="Arshad Akhtar Abbasia" w:date="2026-10-04T12:00:00Z">
        <w:r>
          <w:delText xml:space="preserve">al. </w:delText>
        </w:r>
      </w:del>
      <w:ins w:id="561" w:author="Arshad Akhtar Abbasia" w:date="2026-10-04T12:00:00Z">
        <w:r>
          <w:t xml:space="preserve">al. </w:t>
        </w:r>
      </w:ins>
      <w:r>
        <w:t xml:space="preserve">(2007)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w:t>
      </w:r>
      <w:del w:id="562" w:author="Arshad Akhtar Abbasia" w:date="2026-10-04T12:00:00Z">
        <w:r>
          <w:delText xml:space="preserve">intended, and is recorded rather than concealed.</w:delText>
        </w:r>
      </w:del>
      <w:ins w:id="563" w:author="Arshad Akhtar Abbasia" w:date="2026-10-04T12:00:00Z">
        <w:r>
          <w:t xml:space="preserve">intended.</w:t>
        </w:r>
      </w:ins>
    </w:p>
    <w:p>
      <w:pPr>
        <w:pStyle w:val="Heading2"/>
      </w:pPr>
      <w:ins w:id="564" w:author="Arshad Akhtar Abbasia" w:date="2026-10-04T12:00:00Z">
        <w:r>
          <w:t xml:space="preserve">3.3 </w:t>
        </w:r>
      </w:ins>
      <w:r>
        <w:t xml:space="preserve">The Specification-and-Demonstration Variant, Extended with Formal Modelling</w:t>
      </w:r>
    </w:p>
    <w:p>
      <w:pPr>
        <w:pStyle w:val="BodyText"/>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 model (the TRF Model, a formal representation of the problem domain and its constraints) and a partial instantiation (the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w:t>
      </w:r>
      <w:del w:id="565" w:author="Arshad Akhtar Abbasia" w:date="2026-10-04T12:00:00Z">
        <w:r>
          <w:delText xml:space="preserve">2022).</w:delText>
        </w:r>
      </w:del>
      <w:ins w:id="566" w:author="Arshad Akhtar Abbasia" w:date="2026-10-04T12:00:00Z">
        <w:r>
          <w:t xml:space="preserve">2023).</w:t>
        </w:r>
      </w:ins>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w:t>
      </w:r>
      <w:del w:id="567" w:author="Arshad Akhtar Abbasia" w:date="2026-10-04T12:00:00Z">
        <w:r>
          <w:delText xml:space="preserve">deliberately </w:delText>
        </w:r>
      </w:del>
      <w:r>
        <w:t xml:space="preserve">employs a lighter formalism than the Metric First-Order Temporal Logic and Satisfiability Modulo Theories apparatus of Feng et </w:t>
      </w:r>
      <w:del w:id="568" w:author="Arshad Akhtar Abbasia" w:date="2026-10-04T12:00:00Z">
        <w:r>
          <w:delText xml:space="preserve">al. (2022): </w:delText>
        </w:r>
      </w:del>
      <w:ins w:id="569" w:author="Arshad Akhtar Abbasia" w:date="2026-10-04T12:00:00Z">
        <w:r>
          <w:t xml:space="preserve">al. (2023): </w:t>
        </w:r>
      </w:ins>
      <w:r>
        <w:t xml:space="preserve">a feasibility formulation over discretised time with one binary accessibility variable per audit record, in the constraint-modelling style of operations research. The justification is threefold. The conflict turns on a single semantic question, what “verifiable” 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w:t>
      </w:r>
      <w:del w:id="570" w:author="Arshad Akhtar Abbasia" w:date="2026-10-04T12:00:00Z">
        <w:r>
          <w:delText xml:space="preserve">theorems </w:delText>
        </w:r>
      </w:del>
      <w:ins w:id="571" w:author="Arshad Akhtar Abbasia" w:date="2026-10-04T12:00:00Z">
        <w:r>
          <w:t xml:space="preserve">propositions </w:t>
        </w:r>
      </w:ins>
      <w:r>
        <w:t xml:space="preserve">checkable by a reader with no proof-assistant background. The cost of this choice is expressive power: the model cannot represent obligations whose structure exceeds the chosen formalism, a limitation recorded in Section 3.7 and revisited in Chapter 6.</w:t>
      </w:r>
    </w:p>
    <w:p>
      <w:pPr>
        <w:pStyle w:val="Heading2"/>
      </w:pPr>
      <w:ins w:id="572" w:author="Arshad Akhtar Abbasia" w:date="2026-10-04T12:00:00Z">
        <w:r>
          <w:t xml:space="preserve">3.4 </w:t>
        </w:r>
      </w:ins>
      <w:r>
        <w:t xml:space="preserve">Formal-Modelling Methodology</w:t>
      </w:r>
    </w:p>
    <w:p>
      <w:pPr>
        <w:pStyle w:val="BodyText"/>
      </w:pPr>
      <w:r>
        <w:t xml:space="preserve">This section states how the TRF Model is constructed. The model itself, with its full notation, </w:t>
      </w:r>
      <w:del w:id="573" w:author="Arshad Akhtar Abbasia" w:date="2026-10-04T12:00:00Z">
        <w:r>
          <w:delText xml:space="preserve">theorems, </w:delText>
        </w:r>
      </w:del>
      <w:ins w:id="574" w:author="Arshad Akhtar Abbasia" w:date="2026-10-04T12:00:00Z">
        <w:r>
          <w:t xml:space="preserve">propositions, </w:t>
        </w:r>
      </w:ins>
      <w:r>
        <w:t xml:space="preserve">and proofs, is developed in Chapter 4; what follows is the method by which it is built and the standard to which it is held.</w:t>
      </w:r>
    </w:p>
    <w:p>
      <w:pPr>
        <w:pStyle w:val="BodyText"/>
      </w:pPr>
      <w:r>
        <w:t xml:space="preserve">Step 1: Decomposition of the object. 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w:t>
      </w:r>
      <w:ins w:id="575" w:author="Arshad Akhtar Abbasia" w:date="2026-10-04T12:00:00Z">
        <w:r>
          <w:t xml:space="preserve">Within the metadata, the accessor’s fields are separated from the link to the patient, because the two are reached by different obligations (Chapter 4, Section 4.3). </w:t>
        </w:r>
      </w:ins>
      <w:r>
        <w:t xml:space="preserve">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t xml:space="preserve">Step 2: Translation of each regime into a constraint. 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w:t>
      </w:r>
      <w:del w:id="576" w:author="Arshad Akhtar Abbasia" w:date="2026-10-04T12:00:00Z">
        <w:r>
          <w:delText xml:space="preserve">imposed on </w:delText>
        </w:r>
      </w:del>
      <w:ins w:id="577" w:author="Arshad Akhtar Abbasia" w:date="2026-10-04T12:00:00Z">
        <w:r>
          <w:t xml:space="preserve">reported for </w:t>
        </w:r>
      </w:ins>
      <w:r>
        <w:t xml:space="preserve">cross-border audit repositories </w:t>
      </w:r>
      <w:del w:id="578" w:author="Arshad Akhtar Abbasia" w:date="2026-10-04T12:00:00Z">
        <w:r>
          <w:delText xml:space="preserve">by </w:delText>
        </w:r>
      </w:del>
      <w:ins w:id="579" w:author="Arshad Akhtar Abbasia" w:date="2026-10-04T12:00:00Z">
        <w:r>
          <w:t xml:space="preserve">under </w:t>
        </w:r>
      </w:ins>
      <w:r>
        <w:t xml:space="preserve">the eHDSI deployment baseline, </w:t>
      </w:r>
      <w:ins w:id="580" w:author="Arshad Akhtar Abbasia" w:date="2026-10-04T12:00:00Z">
        <w:r>
          <w:t xml:space="preserve">used as an illustrative value (Chapter 4, Section 4.3), </w:t>
        </w:r>
      </w:ins>
      <w:r>
        <w:t xml:space="preserve">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t xml:space="preserve">Step 3: Definition of the competing semantics. The pivotal move is to make explicit an assumption that the operational status quo leaves implicit. Under plaintext-verifiability semantics, a record satisfies the retention constraint only while its payload remains accessible in recoverable form. Under accountability-preservation semantics,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w:t>
      </w:r>
      <w:ins w:id="581" w:author="Arshad Akhtar Abbasia" w:date="2026-10-04T12:00:00Z">
        <w:r>
          <w:t xml:space="preserve">what </w:t>
        </w:r>
      </w:ins>
      <w:r>
        <w:t xml:space="preserve">an </w:t>
      </w:r>
      <w:del w:id="582" w:author="Arshad Akhtar Abbasia" w:date="2026-10-04T12:00:00Z">
        <w:r>
          <w:delText xml:space="preserve">unexamined inheritance from systems designed before the erasure right existed.</w:delText>
        </w:r>
      </w:del>
      <w:ins w:id="583" w:author="Arshad Akhtar Abbasia" w:date="2026-10-04T12:00:00Z">
        <w:r>
          <w:t xml:space="preserve">audit log that keeps its payload readable assumes.</w:t>
        </w:r>
      </w:ins>
    </w:p>
    <w:p>
      <w:pPr>
        <w:pStyle w:val="BodyText"/>
      </w:pPr>
      <w:r>
        <w:t xml:space="preserve">Step 4: Establishing the two results. </w:t>
      </w:r>
      <w:del w:id="584" w:author="Arshad Akhtar Abbasia" w:date="2026-10-04T12:00:00Z">
        <w:r>
          <w:delText xml:space="preserve">Theorem </w:delText>
        </w:r>
      </w:del>
      <w:ins w:id="585" w:author="Arshad Akhtar Abbasia" w:date="2026-10-04T12:00:00Z">
        <w:r>
          <w:t xml:space="preserve">Proposition </w:t>
        </w:r>
      </w:ins>
      <w:r>
        <w:t xml:space="preserve">1 states that under plaintext-verifiability semantics the constraint system is infeasible whenever an erasure request or a permit expiry falls within a record’s retention window, which, over a ten-year window, </w:t>
      </w:r>
      <w:ins w:id="586" w:author="Arshad Akhtar Abbasia" w:date="2026-10-04T12:00:00Z">
        <w:r>
          <w:t xml:space="preserve">covers a request arriving in almost any month; how often requests in fact arrive </w:t>
        </w:r>
      </w:ins>
      <w:r>
        <w:t xml:space="preserve">is </w:t>
      </w:r>
      <w:del w:id="587" w:author="Arshad Akhtar Abbasia" w:date="2026-10-04T12:00:00Z">
        <w:r>
          <w:delText xml:space="preserve">the ordinary case rather than the exception. </w:delText>
        </w:r>
      </w:del>
      <w:ins w:id="588" w:author="Arshad Akhtar Abbasia" w:date="2026-10-04T12:00:00Z">
        <w:r>
          <w:t xml:space="preserve">not modelled (Section 3.7). </w:t>
        </w:r>
      </w:ins>
      <w:r>
        <w:t xml:space="preserve">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w:t>
      </w:r>
      <w:del w:id="589" w:author="Arshad Akhtar Abbasia" w:date="2026-10-04T12:00:00Z">
        <w:r>
          <w:delText xml:space="preserve">Theorem </w:delText>
        </w:r>
      </w:del>
      <w:ins w:id="590" w:author="Arshad Akhtar Abbasia" w:date="2026-10-04T12:00:00Z">
        <w:r>
          <w:t xml:space="preserve">Proposition </w:t>
        </w:r>
      </w:ins>
      <w:r>
        <w:t xml:space="preserve">2 states that under accountability-preservation semantics the system is jointly satisfiable for every arrival pattern of erasure requests and permit expiries, and exhibits the mechanism that achieves this as the constructive witness. </w:t>
      </w:r>
      <w:del w:id="591" w:author="Arshad Akhtar Abbasia" w:date="2026-10-04T12:00:00Z">
        <w:r>
          <w:delText xml:space="preserve">Both </w:delText>
        </w:r>
      </w:del>
      <w:ins w:id="592" w:author="Arshad Akhtar Abbasia" w:date="2026-10-04T12:00:00Z">
        <w:r>
          <w:t xml:space="preserve">Two further results are obtained by the same method from the constraints rather than from the semantics: Proposition 3 states the exact condition under which a ceiling and a floor collide, and Proposition 4 states what relocating a record does to the ceiling and to the right. All four </w:t>
        </w:r>
      </w:ins>
      <w:r>
        <w:t xml:space="preserve">are argued informally at the level of rigour standard for design-science work rather than machine-checked; Section 3.7 records what that means for the strength of the claim.</w:t>
      </w:r>
    </w:p>
    <w:p>
      <w:pPr>
        <w:pStyle w:val="BodyText"/>
      </w:pPr>
      <w:r>
        <w:t xml:space="preserve">Step 5: Executable checking. Because the formulation is </w:t>
      </w:r>
      <w:del w:id="593" w:author="Arshad Akhtar Abbasia" w:date="2026-10-04T12:00:00Z">
        <w:r>
          <w:delText xml:space="preserve">deliberately </w:delText>
        </w:r>
      </w:del>
      <w:r>
        <w:t xml:space="preserve">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w:t>
      </w:r>
      <w:del w:id="594" w:author="Arshad Akhtar Abbasia" w:date="2026-10-04T12:00:00Z">
        <w:r>
          <w:delText xml:space="preserve">theorems </w:delText>
        </w:r>
      </w:del>
      <w:ins w:id="595" w:author="Arshad Akhtar Abbasia" w:date="2026-10-04T12:00:00Z">
        <w:r>
          <w:t xml:space="preserve">propositions </w:t>
        </w:r>
      </w:ins>
      <w:r>
        <w:t xml:space="preserve">hold on the instances examined, and its value is that it makes the argument inspectable by a reader who does not wish to take the proofs on trust.</w:t>
      </w:r>
    </w:p>
    <w:p>
      <w:pPr>
        <w:pStyle w:val="Heading2"/>
      </w:pPr>
      <w:ins w:id="596" w:author="Arshad Akhtar Abbasia" w:date="2026-10-04T12:00:00Z">
        <w:r>
          <w:t xml:space="preserve">3.5 </w:t>
        </w:r>
      </w:ins>
      <w:r>
        <w:t xml:space="preserve">Synthetic Data</w:t>
      </w:r>
    </w:p>
    <w:p>
      <w:pPr>
        <w:pStyle w:val="BodyText"/>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 FHIR R4, not R5, because the Norwegian national profile set (basisprofiler) maintained by HL7 Norway constrains R4; matching the Norwegian profile version is what makes the demonstration representative of the Norwegian setting rather than of a generic one. The population is approximately one hundred synthetic patients.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 random seeds are fixed and reported,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w:t>
      </w:r>
      <w:del w:id="597" w:author="Arshad Akhtar Abbasia" w:date="2026-10-04T12:00:00Z">
        <w:r>
          <w:delText xml:space="preserve">5.7: </w:delText>
        </w:r>
      </w:del>
      <w:ins w:id="598" w:author="Arshad Akhtar Abbasia" w:date="2026-10-04T12:00:00Z">
        <w:r>
          <w:t xml:space="preserve">5.8: </w:t>
        </w:r>
      </w:ins>
      <w:r>
        <w:t xml:space="preserve">because no constraint in the model reads the content of a payload, the demonstration’s results are invariant to payload provenance, and Norwegian representativeness is required of the infrastructure analysis 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w:t>
      </w:r>
      <w:del w:id="599" w:author="Arshad Akhtar Abbasia" w:date="2026-10-04T12:00:00Z">
        <w:r>
          <w:delText xml:space="preserve">are real and are recorded here rather than omitted. They </w:delText>
        </w:r>
      </w:del>
      <w:r>
        <w:t xml:space="preserve">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p>
      <w:pPr>
        <w:pStyle w:val="Heading2"/>
      </w:pPr>
      <w:ins w:id="600" w:author="Arshad Akhtar Abbasia" w:date="2026-10-04T12:00:00Z">
        <w:r>
          <w:t xml:space="preserve">3.6 </w:t>
        </w:r>
      </w:ins>
      <w:r>
        <w:t xml:space="preserve">Sandbox Implementation Approach</w:t>
      </w:r>
    </w:p>
    <w:p>
      <w:pPr>
        <w:pStyle w:val="BodyText"/>
      </w:pPr>
      <w:r>
        <w:t xml:space="preserve">The sandbox is implemented in Python and has two layers, separated </w:t>
      </w:r>
      <w:del w:id="601" w:author="Arshad Akhtar Abbasia" w:date="2026-10-04T12:00:00Z">
        <w:r>
          <w:delText xml:space="preserve">deliberately </w:delText>
        </w:r>
      </w:del>
      <w:r>
        <w:t xml:space="preserve">so that the load-bearing claim rests on the smaller and more inspectable </w:t>
      </w:r>
      <w:del w:id="602" w:author="Arshad Akhtar Abbasia" w:date="2026-10-04T12:00:00Z">
        <w:r>
          <w:delText xml:space="preserve">component.</w:delText>
        </w:r>
      </w:del>
      <w:ins w:id="603" w:author="Arshad Akhtar Abbasia" w:date="2026-10-04T12:00:00Z">
        <w:r>
          <w:t xml:space="preserve">component, and one optional module that reports no thesis figure.</w:t>
        </w:r>
      </w:ins>
    </w:p>
    <w:p>
      <w:pPr>
        <w:pStyle w:val="BodyText"/>
      </w:pPr>
      <w:r>
        <w:t xml:space="preserve">The feasibility checker is the primary layer and the executable witness of the </w:t>
      </w:r>
      <w:del w:id="604" w:author="Arshad Akhtar Abbasia" w:date="2026-10-04T12:00:00Z">
        <w:r>
          <w:delText xml:space="preserve">theorems. </w:delText>
        </w:r>
      </w:del>
      <w:ins w:id="605" w:author="Arshad Akhtar Abbasia" w:date="2026-10-04T12:00:00Z">
        <w:r>
          <w:t xml:space="preserve">propositions. </w:t>
        </w:r>
      </w:ins>
      <w:r>
        <w:t xml:space="preserve">It constructs audit records as the tuples defined in </w:t>
      </w:r>
      <w:ins w:id="606" w:author="Arshad Akhtar Abbasia" w:date="2026-10-04T12:00:00Z">
        <w:r>
          <w:t xml:space="preserve">Chapter 4, </w:t>
        </w:r>
      </w:ins>
      <w:r>
        <w:t xml:space="preserve">Section </w:t>
      </w:r>
      <w:del w:id="607" w:author="Arshad Akhtar Abbasia" w:date="2026-10-04T12:00:00Z">
        <w:r>
          <w:delText xml:space="preserve">3.4, </w:delText>
        </w:r>
      </w:del>
      <w:ins w:id="608" w:author="Arshad Akhtar Abbasia" w:date="2026-10-04T12:00:00Z">
        <w:r>
          <w:t xml:space="preserve">4.3, </w:t>
        </w:r>
      </w:ins>
      <w:r>
        <w:t xml:space="preserve">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w:t>
      </w:r>
      <w:del w:id="609" w:author="Arshad Akhtar Abbasia" w:date="2026-10-04T12:00:00Z">
        <w:r>
          <w:delText xml:space="preserve">deliberately small, on the order of fifty to one hundred lines, because its purpose is </w:delText>
        </w:r>
      </w:del>
      <w:ins w:id="610" w:author="Arshad Akhtar Abbasia" w:date="2026-10-04T12:00:00Z">
        <w:r>
          <w:t xml:space="preserve">kept small enough </w:t>
        </w:r>
      </w:ins>
      <w:r>
        <w:t xml:space="preserve">to be read and checked </w:t>
      </w:r>
      <w:del w:id="611" w:author="Arshad Akhtar Abbasia" w:date="2026-10-04T12:00:00Z">
        <w:r>
          <w:delText xml:space="preserve">rather than to be impressive. </w:delText>
        </w:r>
      </w:del>
      <w:ins w:id="612" w:author="Arshad Akhtar Abbasia" w:date="2026-10-04T12:00:00Z">
        <w:r>
          <w:t xml:space="preserve">in full; Table 5.1 gives its size. </w:t>
        </w:r>
      </w:ins>
      <w:r>
        <w:t xml:space="preserve">A reader who doubts </w:t>
      </w:r>
      <w:del w:id="613" w:author="Arshad Akhtar Abbasia" w:date="2026-10-04T12:00:00Z">
        <w:r>
          <w:delText xml:space="preserve">Theorem </w:delText>
        </w:r>
      </w:del>
      <w:ins w:id="614" w:author="Arshad Akhtar Abbasia" w:date="2026-10-04T12:00:00Z">
        <w:r>
          <w:t xml:space="preserve">Proposition </w:t>
        </w:r>
      </w:ins>
      <w:r>
        <w:t xml:space="preserve">1 can find in its output the specific record, month, and constraint at which plaintext semantics fails; a reader who doubts </w:t>
      </w:r>
      <w:del w:id="615" w:author="Arshad Akhtar Abbasia" w:date="2026-10-04T12:00:00Z">
        <w:r>
          <w:delText xml:space="preserve">Theorem </w:delText>
        </w:r>
      </w:del>
      <w:ins w:id="616" w:author="Arshad Akhtar Abbasia" w:date="2026-10-04T12:00:00Z">
        <w:r>
          <w:t xml:space="preserve">Proposition </w:t>
        </w:r>
      </w:ins>
      <w:r>
        <w:t xml:space="preserve">2 can confirm that no violation arises under invalidation semantics across the generated instances.</w:t>
      </w:r>
    </w:p>
    <w:p>
      <w:pPr>
        <w:pStyle w:val="BodyText"/>
      </w:pPr>
      <w:r>
        <w:t xml:space="preserve">The realism layer wraps the checker so that its inputs derive from Synthea-generated FHIR bundles rather than from abstract record identifiers, computing commitments over the actual payloads and constructing metadata from the actual encounter events. It is </w:t>
      </w:r>
      <w:del w:id="617" w:author="Arshad Akhtar Abbasia" w:date="2026-10-04T12:00:00Z">
        <w:r>
          <w:delText xml:space="preserve">larger, on </w:delText>
        </w:r>
      </w:del>
      <w:ins w:id="618" w:author="Arshad Akhtar Abbasia" w:date="2026-10-04T12:00:00Z">
        <w:r>
          <w:t xml:space="preserve">smaller than </w:t>
        </w:r>
      </w:ins>
      <w:r>
        <w:t xml:space="preserve">the </w:t>
      </w:r>
      <w:del w:id="619" w:author="Arshad Akhtar Abbasia" w:date="2026-10-04T12:00:00Z">
        <w:r>
          <w:delText xml:space="preserve">order of two to four hundred lines, but it </w:delText>
        </w:r>
      </w:del>
      <w:ins w:id="620" w:author="Arshad Akhtar Abbasia" w:date="2026-10-04T12:00:00Z">
        <w:r>
          <w:t xml:space="preserve">checker (Table 5.1) and </w:t>
        </w:r>
      </w:ins>
      <w:r>
        <w:t xml:space="preserve">is not load-bearing: if the wrapper were removed, the </w:t>
      </w:r>
      <w:del w:id="621" w:author="Arshad Akhtar Abbasia" w:date="2026-10-04T12:00:00Z">
        <w:r>
          <w:delText xml:space="preserve">theorems </w:delText>
        </w:r>
      </w:del>
      <w:ins w:id="622" w:author="Arshad Akhtar Abbasia" w:date="2026-10-04T12:00:00Z">
        <w:r>
          <w:t xml:space="preserve">propositions </w:t>
        </w:r>
      </w:ins>
      <w:r>
        <w:t xml:space="preserve">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which is a design requirement rather than an implementation detail, since Chapter 2 established that an unsalted hash of personal data may itself remain personal data. </w:t>
      </w:r>
      <w:ins w:id="623" w:author="Arshad Akhtar Abbasia" w:date="2026-10-04T12:00:00Z">
        <w:r>
          <w:t xml:space="preserve">Every access event, invalidation and subject-link removal is appended to an append-only Merkle log, so that the verifiability condition can be checked as an inclusion proof that fails if an entry is altered. </w:t>
        </w:r>
      </w:ins>
      <w:r>
        <w:t xml:space="preserve">No zero-knowledge proof system is implemented at any point, and none is required. The mechanism’s verifiability rests on </w:t>
      </w:r>
      <w:del w:id="624" w:author="Arshad Akhtar Abbasia" w:date="2026-10-04T12:00:00Z">
        <w:r>
          <w:delText xml:space="preserve">commitments and </w:delText>
        </w:r>
      </w:del>
      <w:ins w:id="625" w:author="Arshad Akhtar Abbasia" w:date="2026-10-04T12:00:00Z">
        <w:r>
          <w:t xml:space="preserve">commitments, </w:t>
        </w:r>
      </w:ins>
      <w:r>
        <w:t xml:space="preserve">on the recorded invalidation </w:t>
      </w:r>
      <w:del w:id="626" w:author="Arshad Akhtar Abbasia" w:date="2026-10-04T12:00:00Z">
        <w:r>
          <w:delText xml:space="preserve">event, </w:delText>
        </w:r>
      </w:del>
      <w:ins w:id="627" w:author="Arshad Akhtar Abbasia" w:date="2026-10-04T12:00:00Z">
        <w:r>
          <w:t xml:space="preserve">event and on the log, </w:t>
        </w:r>
      </w:ins>
      <w:r>
        <w:t xml:space="preserve">not on succinct </w:t>
      </w:r>
      <w:del w:id="628" w:author="Arshad Akhtar Abbasia" w:date="2026-10-04T12:00:00Z">
        <w:r>
          <w:delText xml:space="preserve">arguments.</w:delText>
        </w:r>
      </w:del>
      <w:ins w:id="629" w:author="Arshad Akhtar Abbasia" w:date="2026-10-04T12:00:00Z">
        <w:r>
          <w:t xml:space="preserve">arguments. The optional module repeats the record lifecycle with real AES-256-GCM envelope encryption, to show that unreadability follows from key destruction rather than being asserted.</w:t>
        </w:r>
      </w:ins>
    </w:p>
    <w:p>
      <w:pPr>
        <w:pStyle w:val="BodyText"/>
      </w:pPr>
      <w:del w:id="630" w:author="Arshad Akhtar Abbasia" w:date="2026-10-04T12:00:00Z">
        <w:r>
          <w:delText xml:space="preserve">A satisfiability solver may optionally be used to cross-check the </w:delText>
        </w:r>
      </w:del>
      <w:ins w:id="631" w:author="Arshad Akhtar Abbasia" w:date="2026-10-04T12:00:00Z">
        <w:r>
          <w:t xml:space="preserve">The </w:t>
        </w:r>
      </w:ins>
      <w:r>
        <w:t xml:space="preserve">constraint system </w:t>
      </w:r>
      <w:ins w:id="632" w:author="Arshad Akhtar Abbasia" w:date="2026-10-04T12:00:00Z">
        <w:r>
          <w:t xml:space="preserve">is cross-checked </w:t>
        </w:r>
      </w:ins>
      <w:r>
        <w:t xml:space="preserve">on small </w:t>
      </w:r>
      <w:del w:id="633" w:author="Arshad Akhtar Abbasia" w:date="2026-10-04T12:00:00Z">
        <w:r>
          <w:delText xml:space="preserve">instances, </w:delText>
        </w:r>
      </w:del>
      <w:ins w:id="634" w:author="Arshad Akhtar Abbasia" w:date="2026-10-04T12:00:00Z">
        <w:r>
          <w:t xml:space="preserve">instances by a separately written exhaustive search over every assignment of the accessibility variable, </w:t>
        </w:r>
      </w:ins>
      <w:r>
        <w:t xml:space="preserve">as an independent confirmation that the hand-written checker implements the constraints as </w:t>
      </w:r>
      <w:del w:id="635" w:author="Arshad Akhtar Abbasia" w:date="2026-10-04T12:00:00Z">
        <w:r>
          <w:delText xml:space="preserve">stated. </w:delText>
        </w:r>
      </w:del>
      <w:ins w:id="636" w:author="Arshad Akhtar Abbasia" w:date="2026-10-04T12:00:00Z">
        <w:r>
          <w:t xml:space="preserve">stated (Chapter 5, Section 5.5). </w:t>
        </w:r>
      </w:ins>
      <w:r>
        <w:t xml:space="preserve">This is a robustness measure rather than a component of the </w:t>
      </w:r>
      <w:del w:id="637" w:author="Arshad Akhtar Abbasia" w:date="2026-10-04T12:00:00Z">
        <w:r>
          <w:delText xml:space="preserve">contribution, and the thesis does not depend on it.</w:delText>
        </w:r>
      </w:del>
      <w:ins w:id="638" w:author="Arshad Akhtar Abbasia" w:date="2026-10-04T12:00:00Z">
        <w:r>
          <w:t xml:space="preserve">contribution.</w:t>
        </w:r>
      </w:ins>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p>
      <w:pPr>
        <w:pStyle w:val="Heading2"/>
      </w:pPr>
      <w:ins w:id="639" w:author="Arshad Akhtar Abbasia" w:date="2026-10-04T12:00:00Z">
        <w:r>
          <w:t xml:space="preserve">3.7 </w:t>
        </w:r>
      </w:ins>
      <w:r>
        <w:t xml:space="preserve">Validity, Reliability, and Limitations</w:t>
      </w:r>
    </w:p>
    <w:p>
      <w:pPr>
        <w:pStyle w:val="BodyText"/>
      </w:pPr>
      <w:r>
        <w:t xml:space="preserve">The evaluation strategy is analytical rather than empirical, and its criteria are stated here in advance of the results.</w:t>
      </w:r>
    </w:p>
    <w:p>
      <w:pPr>
        <w:pStyle w:val="BodyText"/>
      </w:pPr>
      <w:r>
        <w:t xml:space="preserve">Internal validity concerns whether the artefact is internally coherent: whether the constraints faithfully represent the instruments they translate, whether the two semantics are stated precisely enough to be distinguished, whether the </w:t>
      </w:r>
      <w:del w:id="640" w:author="Arshad Akhtar Abbasia" w:date="2026-10-04T12:00:00Z">
        <w:r>
          <w:delText xml:space="preserve">theorems </w:delText>
        </w:r>
      </w:del>
      <w:ins w:id="641" w:author="Arshad Akhtar Abbasia" w:date="2026-10-04T12:00:00Z">
        <w:r>
          <w:t xml:space="preserve">propositions </w:t>
        </w:r>
      </w:ins>
      <w:r>
        <w:t xml:space="preserve">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t xml:space="preserve">External validity 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w:t>
      </w:r>
      <w:del w:id="642" w:author="Arshad Akhtar Abbasia" w:date="2026-10-04T12:00:00Z">
        <w:r>
          <w:delText xml:space="preserve">finalised </w:delText>
        </w:r>
      </w:del>
      <w:r>
        <w:t xml:space="preserve">Norwegian Secure Processing Environment </w:t>
      </w:r>
      <w:del w:id="643" w:author="Arshad Akhtar Abbasia" w:date="2026-10-04T12:00:00Z">
        <w:r>
          <w:delText xml:space="preserve">criteria, </w:delText>
        </w:r>
      </w:del>
      <w:ins w:id="644" w:author="Arshad Akhtar Abbasia" w:date="2026-10-04T12:00:00Z">
        <w:r>
          <w:t xml:space="preserve">criteria in their hearing version, </w:t>
        </w:r>
      </w:ins>
      <w:r>
        <w:t xml:space="preserve">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w:t>
      </w:r>
      <w:ins w:id="645" w:author="Arshad Akhtar Abbasia" w:date="2026-10-04T12:00:00Z">
        <w:r>
          <w:t xml:space="preserve">The analysis is recorded requirement by requirement in Table 4.1, each row naming its source, what the mechanism does, and whether the artefact executes it or meets it by specification. </w:t>
        </w:r>
      </w:ins>
      <w:r>
        <w:t xml:space="preserve">Compatibility analysis is weaker evidence than deployment, and is not presented as equivalent to it.</w:t>
      </w:r>
    </w:p>
    <w:p>
      <w:pPr>
        <w:pStyle w:val="BodyText"/>
      </w:pPr>
      <w:r>
        <w:t xml:space="preserve">Reliability 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 proof standard. The </w:t>
      </w:r>
      <w:del w:id="646" w:author="Arshad Akhtar Abbasia" w:date="2026-10-04T12:00:00Z">
        <w:r>
          <w:delText xml:space="preserve">theorems </w:delText>
        </w:r>
      </w:del>
      <w:ins w:id="647" w:author="Arshad Akhtar Abbasia" w:date="2026-10-04T12:00:00Z">
        <w:r>
          <w:t xml:space="preserve">propositions </w:t>
        </w:r>
      </w:ins>
      <w:r>
        <w:t xml:space="preserve">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 expressiveness of the formalism.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 key-destruction assumption.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 scope.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 operational cost 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 interpretive authority. Two steps in the argument rest on reasoning rather than on any regulatory holding: that an invalidated record continues to satisfy a retention obligation, and that Article 68(12) reaches the access logs a Secure Processing Environment </w:t>
      </w:r>
      <w:del w:id="648" w:author="Arshad Akhtar Abbasia" w:date="2026-10-04T12:00:00Z">
        <w:r>
          <w:delText xml:space="preserve">generates. </w:delText>
        </w:r>
      </w:del>
      <w:ins w:id="649" w:author="Arshad Akhtar Abbasia" w:date="2026-10-04T12:00:00Z">
        <w:r>
          <w:t xml:space="preserve">generates where they are kept at patient-record granularity. </w:t>
        </w:r>
      </w:ins>
      <w:r>
        <w:t xml:space="preserve">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w:t>
      </w:r>
      <w:del w:id="650" w:author="Arshad Akhtar Abbasia" w:date="2026-10-04T12:00:00Z">
        <w:r>
          <w:delText xml:space="preserve">Theorem </w:delText>
        </w:r>
      </w:del>
      <w:ins w:id="651" w:author="Arshad Akhtar Abbasia" w:date="2026-10-04T12:00:00Z">
        <w:r>
          <w:t xml:space="preserve">Proposition </w:t>
        </w:r>
      </w:ins>
      <w:r>
        <w:t xml:space="preserve">1 requires only that some valid request fall inside a retention window, and Corollary 1.2 involves no erasure request at all. The abstraction therefore inflates the frequencies reported in Chapter 5 and leaves the </w:t>
      </w:r>
      <w:del w:id="652" w:author="Arshad Akhtar Abbasia" w:date="2026-10-04T12:00:00Z">
        <w:r>
          <w:delText xml:space="preserve">theorems </w:delText>
        </w:r>
      </w:del>
      <w:ins w:id="653" w:author="Arshad Akhtar Abbasia" w:date="2026-10-04T12:00:00Z">
        <w:r>
          <w:t xml:space="preserve">propositions </w:t>
        </w:r>
      </w:ins>
      <w:r>
        <w:t xml:space="preserve">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w:t>
      </w:r>
      <w:del w:id="654" w:author="Arshad Akhtar Abbasia" w:date="2026-10-04T12:00:00Z">
        <w:r>
          <w:delText xml:space="preserve">theorems, </w:delText>
        </w:r>
      </w:del>
      <w:ins w:id="655" w:author="Arshad Akhtar Abbasia" w:date="2026-10-04T12:00:00Z">
        <w:r>
          <w:t xml:space="preserve">propositions, </w:t>
        </w:r>
      </w:ins>
      <w:r>
        <w:t xml:space="preserve">since a mechanism that satisfies the constraints for a whole payload satisfies them for any subset of it, but it means the model says nothing about partial erasure, and a mechanism designed for field-level redaction would need a richer state space than the one used here.</w:t>
      </w:r>
    </w:p>
    <w:p>
      <w:pPr>
        <w:pStyle w:val="Heading2"/>
      </w:pPr>
      <w:ins w:id="656" w:author="Arshad Akhtar Abbasia" w:date="2026-10-04T12:00:00Z">
        <w:r>
          <w:t xml:space="preserve">3.8 </w:t>
        </w:r>
      </w:ins>
      <w:r>
        <w:t xml:space="preserve">Evaluation Design for the Next Cycle</w:t>
      </w:r>
    </w:p>
    <w:p>
      <w:pPr>
        <w:pStyle w:val="BodyText"/>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w:t>
      </w:r>
      <w:del w:id="657" w:author="Arshad Akhtar Abbasia" w:date="2026-10-04T12:00:00Z">
        <w:r>
          <w:delText xml:space="preserve">are worth stating here rather than leaving to the appendix. </w:delText>
        </w:r>
      </w:del>
      <w:ins w:id="658" w:author="Arshad Akhtar Abbasia" w:date="2026-10-04T12:00:00Z">
        <w:r>
          <w:t xml:space="preserve">matter here. </w:t>
        </w:r>
      </w:ins>
      <w:r>
        <w:t xml:space="preserve">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w:t>
      </w:r>
      <w:del w:id="659" w:author="Arshad Akhtar Abbasia" w:date="2026-10-04T12:00:00Z">
        <w:r>
          <w:delText xml:space="preserve">retains verbatim </w:delText>
        </w:r>
      </w:del>
      <w:ins w:id="660" w:author="Arshad Akhtar Abbasia" w:date="2026-10-04T12:00:00Z">
        <w:r>
          <w:t xml:space="preserve">pairs </w:t>
        </w:r>
      </w:ins>
      <w:r>
        <w:t xml:space="preserve">an </w:t>
      </w:r>
      <w:del w:id="661" w:author="Arshad Akhtar Abbasia" w:date="2026-10-04T12:00:00Z">
        <w:r>
          <w:delText xml:space="preserve">anchor statement asserting </w:delText>
        </w:r>
      </w:del>
      <w:ins w:id="662" w:author="Arshad Akhtar Abbasia" w:date="2026-10-04T12:00:00Z">
        <w:r>
          <w:t xml:space="preserve">item on what the mechanism lets an auditor verify, that an invalidation was logged and is unaltered, with an item on whether that attestation suffices without proof </w:t>
        </w:r>
      </w:ins>
      <w:r>
        <w:t xml:space="preserve">that the </w:t>
      </w:r>
      <w:del w:id="663" w:author="Arshad Akhtar Abbasia" w:date="2026-10-04T12:00:00Z">
        <w:r>
          <w:delText xml:space="preserve">mechanism gives auditors full confidence that data </w:delText>
        </w:r>
      </w:del>
      <w:ins w:id="664" w:author="Arshad Akhtar Abbasia" w:date="2026-10-04T12:00:00Z">
        <w:r>
          <w:t xml:space="preserve">key </w:t>
        </w:r>
      </w:ins>
      <w:r>
        <w:t xml:space="preserve">was </w:t>
      </w:r>
      <w:del w:id="665" w:author="Arshad Akhtar Abbasia" w:date="2026-10-04T12:00:00Z">
        <w:r>
          <w:delText xml:space="preserve">lawfully deleted, which is stronger than the thesis’s own claim; a paired item captures the distinction between attestation and proof, and disagreement with the anchor would be an accurate response rather than an instrument failure.</w:delText>
        </w:r>
      </w:del>
      <w:ins w:id="666" w:author="Arshad Akhtar Abbasia" w:date="2026-10-04T12:00:00Z">
        <w:r>
          <w:t xml:space="preserve">destroyed.</w:t>
        </w:r>
      </w:ins>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p>
      <w:pPr>
        <w:pStyle w:val="Heading2"/>
      </w:pPr>
      <w:ins w:id="667" w:author="Arshad Akhtar Abbasia" w:date="2026-10-04T12:00:00Z">
        <w:r>
          <w:t xml:space="preserve">3.9 </w:t>
        </w:r>
      </w:ins>
      <w:r>
        <w:t xml:space="preserve">Ethical Considerations</w:t>
      </w:r>
    </w:p>
    <w:p>
      <w:pPr>
        <w:pStyle w:val="BodyText"/>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w:t>
      </w:r>
      <w:del w:id="668" w:author="Arshad Akhtar Abbasia" w:date="2026-10-04T12:00:00Z">
        <w:r>
          <w:delText xml:space="preserve">claimed. This is stated explicitly because an earlier draft of this project asserted an institutional review board approval that did not exist; the correction is recorded here as a matter of research integrity.</w:delText>
        </w:r>
      </w:del>
      <w:ins w:id="669" w:author="Arshad Akhtar Abbasia" w:date="2026-10-04T12:00:00Z">
        <w:r>
          <w:t xml:space="preserve">claimed.</w:t>
        </w:r>
      </w:ins>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w:t>
      </w:r>
      <w:del w:id="670" w:author="Arshad Akhtar Abbasia" w:date="2026-10-04T12:00:00Z">
        <w:r>
          <w:delText xml:space="preserve">achievements. These commitments respond directly to the failures identified in the earlier draft of this project, and their explicit statement here is intended to make them checkable by the examiner rather than merely asserted.</w:delText>
        </w:r>
      </w:del>
      <w:ins w:id="671" w:author="Arshad Akhtar Abbasia" w:date="2026-10-04T12:00:00Z">
        <w:r>
          <w:t xml:space="preserve">achievements.</w:t>
        </w:r>
      </w:ins>
    </w:p>
    <w:p>
      <w:pPr>
        <w:pStyle w:val="BodyText"/>
      </w:pPr>
      <w:r>
        <w:t xml:space="preserve">¹ Synthea is documented in Walonoski et al. (2018), Journal of the American Medical Informatics Association, 25(3), 230–238, https://doi.org/10.1093/jamia/ocx079.</w:t>
      </w:r>
    </w:p>
    <w:p>
      <w:pPr>
        <w:pStyle w:val="Heading1"/>
      </w:pPr>
      <w:ins w:id="672" w:author="Arshad Akhtar Abbasia" w:date="2026-10-04T12:00:00Z">
        <w:r>
          <w:t xml:space="preserve">Chapter 4. </w:t>
        </w:r>
      </w:ins>
      <w:r>
        <w:t xml:space="preserve">The Tri-Lateral Retention Feasibility Model and the Crypto-Erasure by Invalidation Mechanism</w:t>
      </w:r>
    </w:p>
    <w:p>
      <w:pPr>
        <w:pStyle w:val="BodyText"/>
      </w:pPr>
      <w:del w:id="673" w:author="Arshad Akhtar Abbasia" w:date="2026-10-04T12:00:00Z">
        <w:r>
          <w:delText xml:space="preserve">Theorem </w:delText>
        </w:r>
      </w:del>
      <w:ins w:id="674" w:author="Arshad Akhtar Abbasia" w:date="2026-10-04T12:00:00Z">
        <w:r>
          <w:t xml:space="preserve">Proposition </w:t>
        </w:r>
      </w:ins>
      <w:r>
        <w:t xml:space="preserve">statements and proofs in this chapter are the author’s own. Regulatory claims are anchored to the primary instruments cited at each point.</w:t>
      </w:r>
    </w:p>
    <w:p>
      <w:pPr>
        <w:pStyle w:val="Heading2"/>
      </w:pPr>
      <w:ins w:id="675" w:author="Arshad Akhtar Abbasia" w:date="2026-10-04T12:00:00Z">
        <w:r>
          <w:t xml:space="preserve">4.1 </w:t>
        </w:r>
      </w:ins>
      <w:r>
        <w:t xml:space="preserve">Purpose and Structure of the Chapter</w:t>
      </w:r>
    </w:p>
    <w:p>
      <w:pPr>
        <w:pStyle w:val="BodyText"/>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w:t>
      </w:r>
      <w:del w:id="676" w:author="Arshad Akhtar Abbasia" w:date="2026-10-04T12:00:00Z">
        <w:r>
          <w:delText xml:space="preserve">current practice retains. </w:delText>
        </w:r>
      </w:del>
      <w:ins w:id="677" w:author="Arshad Akhtar Abbasia" w:date="2026-10-04T12:00:00Z">
        <w:r>
          <w:t xml:space="preserve">an audit log may happen to retain. </w:t>
        </w:r>
      </w:ins>
      <w:r>
        <w:t xml:space="preserve">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w:t>
      </w:r>
      <w:del w:id="678" w:author="Arshad Akhtar Abbasia" w:date="2026-10-04T12:00:00Z">
        <w:r>
          <w:delText xml:space="preserve">two </w:delText>
        </w:r>
      </w:del>
      <w:ins w:id="679" w:author="Arshad Akhtar Abbasia" w:date="2026-10-04T12:00:00Z">
        <w:r>
          <w:t xml:space="preserve">four </w:t>
        </w:r>
      </w:ins>
      <w:r>
        <w:t xml:space="preserve">results. </w:t>
      </w:r>
      <w:del w:id="680" w:author="Arshad Akhtar Abbasia" w:date="2026-10-04T12:00:00Z">
        <w:r>
          <w:delText xml:space="preserve">Theorem </w:delText>
        </w:r>
      </w:del>
      <w:ins w:id="681" w:author="Arshad Akhtar Abbasia" w:date="2026-10-04T12:00:00Z">
        <w:r>
          <w:t xml:space="preserve">Proposition </w:t>
        </w:r>
      </w:ins>
      <w:r>
        <w:t xml:space="preserve">1 establishes that under </w:t>
      </w:r>
      <w:del w:id="682" w:author="Arshad Akhtar Abbasia" w:date="2026-10-04T12:00:00Z">
        <w:r>
          <w:delText xml:space="preserve">the </w:delText>
        </w:r>
      </w:del>
      <w:ins w:id="683" w:author="Arshad Akhtar Abbasia" w:date="2026-10-04T12:00:00Z">
        <w:r>
          <w:t xml:space="preserve">plaintext-verifiability </w:t>
        </w:r>
      </w:ins>
      <w:r>
        <w:t xml:space="preserve">semantics </w:t>
      </w:r>
      <w:del w:id="684" w:author="Arshad Akhtar Abbasia" w:date="2026-10-04T12:00:00Z">
        <w:r>
          <w:delText xml:space="preserve">implicit in current practice </w:delText>
        </w:r>
      </w:del>
      <w:r>
        <w:t xml:space="preserve">the constraint system is infeasible. </w:t>
      </w:r>
      <w:del w:id="685" w:author="Arshad Akhtar Abbasia" w:date="2026-10-04T12:00:00Z">
        <w:r>
          <w:delText xml:space="preserve">Theorem </w:delText>
        </w:r>
      </w:del>
      <w:ins w:id="686" w:author="Arshad Akhtar Abbasia" w:date="2026-10-04T12:00:00Z">
        <w:r>
          <w:t xml:space="preserve">Proposition </w:t>
        </w:r>
      </w:ins>
      <w:r>
        <w:t xml:space="preserve">2 establishes that under an alternative semantics the system is jointly satisfiable, and its proof is constructive: it exhibits the mechanism that achieves </w:t>
      </w:r>
      <w:del w:id="687" w:author="Arshad Akhtar Abbasia" w:date="2026-10-04T12:00:00Z">
        <w:r>
          <w:delText xml:space="preserve">satisfaction.</w:delText>
        </w:r>
      </w:del>
      <w:ins w:id="688" w:author="Arshad Akhtar Abbasia" w:date="2026-10-04T12:00:00Z">
        <w:r>
          <w:t xml:space="preserve">satisfaction. Proposition 3 states exactly when a deletion ceiling collides with a retention floor and what the ceiling’s anchor decides, and Proposition 4 shows why moving a record out of the regulated environment, the most direct rival design, meets the ceiling but not the right to erasure.</w:t>
        </w:r>
      </w:ins>
    </w:p>
    <w:p>
      <w:pPr>
        <w:pStyle w:val="BodyText"/>
      </w:pPr>
      <w:r>
        <w:t xml:space="preserve">Third, it specifies that mechanism, Crypto-Erasure by Invalidation, in enough detail to be implemented, analyses the residue it leaves behind against the legal threshold that residue must clear, compares it against </w:t>
      </w:r>
      <w:del w:id="689" w:author="Arshad Akhtar Abbasia" w:date="2026-10-04T12:00:00Z">
        <w:r>
          <w:delText xml:space="preserve">the </w:delText>
        </w:r>
      </w:del>
      <w:r>
        <w:t xml:space="preserve">rival </w:t>
      </w:r>
      <w:del w:id="690" w:author="Arshad Akhtar Abbasia" w:date="2026-10-04T12:00:00Z">
        <w:r>
          <w:delText xml:space="preserve">designs a reviewer would propose instead, </w:delText>
        </w:r>
      </w:del>
      <w:ins w:id="691" w:author="Arshad Akhtar Abbasia" w:date="2026-10-04T12:00:00Z">
        <w:r>
          <w:t xml:space="preserve">designs, </w:t>
        </w:r>
      </w:ins>
      <w:r>
        <w:t xml:space="preserve">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w:t>
      </w:r>
      <w:del w:id="692" w:author="Arshad Akhtar Abbasia" w:date="2026-10-04T12:00:00Z">
        <w:r>
          <w:delText xml:space="preserve">theorems </w:delText>
        </w:r>
      </w:del>
      <w:ins w:id="693" w:author="Arshad Akhtar Abbasia" w:date="2026-10-04T12:00:00Z">
        <w:r>
          <w:t xml:space="preserve">propositions </w:t>
        </w:r>
      </w:ins>
      <w:r>
        <w:t xml:space="preserve">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p>
      <w:pPr>
        <w:pStyle w:val="Heading2"/>
      </w:pPr>
      <w:ins w:id="694" w:author="Arshad Akhtar Abbasia" w:date="2026-10-04T12:00:00Z">
        <w:r>
          <w:t xml:space="preserve">4.2 </w:t>
        </w:r>
      </w:ins>
      <w:r>
        <w:t xml:space="preserve">What Must Be Retained: The Necessity Analysis</w:t>
      </w:r>
    </w:p>
    <w:p>
      <w:pPr>
        <w:pStyle w:val="BodyText"/>
      </w:pPr>
      <w:r>
        <w:t xml:space="preserve">The decomposition that makes the model possible is not a modelling convenience. It is derived from the legal position established in Chapter 2, Section 2.3, and </w:t>
      </w:r>
      <w:del w:id="695" w:author="Arshad Akhtar Abbasia" w:date="2026-10-04T12:00:00Z">
        <w:r>
          <w:delText xml:space="preserve">it must be stated precisely because </w:delText>
        </w:r>
      </w:del>
      <w:r>
        <w:t xml:space="preserve">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w:t>
      </w:r>
      <w:ins w:id="696" w:author="Arshad Akhtar Abbasia" w:date="2026-10-04T12:00:00Z">
        <w:r>
          <w:t xml:space="preserve">personal data </w:t>
        </w:r>
      </w:ins>
      <w:r>
        <w:t xml:space="preserve">the </w:t>
      </w:r>
      <w:del w:id="697" w:author="Arshad Akhtar Abbasia" w:date="2026-10-04T12:00:00Z">
        <w:r>
          <w:delText xml:space="preserve">clinical </w:delText>
        </w:r>
      </w:del>
      <w:ins w:id="698" w:author="Arshad Akhtar Abbasia" w:date="2026-10-04T12:00:00Z">
        <w:r>
          <w:t xml:space="preserve">record carries beyond those attributes: the demographic content of the logged query, or, where a deployment keeps it, the </w:t>
        </w:r>
      </w:ins>
      <w:r>
        <w:t xml:space="preserve">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w:t>
      </w:r>
      <w:del w:id="699" w:author="Arshad Akhtar Abbasia" w:date="2026-10-04T12:00:00Z">
        <w:r>
          <w:delText xml:space="preserve">to read </w:delText>
        </w:r>
      </w:del>
      <w:ins w:id="700" w:author="Arshad Akhtar Abbasia" w:date="2026-10-04T12:00:00Z">
        <w:r>
          <w:t xml:space="preserve">the patient’s name and birth date as typed into the query, still less </w:t>
        </w:r>
      </w:ins>
      <w:r>
        <w:t xml:space="preserve">the patient’s medication </w:t>
      </w:r>
      <w:del w:id="701" w:author="Arshad Akhtar Abbasia" w:date="2026-10-04T12:00:00Z">
        <w:r>
          <w:delText xml:space="preserve">list </w:delText>
        </w:r>
      </w:del>
      <w:ins w:id="702" w:author="Arshad Akhtar Abbasia" w:date="2026-10-04T12:00:00Z">
        <w:r>
          <w:t xml:space="preserve">list, </w:t>
        </w:r>
      </w:ins>
      <w:r>
        <w:t xml:space="preserve">to answer that question.</w:t>
      </w:r>
    </w:p>
    <w:p>
      <w:pPr>
        <w:pStyle w:val="BodyText"/>
      </w:pPr>
      <w:r>
        <w:t xml:space="preserve">This yields the central claim of the necessity analysis: the accountability function of a cross-border audit record is discharged by its metadata and by a binding commitment to its payload, and does not require the payload to remain accessible. Retention of accessible plaintext payload for ten years therefore exceeds what Article 17(3)(b) protects. Article 5(1)(c) positively requires that it not be retained where the purpose can be achieved without it.</w:t>
      </w:r>
    </w:p>
    <w:p>
      <w:pPr>
        <w:pStyle w:val="BodyText"/>
      </w:pPr>
      <w:r>
        <w:t xml:space="preserve">Two </w:t>
      </w:r>
      <w:del w:id="703" w:author="Arshad Akhtar Abbasia" w:date="2026-10-04T12:00:00Z">
        <w:r>
          <w:delText xml:space="preserve">supports </w:delText>
        </w:r>
      </w:del>
      <w:ins w:id="704" w:author="Arshad Akhtar Abbasia" w:date="2026-10-04T12:00:00Z">
        <w:r>
          <w:t xml:space="preserve">sources support it </w:t>
        </w:r>
      </w:ins>
      <w:r>
        <w:t xml:space="preserve">and one </w:t>
      </w:r>
      <w:del w:id="705" w:author="Arshad Akhtar Abbasia" w:date="2026-10-04T12:00:00Z">
        <w:r>
          <w:delText xml:space="preserve">limit should be recorded. </w:delText>
        </w:r>
      </w:del>
      <w:ins w:id="706" w:author="Arshad Akhtar Abbasia" w:date="2026-10-04T12:00:00Z">
        <w:r>
          <w:t xml:space="preserve">limits it. </w:t>
        </w:r>
      </w:ins>
      <w:r>
        <w:t xml:space="preserve">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p>
      <w:pPr>
        <w:pStyle w:val="Heading2"/>
      </w:pPr>
      <w:ins w:id="707" w:author="Arshad Akhtar Abbasia" w:date="2026-10-04T12:00:00Z">
        <w:r>
          <w:t xml:space="preserve">4.3 </w:t>
        </w:r>
      </w:ins>
      <w:r>
        <w:t xml:space="preserve">The Model: Objects and Notation</w:t>
      </w:r>
    </w:p>
    <w:p>
      <w:pPr>
        <w:pStyle w:val="BodyText"/>
      </w:pPr>
      <w:r>
        <w:t xml:space="preserve">Let the time domain be discretised into months, indexed by t ∈ ℕ, with t = 0 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 A be the set of audit records. Each record a ∈ A is generated by a single access event and is represented as a tuple</w:t>
      </w:r>
    </w:p>
    <w:p>
      <w:pPr>
        <w:pStyle w:val="BodyText"/>
      </w:pPr>
      <w:r>
        <w:t xml:space="preserve">a = ( m(a), p(a), c(a), k(a), t(a), F(a), σ(a) )</w:t>
      </w:r>
    </w:p>
    <w:p>
      <w:pPr>
        <w:pStyle w:val="BodyText"/>
      </w:pPr>
      <w:r>
        <w:t xml:space="preserve">where:</w:t>
      </w:r>
    </w:p>
    <w:p>
      <w:pPr>
        <w:pStyle w:val="BodyText"/>
        <w:rPr>
          <w:ins w:id="708" w:author="Arshad Akhtar Abbasia" w:date="2026-10-04T12:00:00Z"/>
        </w:rPr>
      </w:pPr>
      <w:ins w:id="709" w:author="Arshad Akhtar Abbasia" w:date="2026-10-04T12:00:00Z">
        <w:r>
          <w:t xml:space="preserve">- m(a) is the event metadata: the actor identifier, the actor’s national contact point, the patient pseudonym, the document category accessed, the legal basis and consent policy applied, the timestamp, and the outcome. Metadata contains no clinical content. It is partitioned as m(a) = m_(acc)(a) ∪ m_(subj)(a). The accessor fields m_(acc)(a) record who acted, when, under which legal basis or permit, and with what outcome. The subject fields m_(subj)(a) relate the event to a data subject: the patient pseudonym and any reference to that subject’s records. The partition does work only in the Secure Processing Environment case (Section 4.6). - p(a) is the personal-data payload: the personal data the record carries beyond what accountability requires (Section 4.2). Its content depends on the record class.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This is the transaction on which the patient-identification step of the MyHealth@EU flow rests (Chapter 2, Section 2.2); the eHDSI audit specification that profiles it was not available to this thesis, so the IHE requirement is taken as the baseline any profile starts from. For a Secure Processing Environment record it is the content of the logged activity, where the environment logs at that level: the text and parameters of the query or command run against the permitted dataset, and any output retained with the entry. The Joint Action’s specification requires these logs to cover “access to electronic health data” and “data import, export, or release of outputs” and fixes no fields (TEHDAS2, 2026, Table 5.4, OPR-17, p. 51); whatever an environment records under those headings beyond the accessor fields is p(a). The model does not require p(a) to be a clinical document, only personal data that the accountability purpose does not need. - c(a) is a commitment to the payload, c(a) = Commit(p(a), r(a)), where r(a) is a per-record random salt. The commitment scheme is required to be hiding (the commitment reveals nothing about the payload to an adversary without the salt) and binding (no second payload can be opened against the same commitment). The requirement that it be hiding rather than a bare hash is a consequence of Section 4.9 and is not optional. - k(a) is the payload key: the key material under which p(a) is stored. - t(a) is the month in which the access event occurred. - F(a) ∈ ℕ is the retention floor applying to the record, expressed in months. - σ(a) ∈ {primary, secondary} is the pathway in which the record arose.</w:t>
        </w:r>
      </w:ins>
    </w:p>
    <w:p>
      <w:pPr>
        <w:pStyle w:val="BodyText"/>
        <w:rPr>
          <w:del w:id="710" w:author="Arshad Akhtar Abbasia" w:date="2026-10-04T12:00:00Z"/>
        </w:rPr>
      </w:pPr>
      <w:del w:id="711" w:author="Arshad Akhtar Abbasia" w:date="2026-10-04T12:00:00Z">
        <w:r>
          <w:delText xml:space="preserve">-   m(a) is the event metadata: the actor identifier, the actor’s national contact point, the patient pseudonym, the document category accessed, the legal basis and consent policy applied, the timestamp, and the outcome. Metadata contains no clinical content.</w:delText>
        </w:r>
      </w:del>
    </w:p>
    <w:p>
      <w:pPr>
        <w:pStyle w:val="BodyText"/>
        <w:rPr>
          <w:del w:id="712" w:author="Arshad Akhtar Abbasia" w:date="2026-10-04T12:00:00Z"/>
        </w:rPr>
      </w:pPr>
      <w:del w:id="713" w:author="Arshad Akhtar Abbasia" w:date="2026-10-04T12:00:00Z">
        <w:r>
          <w:delText xml:space="preserve">-   p(a) is the personal-data payload: the content of the clinical document exchanged.</w:delText>
        </w:r>
      </w:del>
    </w:p>
    <w:p>
      <w:pPr>
        <w:pStyle w:val="BodyText"/>
        <w:rPr>
          <w:del w:id="714" w:author="Arshad Akhtar Abbasia" w:date="2026-10-04T12:00:00Z"/>
        </w:rPr>
      </w:pPr>
      <w:del w:id="715" w:author="Arshad Akhtar Abbasia" w:date="2026-10-04T12:00:00Z">
        <w:r>
          <w:delText xml:space="preserve">-   c(a) is a commitment to the payload, c(a) = Commit(p(a), r(a)), where r(a) is a per-record random salt. The commitment scheme is required to be hiding (the commitment reveals nothing about the payload to an adversary without the salt) and binding (no second payload can be opened against the same commitment). The requirement that it be hiding rather than a bare hash is a consequence of Section 4.9 and is not optional.</w:delText>
        </w:r>
      </w:del>
    </w:p>
    <w:p>
      <w:pPr>
        <w:pStyle w:val="BodyText"/>
        <w:rPr>
          <w:del w:id="716" w:author="Arshad Akhtar Abbasia" w:date="2026-10-04T12:00:00Z"/>
        </w:rPr>
      </w:pPr>
      <w:del w:id="717" w:author="Arshad Akhtar Abbasia" w:date="2026-10-04T12:00:00Z">
        <w:r>
          <w:delText xml:space="preserve">-   k(a) is the payload key: the key material under which p(a) is stored.</w:delText>
        </w:r>
      </w:del>
    </w:p>
    <w:p>
      <w:pPr>
        <w:pStyle w:val="BodyText"/>
        <w:rPr>
          <w:del w:id="718" w:author="Arshad Akhtar Abbasia" w:date="2026-10-04T12:00:00Z"/>
        </w:rPr>
      </w:pPr>
      <w:del w:id="719" w:author="Arshad Akhtar Abbasia" w:date="2026-10-04T12:00:00Z">
        <w:r>
          <w:delText xml:space="preserve">-   t(a) is the month in which the access event occurred.</w:delText>
        </w:r>
      </w:del>
    </w:p>
    <w:p>
      <w:pPr>
        <w:pStyle w:val="BodyText"/>
        <w:rPr>
          <w:del w:id="720" w:author="Arshad Akhtar Abbasia" w:date="2026-10-04T12:00:00Z"/>
        </w:rPr>
      </w:pPr>
      <w:del w:id="721" w:author="Arshad Akhtar Abbasia" w:date="2026-10-04T12:00:00Z">
        <w:r>
          <w:delText xml:space="preserve">-   F(a) ∈ ℕ is the retention floor applying to the record, expressed in months.</w:delText>
        </w:r>
      </w:del>
    </w:p>
    <w:p>
      <w:pPr>
        <w:pStyle w:val="BodyText"/>
        <w:rPr>
          <w:del w:id="722" w:author="Arshad Akhtar Abbasia" w:date="2026-10-04T12:00:00Z"/>
        </w:rPr>
      </w:pPr>
      <w:del w:id="723" w:author="Arshad Akhtar Abbasia" w:date="2026-10-04T12:00:00Z">
        <w:r>
          <w:delText xml:space="preserve">-   σ(a) ∈ {primary, secondary} is the pathway in which the record arose.</w:delText>
        </w:r>
      </w:del>
    </w:p>
    <w:p>
      <w:pPr>
        <w:pStyle w:val="BodyText"/>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pStyle w:val="BodyText"/>
        <w:rPr>
          <w:ins w:id="724" w:author="Arshad Akhtar Abbasia" w:date="2026-10-04T12:00:00Z"/>
        </w:rPr>
      </w:pPr>
      <w:ins w:id="725" w:author="Arshad Akhtar Abbasia" w:date="2026-10-04T12:00:00Z">
        <w:r>
          <w:t xml:space="preserve">- F(a) = 120 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 - F(a) = 12 for access and activity logs of Secure Processing Environments, this being the one-year minimum imposed by Article 73(1)(e) of Regulation (EU) 2025/327 (European Parliament and Council of the European Union, 2025). The Joint Action’s specification recommends five years (TEHDAS2, 2026, Table 5.4, OPR-18, p. 51); by Proposition 3 a longer floor enlarges the set of records whose permit expiry falls inside it, and by Corollary 2.2 no result depends on the value.</w:t>
        </w:r>
      </w:ins>
    </w:p>
    <w:p>
      <w:pPr>
        <w:pStyle w:val="BodyText"/>
        <w:rPr>
          <w:del w:id="726" w:author="Arshad Akhtar Abbasia" w:date="2026-10-04T12:00:00Z"/>
        </w:rPr>
      </w:pPr>
      <w:del w:id="727" w:author="Arshad Akhtar Abbasia" w:date="2026-10-04T12:00:00Z">
        <w:r>
          <w:delText xml:space="preserve">-   F(a) = 120 for cross-border audit records held in ATNA-compliant audit repositories, this being the ten-year minimum imposed by the eHDSI deployment baseline for MyHealth@EU operations (Simjanoska Misheva et al., 2025). The IHE ATNA profile itself prescribes no retention period; the floor arises from the deployment binding, and the model is correct only if this distinction is preserved.</w:delText>
        </w:r>
      </w:del>
    </w:p>
    <w:p>
      <w:pPr>
        <w:pStyle w:val="BodyText"/>
        <w:rPr>
          <w:del w:id="728" w:author="Arshad Akhtar Abbasia" w:date="2026-10-04T12:00:00Z"/>
        </w:rPr>
      </w:pPr>
      <w:del w:id="729" w:author="Arshad Akhtar Abbasia" w:date="2026-10-04T12:00:00Z">
        <w:r>
          <w:delText xml:space="preserve">-   F(a) = 12 for access and activity logs of Secure Processing Environments, this being the one-year minimum imposed by Article 73(1)(e) of Regulation (EU) 2025/327 (European Parliament and Council of the European Union, 2025).</w:delText>
        </w:r>
      </w:del>
    </w:p>
    <w:p>
      <w:pPr>
        <w:pStyle w:val="BodyText"/>
      </w:pPr>
      <w:r>
        <w:t xml:space="preserve">Two event processes act on records. An erasure request arrives for record a at month t_(r)(a) if the data subject exercises Article 17 in respect of the personal data underlying that record; if no request arrives, t_(r)(a) = ∞. A permit expiry occurs at month t_(π)(a) for records with σ(a) = secondary, being the month in which the data permit under which the processing occurred expires; for primary-pathway records t_(π)(a) = ∞.</w:t>
      </w:r>
    </w:p>
    <w:p>
      <w:pPr>
        <w:pStyle w:val="BodyText"/>
      </w:pPr>
      <w:r>
        <w:t xml:space="preserve">Finally, let α(a,t) ∈ {0, 1} be the payload-accessibility variable: α(a,t) = 1 if the controller can recover p(a) in intelligible form at month t,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abstraction.</w:t>
      </w:r>
    </w:p>
    <w:p>
      <w:pPr>
        <w:pStyle w:val="BodyText"/>
        <w:rPr>
          <w:ins w:id="730" w:author="Arshad Akhtar Abbasia" w:date="2026-10-04T12:00:00Z"/>
        </w:rPr>
      </w:pPr>
      <w:ins w:id="731" w:author="Arshad Akhtar Abbasia" w:date="2026-10-04T12:00:00Z">
        <w:r>
          <w:t xml:space="preserve">The Secure Processing Environment case needs one further variable, and only on the reading of Article 68(12) that Section 4.6 identifies. Let β(a,t) ∈ {0, 1} be the subject-link variable: β(a,t) = 1 if the subject fields m_(subj)(a) can be read in the environment at month t, and 0 otherwise. Where that reading does not apply, β is unconstrained and plays no part in any result.</w:t>
        </w:r>
      </w:ins>
    </w:p>
    <w:p>
      <w:pPr>
        <w:pStyle w:val="BodyText"/>
      </w:pPr>
      <w:r>
        <w:t xml:space="preserve">Let </w:t>
      </w:r>
      <w:del w:id="732" w:author="Arshad Akhtar Abbasia" w:date="2026-10-04T12:00:00Z">
        <w:r>
          <w:delText xml:space="preserve">V(a,t) ∈ {0, </w:delText>
        </w:r>
      </w:del>
      <w:ins w:id="733" w:author="Arshad Akhtar Abbasia" w:date="2026-10-04T12:00:00Z">
        <w:r>
          <w:t xml:space="preserve">V(a,t) ∈ {0, </w:t>
        </w:r>
      </w:ins>
      <w:r>
        <w:t xml:space="preserve">1} denote whether record a counts as verifiable at month t. V is not defined yet; defining it is the subject of Section 4.5, and the two competing definitions are what the </w:t>
      </w:r>
      <w:del w:id="734" w:author="Arshad Akhtar Abbasia" w:date="2026-10-04T12:00:00Z">
        <w:r>
          <w:delText xml:space="preserve">theorems </w:delText>
        </w:r>
      </w:del>
      <w:ins w:id="735" w:author="Arshad Akhtar Abbasia" w:date="2026-10-04T12:00:00Z">
        <w:r>
          <w:t xml:space="preserve">propositions </w:t>
        </w:r>
      </w:ins>
      <w:r>
        <w:t xml:space="preserve">distinguish.</w:t>
      </w:r>
    </w:p>
    <w:p>
      <w:pPr>
        <w:pStyle w:val="Heading2"/>
      </w:pPr>
      <w:ins w:id="736" w:author="Arshad Akhtar Abbasia" w:date="2026-10-04T12:00:00Z">
        <w:r>
          <w:t xml:space="preserve">4.4 </w:t>
        </w:r>
      </w:ins>
      <w:r>
        <w:t xml:space="preserve">The Three Constraints</w:t>
      </w:r>
    </w:p>
    <w:p>
      <w:pPr>
        <w:pStyle w:val="BodyText"/>
      </w:pPr>
      <w:r>
        <w:t xml:space="preserve">Each regime is now expressed as a constraint on the trajectory of α and V.</w:t>
      </w:r>
    </w:p>
    <w:p>
      <w:pPr>
        <w:pStyle w:val="BodyText"/>
      </w:pPr>
      <w:r>
        <w:t xml:space="preserve">C1: Retention floor. For every record a and every month t with t(a) ≤ t ≤ t(a) + F(a):</w:t>
      </w:r>
    </w:p>
    <w:p>
      <w:pPr>
        <w:pStyle w:val="BodyText"/>
      </w:pPr>
      <w:r>
        <w:t xml:space="preserve">V(a,t) = 1 ∀ t ∈ [ t(a), t(a) + F(a) ]</w:t>
      </w:r>
    </w:p>
    <w:p>
      <w:pPr>
        <w:pStyle w:val="BodyText"/>
        <w:rPr>
          <w:ins w:id="737" w:author="Arshad Akhtar Abbasia" w:date="2026-10-04T12:00:00Z"/>
        </w:rPr>
      </w:pPr>
      <w:ins w:id="738" w:author="Arshad Akhtar Abbasia" w:date="2026-10-04T12:00:00Z">
        <w:r>
          <w:t xml:space="preserve">The record must count as verifiable throughout its retention window. The window is closed at both ends and so spans F + 1 monthly indices. This is deliberate: the obligations are minimums (“at least one year”), and a record written during month t(a) completes F full months only during month t(a) + F, so requiring verifiability through that month is the conservative reading of “at least”. A half-open window would shorten every obligation by up to a month. Source: the eHDSI deployment baseline as reported, an illustrative value, for F = 120; Article 73(1)(e) EHDS for F = 12.</w:t>
        </w:r>
      </w:ins>
    </w:p>
    <w:p>
      <w:pPr>
        <w:pStyle w:val="BodyText"/>
        <w:rPr>
          <w:del w:id="739" w:author="Arshad Akhtar Abbasia" w:date="2026-10-04T12:00:00Z"/>
        </w:rPr>
      </w:pPr>
      <w:del w:id="740" w:author="Arshad Akhtar Abbasia" w:date="2026-10-04T12:00:00Z">
        <w:r>
          <w:delText xml:space="preserve">The record must count as verifiable throughout its retention window. Source: eHDSI deployment baseline for F = 120; Article 73(1)(e) EHDS for F = 12.</w:delText>
        </w:r>
      </w:del>
    </w:p>
    <w:p>
      <w:pPr>
        <w:pStyle w:val="BodyText"/>
      </w:pPr>
      <w:r>
        <w:t xml:space="preserve">C2: Erasure right. For every record a for which a valid erasure request arrives at t_(r)(a) &lt; ∞, and for every month t ≥ t_(r)(a) + δ:</w:t>
      </w:r>
    </w:p>
    <w:p>
      <w:pPr>
        <w:pStyle w:val="BodyText"/>
      </w:pPr>
      <w:r>
        <w:t xml:space="preserve">α(a,t) = 0 ∀ t ≥ t_(r)(a) + δ</w:t>
      </w:r>
    </w:p>
    <w:p>
      <w:pPr>
        <w:pStyle w:val="BodyText"/>
      </w:pPr>
      <w:r>
        <w:t xml:space="preserve">The payload must cease to be accessible within the response period δ. Source: Article 17(1) GDPR, with δ determined by Article 12(3) GDPR, which requires the controller to act without undue delay and in any event within one month of receipt, extendable by two further months for complex or numerous requests provided the data subject is informed within the first month. The model takes </w:t>
      </w:r>
      <w:del w:id="741" w:author="Arshad Akhtar Abbasia" w:date="2026-10-04T12:00:00Z">
        <w:r>
          <w:delText xml:space="preserve">δ = </w:delText>
        </w:r>
      </w:del>
      <w:ins w:id="742" w:author="Arshad Akhtar Abbasia" w:date="2026-10-04T12:00:00Z">
        <w:r>
          <w:t xml:space="preserve">δ = </w:t>
        </w:r>
      </w:ins>
      <w:r>
        <w:t xml:space="preserve">1 as the baseline and admits </w:t>
      </w:r>
      <w:del w:id="743" w:author="Arshad Akhtar Abbasia" w:date="2026-10-04T12:00:00Z">
        <w:r>
          <w:delText xml:space="preserve">δ = </w:delText>
        </w:r>
      </w:del>
      <w:ins w:id="744" w:author="Arshad Akhtar Abbasia" w:date="2026-10-04T12:00:00Z">
        <w:r>
          <w:t xml:space="preserve">δ = </w:t>
        </w:r>
      </w:ins>
      <w:r>
        <w:t xml:space="preserve">3 as the extended case; results are stated for arbitrary finite δ and do not depend on which is chosen. Constraint C2 is triggered only by a valid request. The model does not represent the Article 17(3) exemptions under which a controller may lawfully refuse, and so treats every arriving request as valid; Chapter 3, Section 3.7 explains why this affects the frequencies reported in Chapter 5 but not the </w:t>
      </w:r>
      <w:del w:id="745" w:author="Arshad Akhtar Abbasia" w:date="2026-10-04T12:00:00Z">
        <w:r>
          <w:delText xml:space="preserve">theorems.</w:delText>
        </w:r>
      </w:del>
      <w:ins w:id="746" w:author="Arshad Akhtar Abbasia" w:date="2026-10-04T12:00:00Z">
        <w:r>
          <w:t xml:space="preserve">propositions.</w:t>
        </w:r>
      </w:ins>
    </w:p>
    <w:p>
      <w:pPr>
        <w:pStyle w:val="BodyText"/>
      </w:pPr>
      <w:r>
        <w:t xml:space="preserve">C3: Deletion ceiling. For every record a with σ(a) = secondary and every month t ≥ t_(π)(a) + 6:</w:t>
      </w:r>
    </w:p>
    <w:p>
      <w:pPr>
        <w:pStyle w:val="BodyText"/>
      </w:pPr>
      <w:r>
        <w:t xml:space="preserve">α(a,t) = 0 ∀ t ≥ t_(π)(a) + 6</w:t>
      </w:r>
    </w:p>
    <w:p>
      <w:pPr>
        <w:pStyle w:val="BodyText"/>
        <w:rPr>
          <w:ins w:id="747" w:author="Arshad Akhtar Abbasia" w:date="2026-10-04T12:00:00Z"/>
        </w:rPr>
      </w:pPr>
      <w:ins w:id="748" w:author="Arshad Akhtar Abbasia" w:date="2026-10-04T12:00:00Z">
        <w:r>
          <w:t xml:space="preserve">and, where the record’s subject fields are electronic health data within the environment (Section 4.6),</w:t>
        </w:r>
      </w:ins>
    </w:p>
    <w:p>
      <w:pPr>
        <w:pStyle w:val="BodyText"/>
        <w:rPr>
          <w:ins w:id="749" w:author="Arshad Akhtar Abbasia" w:date="2026-10-04T12:00:00Z"/>
        </w:rPr>
      </w:pPr>
      <w:ins w:id="750" w:author="Arshad Akhtar Abbasia" w:date="2026-10-04T12:00:00Z">
        <w:r>
          <w:t xml:space="preserve">β(a,t) = 0 ∀ t ≥ t_(π)(a) + 6</w:t>
        </w:r>
      </w:ins>
    </w:p>
    <w:p>
      <w:pPr>
        <w:pStyle w:val="BodyText"/>
      </w:pPr>
      <w:del w:id="751" w:author="Arshad Akhtar Abbasia" w:date="2026-10-04T12:00:00Z">
        <w:r>
          <w:delText xml:space="preserve">Personal </w:delText>
        </w:r>
      </w:del>
      <w:ins w:id="752" w:author="Arshad Akhtar Abbasia" w:date="2026-10-04T12:00:00Z">
        <w:r>
          <w:t xml:space="preserve">Electronic health </w:t>
        </w:r>
      </w:ins>
      <w:r>
        <w:t xml:space="preserve">data must not remain </w:t>
      </w:r>
      <w:del w:id="753" w:author="Arshad Akhtar Abbasia" w:date="2026-10-04T12:00:00Z">
        <w:r>
          <w:delText xml:space="preserve">accessible </w:delText>
        </w:r>
      </w:del>
      <w:r>
        <w:t xml:space="preserve">in the Secure Processing Environment more than six months after permit expiry. Source: Article 68(12) </w:t>
      </w:r>
      <w:del w:id="754" w:author="Arshad Akhtar Abbasia" w:date="2026-10-04T12:00:00Z">
        <w:r>
          <w:delText xml:space="preserve">EHDS </w:delText>
        </w:r>
      </w:del>
      <w:ins w:id="755" w:author="Arshad Akhtar Abbasia" w:date="2026-10-04T12:00:00Z">
        <w:r>
          <w:t xml:space="preserve">EHDS, which provides that “the electronic health data within the secure processing environment shall be deleted within six months of the expiry of the data permit” (European Parliament and Council of the European Union, 2025), </w:t>
        </w:r>
      </w:ins>
      <w:r>
        <w:t xml:space="preserve">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 V is defined in terms of α, which is the question Section 4.5 makes explicit.</w:t>
      </w:r>
    </w:p>
    <w:p>
      <w:pPr>
        <w:pStyle w:val="Heading2"/>
      </w:pPr>
      <w:ins w:id="756" w:author="Arshad Akhtar Abbasia" w:date="2026-10-04T12:00:00Z">
        <w:r>
          <w:t xml:space="preserve">4.5 </w:t>
        </w:r>
      </w:ins>
      <w:r>
        <w:t xml:space="preserve">Two Semantics of Verifiability</w:t>
      </w:r>
    </w:p>
    <w:p>
      <w:pPr>
        <w:pStyle w:val="BodyText"/>
      </w:pPr>
      <w:r>
        <w:t xml:space="preserve">Semantics I: plaintext verifiability. A record counts as verifiable exactly when its payload is accessible:</w:t>
      </w:r>
    </w:p>
    <w:p>
      <w:pPr>
        <w:pStyle w:val="BodyText"/>
      </w:pPr>
      <w:r>
        <w:t xml:space="preserve">V^(I)(a,t) = α(a,t)</w:t>
      </w:r>
    </w:p>
    <w:p>
      <w:pPr>
        <w:pStyle w:val="BodyText"/>
      </w:pPr>
      <w:r>
        <w:t xml:space="preserve">This is the semantics </w:t>
      </w:r>
      <w:del w:id="757" w:author="Arshad Akhtar Abbasia" w:date="2026-10-04T12:00:00Z">
        <w:r>
          <w:delText xml:space="preserve">implicit in </w:delText>
        </w:r>
      </w:del>
      <w:ins w:id="758" w:author="Arshad Akhtar Abbasia" w:date="2026-10-04T12:00:00Z">
        <w:r>
          <w:t xml:space="preserve">of an audit log that keeps what was accessed readable for as long as it keeps </w:t>
        </w:r>
      </w:ins>
      <w:r>
        <w:t xml:space="preserve">the </w:t>
      </w:r>
      <w:del w:id="759" w:author="Arshad Akhtar Abbasia" w:date="2026-10-04T12:00:00Z">
        <w:r>
          <w:delText xml:space="preserve">design of audit systems that predate the erasure right. </w:delText>
        </w:r>
      </w:del>
      <w:ins w:id="760" w:author="Arshad Akhtar Abbasia" w:date="2026-10-04T12:00:00Z">
        <w:r>
          <w:t xml:space="preserve">record. </w:t>
        </w:r>
      </w:ins>
      <w:r>
        <w:t xml:space="preserve">Under it, an audit record whose payload cannot be produced is treated as an incomplete or broken record, and audit integrity is understood as the continued producibility of what was accessed. </w:t>
      </w:r>
      <w:ins w:id="761" w:author="Arshad Akhtar Abbasia" w:date="2026-10-04T12:00:00Z">
        <w:r>
          <w:t xml:space="preserve">How common such logs are is not established here. What is established is that nothing in the instruments rules them out and that the cross-border profile supplies their content, since ITI-55 requires both gateways to record the patient’s demographic query (Section 4.3). </w:t>
        </w:r>
      </w:ins>
      <w:r>
        <w:t xml:space="preserve">No instrument </w:t>
      </w:r>
      <w:del w:id="762" w:author="Arshad Akhtar Abbasia" w:date="2026-10-04T12:00:00Z">
        <w:r>
          <w:delText xml:space="preserve">in the system </w:delText>
        </w:r>
      </w:del>
      <w:r>
        <w:t xml:space="preserve">states this </w:t>
      </w:r>
      <w:del w:id="763" w:author="Arshad Akhtar Abbasia" w:date="2026-10-04T12:00:00Z">
        <w:r>
          <w:delText xml:space="preserve">semantics; it is inherited from practice, which is precisely why it has not been examined.</w:delText>
        </w:r>
      </w:del>
      <w:ins w:id="764" w:author="Arshad Akhtar Abbasia" w:date="2026-10-04T12:00:00Z">
        <w:r>
          <w:t xml:space="preserve">semantics, and none states the alternative.</w:t>
        </w:r>
      </w:ins>
    </w:p>
    <w:p>
      <w:pPr>
        <w:pStyle w:val="BodyText"/>
      </w:pPr>
      <w:r>
        <w:t xml:space="preserve">Semantics II: accountability-preserving verifiability. A record counts as verifiable when its accountability content is intact and any loss of payload accessibility is itself accounted for:</w:t>
      </w:r>
    </w:p>
    <w:p>
      <w:pPr>
        <w:pStyle w:val="BodyText"/>
      </w:pPr>
      <w:r>
        <w:t xml:space="preserve">V^(II)(a,t) = 1 ⇔ (i) ∧ (ii) ∧ (iii)</w:t>
      </w:r>
    </w:p>
    <w:p>
      <w:pPr>
        <w:pStyle w:val="BodyText"/>
      </w:pPr>
      <w:r>
        <w:t xml:space="preserve">where, at month t: (i) </w:t>
      </w:r>
      <w:del w:id="765" w:author="Arshad Akhtar Abbasia" w:date="2026-10-04T12:00:00Z">
        <w:r>
          <w:delText xml:space="preserve">m(a) </w:delText>
        </w:r>
      </w:del>
      <w:ins w:id="766" w:author="Arshad Akhtar Abbasia" w:date="2026-10-04T12:00:00Z">
        <w:r>
          <w:t xml:space="preserve">m_(acc)(a) </w:t>
        </w:r>
      </w:ins>
      <w:r>
        <w:t xml:space="preserve">is intact and </w:t>
      </w:r>
      <w:del w:id="767" w:author="Arshad Akhtar Abbasia" w:date="2026-10-04T12:00:00Z">
        <w:r>
          <w:delText xml:space="preserve">unmodified; </w:delText>
        </w:r>
      </w:del>
      <w:ins w:id="768" w:author="Arshad Akhtar Abbasia" w:date="2026-10-04T12:00:00Z">
        <w:r>
          <w:t xml:space="preserve">unmodified, and so is m_(subj)(a) unless its removal is recorded under (iii); </w:t>
        </w:r>
      </w:ins>
      <w:r>
        <w:t xml:space="preserve">(ii) c(a) is present and binding; and (iii) if </w:t>
      </w:r>
      <w:del w:id="769" w:author="Arshad Akhtar Abbasia" w:date="2026-10-04T12:00:00Z">
        <w:r>
          <w:delText xml:space="preserve">α(a,t′) = </w:delText>
        </w:r>
      </w:del>
      <w:ins w:id="770" w:author="Arshad Akhtar Abbasia" w:date="2026-10-04T12:00:00Z">
        <w:r>
          <w:t xml:space="preserve">α(a,t′) = </w:t>
        </w:r>
      </w:ins>
      <w:r>
        <w:t xml:space="preserve">1 for some </w:t>
      </w:r>
      <w:del w:id="771" w:author="Arshad Akhtar Abbasia" w:date="2026-10-04T12:00:00Z">
        <w:r>
          <w:delText xml:space="preserve">t′ &lt; </w:delText>
        </w:r>
      </w:del>
      <w:ins w:id="772" w:author="Arshad Akhtar Abbasia" w:date="2026-10-04T12:00:00Z">
        <w:r>
          <w:t xml:space="preserve">t′ &lt; </w:t>
        </w:r>
      </w:ins>
      <w:r>
        <w:t xml:space="preserve">t and </w:t>
      </w:r>
      <w:del w:id="773" w:author="Arshad Akhtar Abbasia" w:date="2026-10-04T12:00:00Z">
        <w:r>
          <w:delText xml:space="preserve">α(a,t) = </w:delText>
        </w:r>
      </w:del>
      <w:ins w:id="774" w:author="Arshad Akhtar Abbasia" w:date="2026-10-04T12:00:00Z">
        <w:r>
          <w:t xml:space="preserve">α(a,t) = </w:t>
        </w:r>
      </w:ins>
      <w:r>
        <w:t xml:space="preserve">0, </w:t>
      </w:r>
      <w:ins w:id="775" w:author="Arshad Akhtar Abbasia" w:date="2026-10-04T12:00:00Z">
        <w:r>
          <w:t xml:space="preserve">or likewise for β, </w:t>
        </w:r>
      </w:ins>
      <w:r>
        <w:t xml:space="preserve">then an invalidation entry ι(a) 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 and 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w:t>
      </w:r>
      <w:del w:id="776" w:author="Arshad Akhtar Abbasia" w:date="2026-10-04T12:00:00Z">
        <w:r>
          <w:delText xml:space="preserve">theorems </w:delText>
        </w:r>
      </w:del>
      <w:ins w:id="777" w:author="Arshad Akhtar Abbasia" w:date="2026-10-04T12:00:00Z">
        <w:r>
          <w:t xml:space="preserve">propositions </w:t>
        </w:r>
      </w:ins>
      <w:r>
        <w:t xml:space="preserve">below establish what follows from each.</w:t>
      </w:r>
    </w:p>
    <w:p>
      <w:pPr>
        <w:pStyle w:val="Heading2"/>
        <w:rPr>
          <w:ins w:id="778" w:author="Arshad Akhtar Abbasia" w:date="2026-10-04T12:00:00Z"/>
        </w:rPr>
      </w:pPr>
      <w:ins w:id="779" w:author="Arshad Akhtar Abbasia" w:date="2026-10-04T12:00:00Z">
        <w:r>
          <w:t xml:space="preserve">4.6 Propositions 1 and 3: Infeasibility, and Where the Ceiling Is Anchored</w:t>
        </w:r>
      </w:ins>
    </w:p>
    <w:p>
      <w:pPr>
        <w:pStyle w:val="BodyText"/>
        <w:rPr>
          <w:del w:id="780" w:author="Arshad Akhtar Abbasia" w:date="2026-10-04T12:00:00Z"/>
        </w:rPr>
      </w:pPr>
      <w:del w:id="781" w:author="Arshad Akhtar Abbasia" w:date="2026-10-04T12:00:00Z">
        <w:r>
          <w:delText xml:space="preserve">Theorem 1: Infeasibility under Plaintext Verifiability</w:delText>
        </w:r>
      </w:del>
    </w:p>
    <w:p>
      <w:pPr>
        <w:pStyle w:val="BodyText"/>
      </w:pPr>
      <w:del w:id="782" w:author="Arshad Akhtar Abbasia" w:date="2026-10-04T12:00:00Z">
        <w:r>
          <w:delText xml:space="preserve">Theorem </w:delText>
        </w:r>
      </w:del>
      <w:ins w:id="783" w:author="Arshad Akhtar Abbasia" w:date="2026-10-04T12:00:00Z">
        <w:r>
          <w:t xml:space="preserve">Proposition </w:t>
        </w:r>
      </w:ins>
      <w:r>
        <w:t xml:space="preserve">1. Under Semantics I, the constraint system </w:t>
      </w:r>
      <w:del w:id="784" w:author="Arshad Akhtar Abbasia" w:date="2026-10-04T12:00:00Z">
        <w:r>
          <w:delText xml:space="preserve">{C1, C2, </w:delText>
        </w:r>
      </w:del>
      <w:ins w:id="785" w:author="Arshad Akhtar Abbasia" w:date="2026-10-04T12:00:00Z">
        <w:r>
          <w:t xml:space="preserve">{C1, C2, </w:t>
        </w:r>
      </w:ins>
      <w:r>
        <w:t xml:space="preserve">C3} is infeasible for any record a such that</w:t>
      </w:r>
    </w:p>
    <w:p>
      <w:pPr>
        <w:pStyle w:val="BodyText"/>
      </w:pPr>
      <w:r>
        <w:t xml:space="preserve">t_(r)(a) + δ ≤ t(a) + F(a) or t_(π)(a) + 6 ≤ t(a) + F(a).</w:t>
      </w:r>
    </w:p>
    <w:p>
      <w:pPr>
        <w:pStyle w:val="BodyText"/>
      </w:pPr>
      <w:r>
        <w:t xml:space="preserve">Proof. Take a record a satisfying the first disjunct, and let t^(*) = t_(r)(a) + δ. By hypothesis t^(*) ≤ t(a) + F(a), and since erasure requests arrive after the access that generates the record, t^(*) ≥ t(a). Hence t^(*) lies within the retention window, so C1 requires V(a,t^(*)) = 1. Under Semantics I, V^(I)(a,t^(*)) = α(a,t^(*)), so C1 requires α(a,t^(*)) = 1. But C2 requires α(a,t) = 0 for all t ≥ t_(r)(a) + δ = t^(*), so C2 requires α(a,t^(*)) = 0. The two requirements are contradictory, and no assignment of α satisfies both. The argument for the second disjunct is identical with t^(*) = t_(π)(a) + 6 and C3 in place of C2. ∎</w:t>
      </w:r>
    </w:p>
    <w:p>
      <w:pPr>
        <w:pStyle w:val="BodyText"/>
      </w:pPr>
      <w:r>
        <w:t xml:space="preserve">Corollary 1.1 (cross-border case). For cross-border audit records, </w:t>
      </w:r>
      <w:del w:id="786" w:author="Arshad Akhtar Abbasia" w:date="2026-10-04T12:00:00Z">
        <w:r>
          <w:delText xml:space="preserve">F(a) = </w:delText>
        </w:r>
      </w:del>
      <w:ins w:id="787" w:author="Arshad Akhtar Abbasia" w:date="2026-10-04T12:00:00Z">
        <w:r>
          <w:t xml:space="preserve">F(a) = </w:t>
        </w:r>
      </w:ins>
      <w:r>
        <w:t xml:space="preserve">120. The system is infeasible for record a whenever an erasure request arrives at any month </w:t>
      </w:r>
      <w:del w:id="788" w:author="Arshad Akhtar Abbasia" w:date="2026-10-04T12:00:00Z">
        <w:r>
          <w:delText xml:space="preserve">t_(r)(a) ≤ t(a) + </w:delText>
        </w:r>
      </w:del>
      <w:ins w:id="789" w:author="Arshad Akhtar Abbasia" w:date="2026-10-04T12:00:00Z">
        <w:r>
          <w:t xml:space="preserve">t_(r)(a) ≤ t(a) + </w:t>
        </w:r>
      </w:ins>
      <w:r>
        <w:t xml:space="preserve">120 − δ: that is, at any point in the first nine years and eleven months of a ten-year window under the baseline response period. </w:t>
      </w:r>
      <w:del w:id="790" w:author="Arshad Akhtar Abbasia" w:date="2026-10-04T12:00:00Z">
        <w:r>
          <w:delText xml:space="preserve">Infeasibility </w:delText>
        </w:r>
      </w:del>
      <w:ins w:id="791" w:author="Arshad Akhtar Abbasia" w:date="2026-10-04T12:00:00Z">
        <w:r>
          <w:t xml:space="preserve">The condition </w:t>
        </w:r>
      </w:ins>
      <w:r>
        <w:t xml:space="preserve">is therefore not </w:t>
      </w:r>
      <w:del w:id="792" w:author="Arshad Akhtar Abbasia" w:date="2026-10-04T12:00:00Z">
        <w:r>
          <w:delText xml:space="preserve">an edge case arising from </w:delText>
        </w:r>
      </w:del>
      <w:ins w:id="793" w:author="Arshad Akhtar Abbasia" w:date="2026-10-04T12:00:00Z">
        <w:r>
          <w:t xml:space="preserve">one of </w:t>
        </w:r>
      </w:ins>
      <w:r>
        <w:t xml:space="preserve">unusual </w:t>
      </w:r>
      <w:del w:id="794" w:author="Arshad Akhtar Abbasia" w:date="2026-10-04T12:00:00Z">
        <w:r>
          <w:delText xml:space="preserve">timing; </w:delText>
        </w:r>
      </w:del>
      <w:ins w:id="795" w:author="Arshad Akhtar Abbasia" w:date="2026-10-04T12:00:00Z">
        <w:r>
          <w:t xml:space="preserve">timing: </w:t>
        </w:r>
      </w:ins>
      <w:r>
        <w:t xml:space="preserve">it </w:t>
      </w:r>
      <w:del w:id="796" w:author="Arshad Akhtar Abbasia" w:date="2026-10-04T12:00:00Z">
        <w:r>
          <w:delText xml:space="preserve">is </w:delText>
        </w:r>
      </w:del>
      <w:ins w:id="797" w:author="Arshad Akhtar Abbasia" w:date="2026-10-04T12:00:00Z">
        <w:r>
          <w:t xml:space="preserve">holds for a request arriving in any but </w:t>
        </w:r>
      </w:ins>
      <w:r>
        <w:t xml:space="preserve">the </w:t>
      </w:r>
      <w:del w:id="798" w:author="Arshad Akhtar Abbasia" w:date="2026-10-04T12:00:00Z">
        <w:r>
          <w:delText xml:space="preserve">generic case, avoided only if no </w:delText>
        </w:r>
      </w:del>
      <w:ins w:id="799" w:author="Arshad Akhtar Abbasia" w:date="2026-10-04T12:00:00Z">
        <w:r>
          <w:t xml:space="preserve">last month of the window. How often </w:t>
        </w:r>
      </w:ins>
      <w:r>
        <w:t xml:space="preserve">data </w:t>
      </w:r>
      <w:del w:id="800" w:author="Arshad Akhtar Abbasia" w:date="2026-10-04T12:00:00Z">
        <w:r>
          <w:delText xml:space="preserve">subject exercises </w:delText>
        </w:r>
      </w:del>
      <w:ins w:id="801" w:author="Arshad Akhtar Abbasia" w:date="2026-10-04T12:00:00Z">
        <w:r>
          <w:t xml:space="preserve">subjects exercise </w:t>
        </w:r>
      </w:ins>
      <w:r>
        <w:t xml:space="preserve">Article 17 </w:t>
      </w:r>
      <w:del w:id="802" w:author="Arshad Akhtar Abbasia" w:date="2026-10-04T12:00:00Z">
        <w:r>
          <w:delText xml:space="preserve">in respect of any record for essentially </w:delText>
        </w:r>
      </w:del>
      <w:ins w:id="803" w:author="Arshad Akhtar Abbasia" w:date="2026-10-04T12:00:00Z">
        <w:r>
          <w:t xml:space="preserve">is an empirical question that </w:t>
        </w:r>
      </w:ins>
      <w:r>
        <w:t xml:space="preserve">the </w:t>
      </w:r>
      <w:del w:id="804" w:author="Arshad Akhtar Abbasia" w:date="2026-10-04T12:00:00Z">
        <w:r>
          <w:delText xml:space="preserve">whole of its retention life.</w:delText>
        </w:r>
      </w:del>
      <w:ins w:id="805" w:author="Arshad Akhtar Abbasia" w:date="2026-10-04T12:00:00Z">
        <w:r>
          <w:t xml:space="preserve">model does not answer (Chapter 3, Section 3.7).</w:t>
        </w:r>
      </w:ins>
    </w:p>
    <w:p>
      <w:pPr>
        <w:pStyle w:val="BodyText"/>
      </w:pPr>
      <w:r>
        <w:t xml:space="preserve">Corollary 1.2 (Secure Processing Environment case). For Secure Processing Environment access logs, </w:t>
      </w:r>
      <w:del w:id="806" w:author="Arshad Akhtar Abbasia" w:date="2026-10-04T12:00:00Z">
        <w:r>
          <w:delText xml:space="preserve">F(a) = </w:delText>
        </w:r>
      </w:del>
      <w:ins w:id="807" w:author="Arshad Akhtar Abbasia" w:date="2026-10-04T12:00:00Z">
        <w:r>
          <w:t xml:space="preserve">F(a) = </w:t>
        </w:r>
      </w:ins>
      <w:r>
        <w:t xml:space="preserve">12 and σ(a) = secondary. Suppose the permit expires at or before the sixth month of the record’s retention window, so that </w:t>
      </w:r>
      <w:del w:id="808" w:author="Arshad Akhtar Abbasia" w:date="2026-10-04T12:00:00Z">
        <w:r>
          <w:delText xml:space="preserve">t_(π)(a) + 6 ≤ t(a) + </w:delText>
        </w:r>
      </w:del>
      <w:ins w:id="809" w:author="Arshad Akhtar Abbasia" w:date="2026-10-04T12:00:00Z">
        <w:r>
          <w:t xml:space="preserve">t_(π)(a) + 6 ≤ t(a) + </w:t>
        </w:r>
      </w:ins>
      <w:r>
        <w:t xml:space="preserve">12. Then C1 and C3 are contradictory at </w:t>
      </w:r>
      <w:del w:id="810" w:author="Arshad Akhtar Abbasia" w:date="2026-10-04T12:00:00Z">
        <w:r>
          <w:delText xml:space="preserve">t^(*) = t_(π)(a) + </w:delText>
        </w:r>
      </w:del>
      <w:ins w:id="811" w:author="Arshad Akhtar Abbasia" w:date="2026-10-04T12:00:00Z">
        <w:r>
          <w:t xml:space="preserve">t^(*) = t_(π)(a) + </w:t>
        </w:r>
      </w:ins>
      <w:r>
        <w:t xml:space="preserve">6 by the argument </w:t>
      </w:r>
      <w:del w:id="812" w:author="Arshad Akhtar Abbasia" w:date="2026-10-04T12:00:00Z">
        <w:r>
          <w:delText xml:space="preserve">above. On </w:delText>
        </w:r>
      </w:del>
      <w:ins w:id="813" w:author="Arshad Akhtar Abbasia" w:date="2026-10-04T12:00:00Z">
        <w:r>
          <w:t xml:space="preserve">above, provided C3 reaches </w:t>
        </w:r>
      </w:ins>
      <w:r>
        <w:t xml:space="preserve">the </w:t>
      </w:r>
      <w:del w:id="814" w:author="Arshad Akhtar Abbasia" w:date="2026-10-04T12:00:00Z">
        <w:r>
          <w:delText xml:space="preserve">broad reading of Article 68(12) defended below, </w:delText>
        </w:r>
      </w:del>
      <w:ins w:id="815" w:author="Arshad Akhtar Abbasia" w:date="2026-10-04T12:00:00Z">
        <w:r>
          <w:t xml:space="preserve">record. Where it does, </w:t>
        </w:r>
      </w:ins>
      <w:r>
        <w:t xml:space="preserve">no erasure request is required. </w:t>
      </w:r>
      <w:del w:id="816" w:author="Arshad Akhtar Abbasia" w:date="2026-10-04T12:00:00Z">
        <w:r>
          <w:delText xml:space="preserve">The </w:delText>
        </w:r>
      </w:del>
      <w:ins w:id="817" w:author="Arshad Akhtar Abbasia" w:date="2026-10-04T12:00:00Z">
        <w:r>
          <w:t xml:space="preserve">It does so when the log entry is itself electronic health data within the environment, which, on the reading set out below, is the case for logs kept at patient-record granularity and not for logs kept at dataset granularity. For such records the </w:t>
        </w:r>
      </w:ins>
      <w:r>
        <w:t xml:space="preserve">infeasibility </w:t>
      </w:r>
      <w:del w:id="818" w:author="Arshad Akhtar Abbasia" w:date="2026-10-04T12:00:00Z">
        <w:r>
          <w:delText xml:space="preserve">then </w:delText>
        </w:r>
      </w:del>
      <w:r>
        <w:t xml:space="preserve">follows from two provisions of a single regulation acting on a single environment. Article 73(1)(e) requires the identifiable log to remain verifiable for twelve months, and Article 68(12) requires </w:t>
      </w:r>
      <w:del w:id="819" w:author="Arshad Akhtar Abbasia" w:date="2026-10-04T12:00:00Z">
        <w:r>
          <w:delText xml:space="preserve">personal </w:delText>
        </w:r>
      </w:del>
      <w:ins w:id="820" w:author="Arshad Akhtar Abbasia" w:date="2026-10-04T12:00:00Z">
        <w:r>
          <w:t xml:space="preserve">the electronic health </w:t>
        </w:r>
      </w:ins>
      <w:r>
        <w:t xml:space="preserve">data </w:t>
      </w:r>
      <w:ins w:id="821" w:author="Arshad Akhtar Abbasia" w:date="2026-10-04T12:00:00Z">
        <w:r>
          <w:t xml:space="preserve">within the environment </w:t>
        </w:r>
      </w:ins>
      <w:r>
        <w:t xml:space="preserve">to be </w:t>
      </w:r>
      <w:del w:id="822" w:author="Arshad Akhtar Abbasia" w:date="2026-10-04T12:00:00Z">
        <w:r>
          <w:delText xml:space="preserve">gone from the environment </w:delText>
        </w:r>
      </w:del>
      <w:ins w:id="823" w:author="Arshad Akhtar Abbasia" w:date="2026-10-04T12:00:00Z">
        <w:r>
          <w:t xml:space="preserve">deleted </w:t>
        </w:r>
      </w:ins>
      <w:r>
        <w:t xml:space="preserve">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ins w:id="824" w:author="Arshad Akhtar Abbasia" w:date="2026-10-04T12:00:00Z">
        <w:r>
          <w:t xml:space="preserve">Where it holds, </w:t>
        </w:r>
      </w:ins>
      <w:r>
        <w:t xml:space="preserve">Corollary 1.2 is the sharpest form of the thesis’s problem statement. It shows that the conflict does not depend on the exercise of a data-subject right, on the eHDSI deployment baseline, or on any synthesis across instruments of differing legal weight. It is internal to Regulation (EU) 2025/327.</w:t>
      </w:r>
    </w:p>
    <w:p>
      <w:pPr>
        <w:pStyle w:val="BodyText"/>
      </w:pPr>
      <w:r>
        <w:t xml:space="preserve">The interpretive condition on which Corollary 1.2 depends. The corollary holds if, and only if, the deletion obligation of Article 68(12) reaches the identifiable access logs that Article 73(1)(e) requires to be kept. That condition is contestable and </w:t>
      </w:r>
      <w:del w:id="825" w:author="Arshad Akhtar Abbasia" w:date="2026-10-04T12:00:00Z">
        <w:r>
          <w:delText xml:space="preserve">must be </w:delText>
        </w:r>
      </w:del>
      <w:ins w:id="826" w:author="Arshad Akhtar Abbasia" w:date="2026-10-04T12:00:00Z">
        <w:r>
          <w:t xml:space="preserve">is </w:t>
        </w:r>
      </w:ins>
      <w:r>
        <w:t xml:space="preserve">stated as </w:t>
      </w:r>
      <w:del w:id="827" w:author="Arshad Akhtar Abbasia" w:date="2026-10-04T12:00:00Z">
        <w:r>
          <w:delText xml:space="preserve">such rather than assumed, because the corollary is the sharpest claim in this thesis and a reader is entitled to see its weakest joint.</w:delText>
        </w:r>
      </w:del>
      <w:ins w:id="828" w:author="Arshad Akhtar Abbasia" w:date="2026-10-04T12:00:00Z">
        <w:r>
          <w:t xml:space="preserve">such.</w:t>
        </w:r>
      </w:ins>
    </w:p>
    <w:p>
      <w:pPr>
        <w:pStyle w:val="BodyText"/>
        <w:rPr>
          <w:ins w:id="829" w:author="Arshad Akhtar Abbasia" w:date="2026-10-04T12:00:00Z"/>
        </w:rPr>
      </w:pPr>
      <w:ins w:id="830" w:author="Arshad Akhtar Abbasia" w:date="2026-10-04T12:00:00Z">
        <w:r>
          <w:t xml:space="preserve">Article 68(12) provides that “the electronic health data within the secure processing environment shall be deleted within six months of the expiry of the data permit”. Its scope is set by location rather than by provenance: it does not say “the data made available under the data permit”. Its object, however, is electronic health data, which Article 2(2)(a) and (c) define as “data concerning health and genetic data, processed in an electronic form”,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 “authorised natural persons listed in the data permit” (point (a)), and the handling of data to “authorised identifiable individuals” (point (c)). The Joint Action’s specification for these environments reads Article 73(1)(e) the same way: “All SPE logs MUST identify the actor” (TEHDAS2, 2026, Table 5.1, EHDSR-7, p. 31).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ins>
    </w:p>
    <w:p>
      <w:pPr>
        <w:pStyle w:val="BodyText"/>
        <w:rPr>
          <w:del w:id="831" w:author="Arshad Akhtar Abbasia" w:date="2026-10-04T12:00:00Z"/>
        </w:rPr>
      </w:pPr>
      <w:del w:id="832" w:author="Arshad Akhtar Abbasia" w:date="2026-10-04T12:00:00Z">
        <w:r>
          <w:delText xml:space="preserve">The textual case for the broad reading is that the provision governs the data within the secure processing environment, a formulation defined by location rather than by provenance. It does not say “the data made available under the data permit,” though the Regulation uses that narrower formulation freely elsewhere, and the access logs are indisputably data within the environment. On that reading Article 68(12) reaches them, and Corollary 1.2 follows.</w:delText>
        </w:r>
      </w:del>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w:t>
      </w:r>
      <w:ins w:id="833" w:author="Arshad Akhtar Abbasia" w:date="2026-10-04T12:00:00Z">
        <w:r>
          <w:t xml:space="preserve">The rest of the paragraph supports this: it concerns the cost of storing the dataset, “a storage system with reduced capabilities”, and “the formula for the creation of the requested dataset”. </w:t>
        </w:r>
      </w:ins>
      <w:r>
        <w:t xml:space="preserve">On that reading the obligation attaches to the permit dataset, the access logs fall outside it, and no collision between Articles 68(12) and 73(1)(e) arises.</w:t>
      </w:r>
    </w:p>
    <w:p>
      <w:pPr>
        <w:pStyle w:val="BodyText"/>
      </w:pPr>
      <w:r>
        <w:t xml:space="preserve">This thesis </w:t>
      </w:r>
      <w:del w:id="834" w:author="Arshad Akhtar Abbasia" w:date="2026-10-04T12:00:00Z">
        <w:r>
          <w:delText xml:space="preserve">adopts </w:delText>
        </w:r>
      </w:del>
      <w:ins w:id="835" w:author="Arshad Akhtar Abbasia" w:date="2026-10-04T12:00:00Z">
        <w:r>
          <w:t xml:space="preserve">states Corollary 1.2 conditionally, for logs kept at patient-record granularity on </w:t>
        </w:r>
      </w:ins>
      <w:r>
        <w:t xml:space="preserve">the broad </w:t>
      </w:r>
      <w:del w:id="836" w:author="Arshad Akhtar Abbasia" w:date="2026-10-04T12:00:00Z">
        <w:r>
          <w:delText xml:space="preserve">reading </w:delText>
        </w:r>
      </w:del>
      <w:ins w:id="837" w:author="Arshad Akhtar Abbasia" w:date="2026-10-04T12:00:00Z">
        <w:r>
          <w:t xml:space="preserve">reading, </w:t>
        </w:r>
      </w:ins>
      <w:r>
        <w:t xml:space="preserve">and </w:t>
      </w:r>
      <w:del w:id="838" w:author="Arshad Akhtar Abbasia" w:date="2026-10-04T12:00:00Z">
        <w:r>
          <w:delText xml:space="preserve">states </w:delText>
        </w:r>
      </w:del>
      <w:ins w:id="839" w:author="Arshad Akhtar Abbasia" w:date="2026-10-04T12:00:00Z">
        <w:r>
          <w:t xml:space="preserve">gives </w:t>
        </w:r>
      </w:ins>
      <w:r>
        <w:t xml:space="preserve">the grounds </w:t>
      </w:r>
      <w:ins w:id="840" w:author="Arshad Akhtar Abbasia" w:date="2026-10-04T12:00:00Z">
        <w:r>
          <w:t xml:space="preserve">for both readings </w:t>
        </w:r>
      </w:ins>
      <w:r>
        <w:t xml:space="preserve">rather than </w:t>
      </w:r>
      <w:del w:id="841" w:author="Arshad Akhtar Abbasia" w:date="2026-10-04T12:00:00Z">
        <w:r>
          <w:delText xml:space="preserve">asserting the conclusion. But the architecture of the results is deliberately such that little </w:delText>
        </w:r>
      </w:del>
      <w:ins w:id="842" w:author="Arshad Akhtar Abbasia" w:date="2026-10-04T12:00:00Z">
        <w:r>
          <w:t xml:space="preserve">choosing one by assertion. Little </w:t>
        </w:r>
      </w:ins>
      <w:r>
        <w:t xml:space="preserve">turns on which reading </w:t>
      </w:r>
      <w:del w:id="843" w:author="Arshad Akhtar Abbasia" w:date="2026-10-04T12:00:00Z">
        <w:r>
          <w:delText xml:space="preserve">prevails, and that should be made explicit. </w:delText>
        </w:r>
      </w:del>
      <w:ins w:id="844" w:author="Arshad Akhtar Abbasia" w:date="2026-10-04T12:00:00Z">
        <w:r>
          <w:t xml:space="preserve">prevails. </w:t>
        </w:r>
      </w:ins>
      <w:r>
        <w:t xml:space="preserve">Under the narrow reading, Corollary 1.2 lapses, and with it the claim that infeasibility arises without any data-subject action. </w:t>
      </w:r>
      <w:del w:id="845" w:author="Arshad Akhtar Abbasia" w:date="2026-10-04T12:00:00Z">
        <w:r>
          <w:delText xml:space="preserve">Theorem </w:delText>
        </w:r>
      </w:del>
      <w:ins w:id="846" w:author="Arshad Akhtar Abbasia" w:date="2026-10-04T12:00:00Z">
        <w:r>
          <w:t xml:space="preserve">Proposition </w:t>
        </w:r>
      </w:ins>
      <w:r>
        <w:t xml:space="preserve">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w:t>
      </w:r>
      <w:del w:id="847" w:author="Arshad Akhtar Abbasia" w:date="2026-10-04T12:00:00Z">
        <w:r>
          <w:delText xml:space="preserve">Theorem </w:delText>
        </w:r>
      </w:del>
      <w:ins w:id="848" w:author="Arshad Akhtar Abbasia" w:date="2026-10-04T12:00:00Z">
        <w:r>
          <w:t xml:space="preserve">Proposition </w:t>
        </w:r>
      </w:ins>
      <w:r>
        <w:t xml:space="preserve">2, the mechanism, and the residue analysis are untouched, since they are indifferent to which instrument generates the deadline.</w:t>
      </w:r>
    </w:p>
    <w:p>
      <w:pPr>
        <w:pStyle w:val="BodyText"/>
      </w:pPr>
      <w:r>
        <w:t xml:space="preserve">The narrow </w:t>
      </w:r>
      <w:del w:id="849" w:author="Arshad Akhtar Abbasia" w:date="2026-10-04T12:00:00Z">
        <w:r>
          <w:delText xml:space="preserve">reading </w:delText>
        </w:r>
      </w:del>
      <w:ins w:id="850" w:author="Arshad Akhtar Abbasia" w:date="2026-10-04T12:00:00Z">
        <w:r>
          <w:t xml:space="preserve">reading, or logs kept at dataset granularity, </w:t>
        </w:r>
      </w:ins>
      <w:r>
        <w:t xml:space="preserve">therefore </w:t>
      </w:r>
      <w:del w:id="851" w:author="Arshad Akhtar Abbasia" w:date="2026-10-04T12:00:00Z">
        <w:r>
          <w:delText xml:space="preserve">costs </w:delText>
        </w:r>
      </w:del>
      <w:ins w:id="852" w:author="Arshad Akhtar Abbasia" w:date="2026-10-04T12:00:00Z">
        <w:r>
          <w:t xml:space="preserve">cost </w:t>
        </w:r>
      </w:ins>
      <w:r>
        <w:t xml:space="preserve">the thesis its sharpest instance and none of its results. The broad reading, </w:t>
      </w:r>
      <w:del w:id="853" w:author="Arshad Akhtar Abbasia" w:date="2026-10-04T12:00:00Z">
        <w:r>
          <w:delText xml:space="preserve">if correct, </w:delText>
        </w:r>
      </w:del>
      <w:ins w:id="854" w:author="Arshad Akhtar Abbasia" w:date="2026-10-04T12:00:00Z">
        <w:r>
          <w:t xml:space="preserve">for logs kept at patient-record granularity, </w:t>
        </w:r>
      </w:ins>
      <w:r>
        <w:t xml:space="preserve">adds a collision that requires no data subject to </w:t>
      </w:r>
      <w:del w:id="855" w:author="Arshad Akhtar Abbasia" w:date="2026-10-04T12:00:00Z">
        <w:r>
          <w:delText xml:space="preserve">act. </w:delText>
        </w:r>
      </w:del>
      <w:ins w:id="856" w:author="Arshad Akhtar Abbasia" w:date="2026-10-04T12:00:00Z">
        <w:r>
          <w:t xml:space="preserve">act, and Proposition 2 resolves it without choosing between the readings, because the accessor fields that Article 73(1)(e) requires to be identifiable are not the subject fields that Article 68(12) may reach (Section 4.7). </w:t>
        </w:r>
      </w:ins>
      <w:r>
        <w:t xml:space="preserve">Chapter 6 treats the resolution of this interpretive question as a matter for supervisory authority rather than for this author, alongside the authority question concerning verifiability itself.</w:t>
      </w:r>
    </w:p>
    <w:p>
      <w:pPr>
        <w:pStyle w:val="BodyText"/>
        <w:rPr>
          <w:ins w:id="857" w:author="Arshad Akhtar Abbasia" w:date="2026-10-04T12:00:00Z"/>
        </w:rPr>
      </w:pPr>
      <w:ins w:id="858" w:author="Arshad Akhtar Abbasia" w:date="2026-10-04T12:00:00Z">
        <w:r>
          <w:t xml:space="preserve">Where the ceiling is anchored. Corollary 1.2 and the cross-sector instance of Chapter 6, Section 6.10 are both cases of one condition, the structural content of the problem rather than a property of either instrument.</w:t>
        </w:r>
      </w:ins>
    </w:p>
    <w:p>
      <w:pPr>
        <w:pStyle w:val="BodyText"/>
        <w:rPr>
          <w:ins w:id="859" w:author="Arshad Akhtar Abbasia" w:date="2026-10-04T12:00:00Z"/>
        </w:rPr>
      </w:pPr>
      <w:ins w:id="860" w:author="Arshad Akhtar Abbasia" w:date="2026-10-04T12:00:00Z">
        <w:r>
          <w:t xml:space="preserve">Proposition 3 (anchoring). Let a record’s floor of F months run from its creation month t(a), and let a ceiling of L months run from an event at month e(a) ≥ t(a). Under Semantics I, the floor and the ceiling are jointly satisfiable for a if and only if e(a) + L &gt; t(a) + F. Hence (i) if the ceiling is anchored to the same event as the floor, e(a) = t(a), they are satisfiable for every record if and only if L &gt; F, a condition decidable from the text alone; and (ii) if the ceiling is anchored to an external event, then whenever L ≤ F they fail for exactly those records with e(a) − t(a) ≤ F − L, a set that the text does not reveal and each record’s history determines.</w:t>
        </w:r>
      </w:ins>
    </w:p>
    <w:p>
      <w:pPr>
        <w:pStyle w:val="BodyText"/>
        <w:rPr>
          <w:ins w:id="861" w:author="Arshad Akhtar Abbasia" w:date="2026-10-04T12:00:00Z"/>
        </w:rPr>
      </w:pPr>
      <w:ins w:id="862" w:author="Arshad Akhtar Abbasia" w:date="2026-10-04T12:00:00Z">
        <w:r>
          <w:t xml:space="preserve">Proof. C1 under Semantics I requires α(a,t) = 1 for every month t up to t(a) + F; the ceiling requires α(a,t) = 0 for every t ≥ e(a) + L. Since e(a) + L ≥ t(a), some month of the window carries both demands if and only if e(a) + L ≤ t(a) + F. Cases (i) and (ii) substitute e(a) = t(a) and rearrange. ∎</w:t>
        </w:r>
      </w:ins>
    </w:p>
    <w:p>
      <w:pPr>
        <w:pStyle w:val="BodyText"/>
        <w:rPr>
          <w:ins w:id="863" w:author="Arshad Akhtar Abbasia" w:date="2026-10-04T12:00:00Z"/>
        </w:rPr>
      </w:pPr>
      <w:ins w:id="864" w:author="Arshad Akhtar Abbasia" w:date="2026-10-04T12:00:00Z">
        <w:r>
          <w:t xml:space="preserve">The proposition corrects as well as formalises. A collision needs a ceiling no longer than the floor whichever way it is anchored; what the anchor decides is whether the collision can be seen. A provision that measured both limits from one event and set the ceiling inside the floor would contradict itself on its face. Section 17 of politiregisterloven, a floor of twelve months and a ceiling of thirty-six from the same log entry, does not (Chapter 6, Section 6.10). A ceiling measured from an external event can sit inside the floor with no visible contradiction, because whether the two clocks cross depends on when that event falls for each record. Article 68(12) is of the second kind: six months from permit expiry against twelve months from the log entry, with the collision arising for exactly the records whose permit expires within six months of the entry, which is the condition of Corollary 1.2. The diagnostic question for any candidate instance is therefore whether a ceiling no longer than the floor is anchored to an event other than the one the floor runs from.</w:t>
        </w:r>
      </w:ins>
    </w:p>
    <w:p>
      <w:pPr>
        <w:pStyle w:val="Heading2"/>
      </w:pPr>
      <w:del w:id="865" w:author="Arshad Akhtar Abbasia" w:date="2026-10-04T12:00:00Z">
        <w:r>
          <w:delText xml:space="preserve">Theorem </w:delText>
        </w:r>
      </w:del>
      <w:ins w:id="866" w:author="Arshad Akhtar Abbasia" w:date="2026-10-04T12:00:00Z">
        <w:r>
          <w:t xml:space="preserve">4.7 Proposition </w:t>
        </w:r>
      </w:ins>
      <w:r>
        <w:t xml:space="preserve">2: Feasibility under Accountability-Preserving Verifiability</w:t>
      </w:r>
    </w:p>
    <w:p>
      <w:pPr>
        <w:pStyle w:val="BodyText"/>
      </w:pPr>
      <w:del w:id="867" w:author="Arshad Akhtar Abbasia" w:date="2026-10-04T12:00:00Z">
        <w:r>
          <w:delText xml:space="preserve">Theorem </w:delText>
        </w:r>
      </w:del>
      <w:ins w:id="868" w:author="Arshad Akhtar Abbasia" w:date="2026-10-04T12:00:00Z">
        <w:r>
          <w:t xml:space="preserve">Proposition </w:t>
        </w:r>
      </w:ins>
      <w:r>
        <w:t xml:space="preserve">2. Under Semantics II, the constraint system </w:t>
      </w:r>
      <w:del w:id="869" w:author="Arshad Akhtar Abbasia" w:date="2026-10-04T12:00:00Z">
        <w:r>
          <w:delText xml:space="preserve">{C1, C2, </w:delText>
        </w:r>
      </w:del>
      <w:ins w:id="870" w:author="Arshad Akhtar Abbasia" w:date="2026-10-04T12:00:00Z">
        <w:r>
          <w:t xml:space="preserve">{C1, C2, </w:t>
        </w:r>
      </w:ins>
      <w:r>
        <w:t xml:space="preserve">C3} is jointly satisfiable for every record </w:t>
      </w:r>
      <w:del w:id="871" w:author="Arshad Akhtar Abbasia" w:date="2026-10-04T12:00:00Z">
        <w:r>
          <w:delText xml:space="preserve">a ∈ </w:delText>
        </w:r>
      </w:del>
      <w:ins w:id="872" w:author="Arshad Akhtar Abbasia" w:date="2026-10-04T12:00:00Z">
        <w:r>
          <w:t xml:space="preserve">a ∈ </w:t>
        </w:r>
      </w:ins>
      <w:r>
        <w:t xml:space="preserve">A, for every arrival pattern of erasure requests {t_(r)(a)} and permit expiries {t_(π)(a)}, and for every floor parameter </w:t>
      </w:r>
      <w:del w:id="873" w:author="Arshad Akhtar Abbasia" w:date="2026-10-04T12:00:00Z">
        <w:r>
          <w:delText xml:space="preserve">F(a) ∈ </w:delText>
        </w:r>
      </w:del>
      <w:ins w:id="874" w:author="Arshad Akhtar Abbasia" w:date="2026-10-04T12:00:00Z">
        <w:r>
          <w:t xml:space="preserve">F(a) ∈ </w:t>
        </w:r>
      </w:ins>
      <w:r>
        <w:t xml:space="preserve">ℕ.</w:t>
      </w:r>
    </w:p>
    <w:p>
      <w:pPr>
        <w:pStyle w:val="BodyText"/>
      </w:pPr>
      <w:r>
        <w:t xml:space="preserve">Proof (constructive). Define the following trajectory for an arbitrary record a. Let</w:t>
      </w:r>
    </w:p>
    <w:p>
      <w:pPr>
        <w:pStyle w:val="BodyText"/>
      </w:pPr>
      <w:r>
        <w:t xml:space="preserve">t^(I)(a) = min ( t_(r)(a) + δ, t_(π)(a) + 6 )</w:t>
      </w:r>
    </w:p>
    <w:p>
      <w:pPr>
        <w:pStyle w:val="BodyText"/>
      </w:pPr>
      <w:r>
        <w:t xml:space="preserve">be the invalidation month, with the convention min(∞, ∞) = ∞. Construct the trajectory:</w:t>
      </w:r>
    </w:p>
    <w:p>
      <w:pPr>
        <w:pStyle w:val="BodyText"/>
        <w:rPr>
          <w:ins w:id="875" w:author="Arshad Akhtar Abbasia" w:date="2026-10-04T12:00:00Z"/>
        </w:rPr>
      </w:pPr>
      <w:ins w:id="876" w:author="Arshad Akhtar Abbasia" w:date="2026-10-04T12:00:00Z">
        <w:r>
          <w:t xml:space="preserve">1. For t &lt; t^(I)(a): set α(a,t) = 1. Retain m(a), c(a), k(a), and p(a). 2. At t = t^(I)(a), if finite: destroy k(a) irreversibly; where the ground is Article 68(12) and C3 reaches the subject fields, remove m_(subj)(a) as well and set β(a,t) = 0; append to the audit trail an invalidation entry ι(a) recording the month, the legal ground (Article 17(1) or Article 68(12) as applicable), what was removed, and the authorising actor; retain m_(acc)(a) and c(a) unchanged. 3. For t &gt; t^(I)(a): set α(a,t) = 0, and β(a,t) = 0 where step 2 removed the subject fields. Retain m_(acc)(a), c(a), and ι(a). 4. If C3 reaches the subject fields and t^(I)(a) &lt; t_(π)(a) + 6, so that an erasure request fixed the invalidation month, remove m_(subj)(a) at t_(π)(a) + 6, set β(a,t) = 0 from that month, and append a second entry to ι(a) recording it.</w:t>
        </w:r>
      </w:ins>
    </w:p>
    <w:p>
      <w:pPr>
        <w:pStyle w:val="BodyText"/>
        <w:rPr>
          <w:del w:id="877" w:author="Arshad Akhtar Abbasia" w:date="2026-10-04T12:00:00Z"/>
        </w:rPr>
      </w:pPr>
      <w:del w:id="878" w:author="Arshad Akhtar Abbasia" w:date="2026-10-04T12:00:00Z">
        <w:r>
          <w:delText xml:space="preserve">1.  For t &lt; t^(I)(a): set α(a,t) = 1. Retain m(a), c(a), k(a), and p(a).</w:delText>
        </w:r>
      </w:del>
    </w:p>
    <w:p>
      <w:pPr>
        <w:pStyle w:val="BodyText"/>
        <w:rPr>
          <w:del w:id="879" w:author="Arshad Akhtar Abbasia" w:date="2026-10-04T12:00:00Z"/>
        </w:rPr>
      </w:pPr>
      <w:del w:id="880" w:author="Arshad Akhtar Abbasia" w:date="2026-10-04T12:00:00Z">
        <w:r>
          <w:delText xml:space="preserve">2.  At t = t^(I)(a), if finite: destroy k(a) irreversibly; append to the audit trail an invalidation entry ι(a) recording the month, the legal ground (Article 17(1) or Article 68(12) as applicable), and the authorising actor; retain m(a) and c(a) unchanged.</w:delText>
        </w:r>
      </w:del>
    </w:p>
    <w:p>
      <w:pPr>
        <w:pStyle w:val="BodyText"/>
        <w:rPr>
          <w:del w:id="881" w:author="Arshad Akhtar Abbasia" w:date="2026-10-04T12:00:00Z"/>
        </w:rPr>
      </w:pPr>
      <w:del w:id="882" w:author="Arshad Akhtar Abbasia" w:date="2026-10-04T12:00:00Z">
        <w:r>
          <w:delText xml:space="preserve">3.  For t &gt; t^(I)(a): set α(a,t) = 0. Retain m(a), c(a), and ι(a).</w:delText>
        </w:r>
      </w:del>
    </w:p>
    <w:p>
      <w:pPr>
        <w:pStyle w:val="BodyText"/>
      </w:pPr>
      <w:r>
        <w:t xml:space="preserve">It must be shown that this trajectory satisfies all three constraints.</w:t>
      </w:r>
    </w:p>
    <w:p>
      <w:pPr>
        <w:pStyle w:val="BodyText"/>
      </w:pPr>
      <w:r>
        <w:t xml:space="preserve">C2 is satisfied. If t_(r)(a) &lt; ∞ then t^(I)(a) ≤ t_(r)(a) + δ by construction, and by steps 2–3, α(a,t) = 0 for all t ≥ t^(I)(a), hence for all t ≥ t_(r)(a) + δ. If t_(r)(a) = ∞, C2 is vacuous.</w:t>
      </w:r>
    </w:p>
    <w:p>
      <w:pPr>
        <w:pStyle w:val="BodyText"/>
        <w:rPr>
          <w:ins w:id="883" w:author="Arshad Akhtar Abbasia" w:date="2026-10-04T12:00:00Z"/>
        </w:rPr>
      </w:pPr>
      <w:ins w:id="884" w:author="Arshad Akhtar Abbasia" w:date="2026-10-04T12:00:00Z">
        <w:r>
          <w:t xml:space="preserve">C3 is satisfied. If σ(a) = secondary and t_(π)(a) &lt; ∞ then t^(I)(a) ≤ t_(π)(a) + 6, and by the same steps α(a,t) = 0 for all t ≥ t_(π)(a) + 6, and β(a,t) = 0 from the same month wherever C3 reaches the subject fields. If t^(I)(a) was set by an earlier erasure request, step 4 removes the subject fields at t_(π)(a) + 6. Otherwise C3 is vacuous.</w:t>
        </w:r>
      </w:ins>
    </w:p>
    <w:p>
      <w:pPr>
        <w:pStyle w:val="BodyText"/>
        <w:rPr>
          <w:del w:id="885" w:author="Arshad Akhtar Abbasia" w:date="2026-10-04T12:00:00Z"/>
        </w:rPr>
      </w:pPr>
      <w:del w:id="886" w:author="Arshad Akhtar Abbasia" w:date="2026-10-04T12:00:00Z">
        <w:r>
          <w:delText xml:space="preserve">C3 is satisfied. If σ(a) = secondary and t_(π)(a) &lt; ∞ then t^(I)(a) ≤ t_(π)(a) + 6, and by the same steps α(a,t) = 0 for all t ≥ t_(π)(a) + 6. Otherwise C3 is vacuous.</w:delText>
        </w:r>
      </w:del>
    </w:p>
    <w:p>
      <w:pPr>
        <w:pStyle w:val="BodyText"/>
      </w:pPr>
      <w:r>
        <w:t xml:space="preserve">C1 is satisfied. Let t be any month in the retention window, </w:t>
      </w:r>
      <w:del w:id="887" w:author="Arshad Akhtar Abbasia" w:date="2026-10-04T12:00:00Z">
        <w:r>
          <w:delText xml:space="preserve">t(a) ≤ t ≤ t(a) + </w:delText>
        </w:r>
      </w:del>
      <w:ins w:id="888" w:author="Arshad Akhtar Abbasia" w:date="2026-10-04T12:00:00Z">
        <w:r>
          <w:t xml:space="preserve">t(a) ≤ t ≤ t(a) + </w:t>
        </w:r>
      </w:ins>
      <w:r>
        <w:t xml:space="preserve">F(a). Condition (i) holds because no step of the construction modifies or removes </w:t>
      </w:r>
      <w:del w:id="889" w:author="Arshad Akhtar Abbasia" w:date="2026-10-04T12:00:00Z">
        <w:r>
          <w:delText xml:space="preserve">m(a). </w:delText>
        </w:r>
      </w:del>
      <w:ins w:id="890" w:author="Arshad Akhtar Abbasia" w:date="2026-10-04T12:00:00Z">
        <w:r>
          <w:t xml:space="preserve">m_(acc)(a), and the only removal of m_(subj)(a) is recorded in ι(a). </w:t>
        </w:r>
      </w:ins>
      <w:r>
        <w:t xml:space="preserve">Condition (ii) holds because no step removes c(a); the commitment is not derived from k(a) and its persistence is unaffected by key destruction. For condition (iii): if </w:t>
      </w:r>
      <w:del w:id="891" w:author="Arshad Akhtar Abbasia" w:date="2026-10-04T12:00:00Z">
        <w:r>
          <w:delText xml:space="preserve">α(a,t) = </w:delText>
        </w:r>
      </w:del>
      <w:ins w:id="892" w:author="Arshad Akhtar Abbasia" w:date="2026-10-04T12:00:00Z">
        <w:r>
          <w:t xml:space="preserve">α(a,t) = </w:t>
        </w:r>
      </w:ins>
      <w:r>
        <w:t xml:space="preserve">1 the condition is vacuous; if </w:t>
      </w:r>
      <w:del w:id="893" w:author="Arshad Akhtar Abbasia" w:date="2026-10-04T12:00:00Z">
        <w:r>
          <w:delText xml:space="preserve">α(a,t) = </w:delText>
        </w:r>
      </w:del>
      <w:ins w:id="894" w:author="Arshad Akhtar Abbasia" w:date="2026-10-04T12:00:00Z">
        <w:r>
          <w:t xml:space="preserve">α(a,t) = </w:t>
        </w:r>
      </w:ins>
      <w:r>
        <w:t xml:space="preserve">0 then </w:t>
      </w:r>
      <w:del w:id="895" w:author="Arshad Akhtar Abbasia" w:date="2026-10-04T12:00:00Z">
        <w:r>
          <w:delText xml:space="preserve">t ≥ </w:delText>
        </w:r>
      </w:del>
      <w:ins w:id="896" w:author="Arshad Akhtar Abbasia" w:date="2026-10-04T12:00:00Z">
        <w:r>
          <w:t xml:space="preserve">t ≥ </w:t>
        </w:r>
      </w:ins>
      <w:r>
        <w:t xml:space="preserve">t^(I)(a), and step 2 has placed ι(a) in the audit trail, where step 3 retains it, and ι(a) is covered by (i). Hence </w:t>
      </w:r>
      <w:del w:id="897" w:author="Arshad Akhtar Abbasia" w:date="2026-10-04T12:00:00Z">
        <w:r>
          <w:delText xml:space="preserve">V^(II)(a,t) = </w:delText>
        </w:r>
      </w:del>
      <w:ins w:id="898" w:author="Arshad Akhtar Abbasia" w:date="2026-10-04T12:00:00Z">
        <w:r>
          <w:t xml:space="preserve">V^(II)(a,t) = </w:t>
        </w:r>
      </w:ins>
      <w:r>
        <w:t xml:space="preserve">1 throughout the window. The terminal transition of Section 4.8 takes place after the window and is not part of this trajectory.</w:t>
      </w:r>
    </w:p>
    <w:p>
      <w:pPr>
        <w:pStyle w:val="BodyText"/>
      </w:pPr>
      <w:r>
        <w:t xml:space="preserve">All three constraints are satisfied, for arbitrary arrival times and arbitrary F(a). ∎</w:t>
      </w:r>
    </w:p>
    <w:p>
      <w:pPr>
        <w:pStyle w:val="BodyText"/>
      </w:pPr>
      <w:r>
        <w:t xml:space="preserve">Corollary 2.1. 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t xml:space="preserve">Corollary 2.2. Because F(a) 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t xml:space="preserve">A note on what kind of result this is. </w:t>
      </w:r>
      <w:del w:id="899" w:author="Arshad Akhtar Abbasia" w:date="2026-10-04T12:00:00Z">
        <w:r>
          <w:delText xml:space="preserve">An objection should be anticipated </w:delText>
        </w:r>
      </w:del>
      <w:ins w:id="900" w:author="Arshad Akhtar Abbasia" w:date="2026-10-04T12:00:00Z">
        <w:r>
          <w:t xml:space="preserve">The results of this chapter are stated as propositions </w:t>
        </w:r>
      </w:ins>
      <w:r>
        <w:t xml:space="preserve">rather than </w:t>
      </w:r>
      <w:del w:id="901" w:author="Arshad Akhtar Abbasia" w:date="2026-10-04T12:00:00Z">
        <w:r>
          <w:delText xml:space="preserve">left for a reader to formulate: </w:delText>
        </w:r>
      </w:del>
      <w:ins w:id="902" w:author="Arshad Akhtar Abbasia" w:date="2026-10-04T12:00:00Z">
        <w:r>
          <w:t xml:space="preserve">theorems, because their proofs are short once the semantics are fixed. The weight of the argument lies elsewhere: in Section 4.2’s necessity analysis, which justifies Semantics II, and in Propositions 3 and 4, which say where the conflict arises and where cryptography is necessary. One objection is </w:t>
        </w:r>
      </w:ins>
      <w:r>
        <w:t xml:space="preserve">that </w:t>
      </w:r>
      <w:del w:id="903" w:author="Arshad Akhtar Abbasia" w:date="2026-10-04T12:00:00Z">
        <w:r>
          <w:delText xml:space="preserve">Theorem </w:delText>
        </w:r>
      </w:del>
      <w:ins w:id="904" w:author="Arshad Akhtar Abbasia" w:date="2026-10-04T12:00:00Z">
        <w:r>
          <w:t xml:space="preserve">Proposition </w:t>
        </w:r>
      </w:ins>
      <w:r>
        <w:t xml:space="preserve">2 proves little, because Semantics II was defined in full knowledge of the trajectory that satisfies it. The objection has force and the response is to concede its premise and deny its conclusion. The mathematical content of </w:t>
      </w:r>
      <w:del w:id="905" w:author="Arshad Akhtar Abbasia" w:date="2026-10-04T12:00:00Z">
        <w:r>
          <w:delText xml:space="preserve">Theorem </w:delText>
        </w:r>
      </w:del>
      <w:ins w:id="906" w:author="Arshad Akhtar Abbasia" w:date="2026-10-04T12:00:00Z">
        <w:r>
          <w:t xml:space="preserve">Proposition </w:t>
        </w:r>
      </w:ins>
      <w:r>
        <w:t xml:space="preserve">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 this semantics is a defensible reading of what the retention obligations require, grounded in the necessity boundary of Article 17(3)(b), the minimisation principle of Article 5(1)(c), and the accountability purpose the obligations serve. It is also the weakest departure from </w:t>
      </w:r>
      <w:del w:id="907" w:author="Arshad Akhtar Abbasia" w:date="2026-10-04T12:00:00Z">
        <w:r>
          <w:delText xml:space="preserve">current practice </w:delText>
        </w:r>
      </w:del>
      <w:ins w:id="908" w:author="Arshad Akhtar Abbasia" w:date="2026-10-04T12:00:00Z">
        <w:r>
          <w:t xml:space="preserve">plaintext verifiability </w:t>
        </w:r>
      </w:ins>
      <w:r>
        <w:t xml:space="preserve">that achieves feasibility, preserving every element of the audit record that the accountability purpose needs and discarding only what it does not. </w:t>
      </w:r>
      <w:del w:id="909" w:author="Arshad Akhtar Abbasia" w:date="2026-10-04T12:00:00Z">
        <w:r>
          <w:delText xml:space="preserve">Theorem </w:delText>
        </w:r>
      </w:del>
      <w:ins w:id="910" w:author="Arshad Akhtar Abbasia" w:date="2026-10-04T12:00:00Z">
        <w:r>
          <w:t xml:space="preserve">Proposition </w:t>
        </w:r>
      </w:ins>
      <w:r>
        <w:t xml:space="preserve">1 carries the load that </w:t>
      </w:r>
      <w:del w:id="911" w:author="Arshad Akhtar Abbasia" w:date="2026-10-04T12:00:00Z">
        <w:r>
          <w:delText xml:space="preserve">Theorem </w:delText>
        </w:r>
      </w:del>
      <w:ins w:id="912" w:author="Arshad Akhtar Abbasia" w:date="2026-10-04T12:00:00Z">
        <w:r>
          <w:t xml:space="preserve">Proposition </w:t>
        </w:r>
      </w:ins>
      <w:r>
        <w:t xml:space="preserve">2 does not: it establishes that some departure is unavoidable, because the status quo admits no solution at all. </w:t>
      </w:r>
      <w:del w:id="913" w:author="Arshad Akhtar Abbasia" w:date="2026-10-04T12:00:00Z">
        <w:r>
          <w:delText xml:space="preserve">Theorem </w:delText>
        </w:r>
      </w:del>
      <w:ins w:id="914" w:author="Arshad Akhtar Abbasia" w:date="2026-10-04T12:00:00Z">
        <w:r>
          <w:t xml:space="preserve">Proposition </w:t>
        </w:r>
      </w:ins>
      <w:r>
        <w:t xml:space="preserve">2 then shows that a principled and minimal departure suffices. The legal defensibility of Semantics II is argued in Section 4.2 and its want of authority is confronted in Chapter 6, Section 6.2; it is not established by the </w:t>
      </w:r>
      <w:del w:id="915" w:author="Arshad Akhtar Abbasia" w:date="2026-10-04T12:00:00Z">
        <w:r>
          <w:delText xml:space="preserve">theorem, </w:delText>
        </w:r>
      </w:del>
      <w:ins w:id="916" w:author="Arshad Akhtar Abbasia" w:date="2026-10-04T12:00:00Z">
        <w:r>
          <w:t xml:space="preserve">proposition, </w:t>
        </w:r>
      </w:ins>
      <w:r>
        <w:t xml:space="preserve">and no reader should take the </w:t>
      </w:r>
      <w:del w:id="917" w:author="Arshad Akhtar Abbasia" w:date="2026-10-04T12:00:00Z">
        <w:r>
          <w:delText xml:space="preserve">theorem </w:delText>
        </w:r>
      </w:del>
      <w:ins w:id="918" w:author="Arshad Akhtar Abbasia" w:date="2026-10-04T12:00:00Z">
        <w:r>
          <w:t xml:space="preserve">proposition </w:t>
        </w:r>
      </w:ins>
      <w:r>
        <w:t xml:space="preserve">as establishing it.</w:t>
      </w:r>
    </w:p>
    <w:p>
      <w:pPr>
        <w:pStyle w:val="BodyText"/>
      </w:pPr>
      <w:r>
        <w:t xml:space="preserve">What the </w:t>
      </w:r>
      <w:del w:id="919" w:author="Arshad Akhtar Abbasia" w:date="2026-10-04T12:00:00Z">
        <w:r>
          <w:delText xml:space="preserve">theorem </w:delText>
        </w:r>
      </w:del>
      <w:ins w:id="920" w:author="Arshad Akhtar Abbasia" w:date="2026-10-04T12:00:00Z">
        <w:r>
          <w:t xml:space="preserve">proposition </w:t>
        </w:r>
      </w:ins>
      <w:r>
        <w:t xml:space="preserve">does and does not establish. 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4.10 concedes it cannot. The invalidation entry specified in Section 4.8 is an attested record of destruction, not a proof of it; the proof-of-secure-erasure and certified-deletion literatures reviewed in Chapter 2, Section 2.4 mark that boundary, and Chapter 6 treats it as the outer limit of the contribution. </w:t>
      </w:r>
      <w:del w:id="921" w:author="Arshad Akhtar Abbasia" w:date="2026-10-04T12:00:00Z">
        <w:r>
          <w:delText xml:space="preserve">Theorem </w:delText>
        </w:r>
      </w:del>
      <w:ins w:id="922" w:author="Arshad Akhtar Abbasia" w:date="2026-10-04T12:00:00Z">
        <w:r>
          <w:t xml:space="preserve">Proposition </w:t>
        </w:r>
      </w:ins>
      <w:r>
        <w:t xml:space="preserve">2 is a mathematical result about a model, and its value is that it converts a question that has been debated qualitatively into one with a definite answer under stated assumptions.</w:t>
      </w:r>
    </w:p>
    <w:p>
      <w:pPr>
        <w:pStyle w:val="Heading2"/>
      </w:pPr>
      <w:ins w:id="923" w:author="Arshad Akhtar Abbasia" w:date="2026-10-04T12:00:00Z">
        <w:r>
          <w:t xml:space="preserve">4.8 </w:t>
        </w:r>
      </w:ins>
      <w:r>
        <w:t xml:space="preserve">The Mechanism: Crypto-Erasure by Invalidation</w:t>
      </w:r>
    </w:p>
    <w:p>
      <w:pPr>
        <w:pStyle w:val="BodyText"/>
      </w:pPr>
      <w:r>
        <w:t xml:space="preserve">The trajectory constructed in the proof of </w:t>
      </w:r>
      <w:del w:id="924" w:author="Arshad Akhtar Abbasia" w:date="2026-10-04T12:00:00Z">
        <w:r>
          <w:delText xml:space="preserve">Theorem </w:delText>
        </w:r>
      </w:del>
      <w:ins w:id="925" w:author="Arshad Akhtar Abbasia" w:date="2026-10-04T12:00:00Z">
        <w:r>
          <w:t xml:space="preserve">Proposition </w:t>
        </w:r>
      </w:ins>
      <w:r>
        <w:t xml:space="preserve">2 is the specification of the mechanism. This section states it as an implementable design.</w:t>
      </w:r>
    </w:p>
    <w:p>
      <w:pPr>
        <w:pStyle w:val="BodyText"/>
        <w:rPr>
          <w:ins w:id="926" w:author="Arshad Akhtar Abbasia" w:date="2026-10-04T12:00:00Z"/>
        </w:rPr>
      </w:pPr>
      <w:ins w:id="927" w:author="Arshad Akhtar Abbasia" w:date="2026-10-04T12:00:00Z">
        <w:r>
          <w:t xml:space="preserve">Key hierarchy. Each record’s payload is encrypted under a per-record data key k(a). Per-record rather than per-subject or per-dataset granularity is required because the invalidation events of Proposition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 k(a) is effected by destruction of the wrapped data key and any cached copies, within the documented custody boundary. This is the hierarchy that key-management guidance prescribes, in which data keys are protected by key-encrypting keys and destruction means removing “all traces of a cryptographic key so that it cannot be recovered by either physical or electronic means” (Barker, 2020, Section 2.1). The optional module of the artefact executes it: per-record 256-bit data keys under AES in Galois/Counter Mode (Dworkin, 2007), each wrapped under a key-encrypting key and destroyed at the record’s invalidation month (Appendix A, A.15). The custody object stands in for a hardware security module, so destruction there is destruction in program memory.</w:t>
        </w:r>
      </w:ins>
    </w:p>
    <w:p>
      <w:pPr>
        <w:pStyle w:val="BodyText"/>
        <w:rPr>
          <w:ins w:id="928" w:author="Arshad Akhtar Abbasia" w:date="2026-10-04T12:00:00Z"/>
        </w:rPr>
      </w:pPr>
      <w:ins w:id="929" w:author="Arshad Akhtar Abbasia" w:date="2026-10-04T12:00:00Z">
        <w:r>
          <w:t xml:space="preserve">Ciphertext. At t^(I)(a) the ciphertext of p(a) is deleted from the audit store together with k(a). Nothing in Semantics II uses it once the key is gone, and deleting it removes the exposure that a retained ciphertext would carry to future cryptanalytic capability, quantum capability included, over the rest of a ten-year floor (Section 4.9). Key destruction remains the operative erasure for copies the store cannot delete at once, such as replicas and backups: they become unreadable at t^(I)(a) and leave by ordinary rotation. The specification for Secure Processing Environments accepts exactly this: electronic health data “MUST be deleted or rendered unrecoverable within six months of permit expiry, including any backups or redundant copies” (TEHDAS2, 2026, Table 5.2, OPR-6, p. 43). The same requirement continues: deletion must proceed “while ensuring compliance with applicable legal obligations and traceability or reproducibility requirements where relevant”, and its rationale leaves it to “the deletion and retention policy” to “balance these obligations”. The specification asks for the balance and does not say how it is struck; for the logs, this mechanism is one way to strike it.</w:t>
        </w:r>
      </w:ins>
    </w:p>
    <w:p>
      <w:pPr>
        <w:pStyle w:val="BodyText"/>
        <w:rPr>
          <w:ins w:id="930" w:author="Arshad Akhtar Abbasia" w:date="2026-10-04T12:00:00Z"/>
        </w:rPr>
      </w:pPr>
      <w:ins w:id="931" w:author="Arshad Akhtar Abbasia" w:date="2026-10-04T12:00:00Z">
        <w:r>
          <w:t xml:space="preserve">Commitment. c(a) = Commit(p(a), r(a)) with a per-record salt r(a). The salt is stored with the metadata until invalidation and is destroyed together with k(a) at t^(I)(a). Before invalidation it lets an auditor open the commitment against the payload. After invalidation no opening can be checked, because the payload is no longer readable, while a retained salt would let anyone holding a candidate payload confirm a guess against c(a) (Section 4.9). Destroying the salt does not weaken binding, which is a property of the commitment value: no second payload can be opened against c(a), and after t^(I)(a) no payload can be opened against it at all. A party that holds its own copy of the payload and must later prove that it corresponds to c(a) has to obtain and keep the opening before invalidation; the audit store does not keep one for it. The scheme must be hiding: an adversary holding c(a) and lacking r(a) must learn nothing about p(a). A bare unsalted hash of the payload does not satisfy this and must not be used, for the reason given in Section 4.9.</w:t>
        </w:r>
      </w:ins>
    </w:p>
    <w:p>
      <w:pPr>
        <w:pStyle w:val="BodyText"/>
        <w:rPr>
          <w:ins w:id="932" w:author="Arshad Akhtar Abbasia" w:date="2026-10-04T12:00:00Z"/>
        </w:rPr>
      </w:pPr>
      <w:ins w:id="933" w:author="Arshad Akhtar Abbasia" w:date="2026-10-04T12:00:00Z">
        <w:r>
          <w:t xml:space="preserve">The invalidation registry. Invalidation entries are appended to the audit trail as first-class records. Each entry ι(a) 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 Key-management guidance anticipates exactly this record: once a key is destroyed, “its previous existence may be recorded (e.g., in metadata or audit logs)” (Barker, 2020, Section 7.6). The invalidation entry is that record, given a legal ground and an authorising actor.</w:t>
        </w:r>
      </w:ins>
    </w:p>
    <w:p>
      <w:pPr>
        <w:pStyle w:val="BodyText"/>
        <w:rPr>
          <w:ins w:id="934" w:author="Arshad Akhtar Abbasia" w:date="2026-10-04T12:00:00Z"/>
        </w:rPr>
      </w:pPr>
      <w:ins w:id="935" w:author="Arshad Akhtar Abbasia" w:date="2026-10-04T12:00:00Z">
        <w:r>
          <w:t xml:space="preserve">Tamper evidence. An append-only registry is only as good as the means of detecting an append-only violation. Secure audit logging has addressed this since Schneier and Kelsey (1999), whose hash-chained logs make earlier entries unalterable without detection; Merkle trees (Merkle, 1988) let the same assurance be checked for a single entry with a logarithmic proof (Crosby &amp; Wallach, 2009), and Certificate Transparency standardised that construction for public logs (Laurie, Langley, &amp; Kasper, 2013). The mechanism appends every access event, invalidation and subject-link removal to such a log, with the leaf and node hashing of RFC 6962, and Semantics II condition (i) is checked as an inclusion proof against the log’s root rather than as the presence of fields (Chapter 5, Section 5.7). What enters a leaf is chosen so that the log never needs erasing: the accessor fields, the creation month and the commitment, never the payload and never the subject fields. The tension that Chapter 2, Section 2.4 found unresolved in blockchain audit logging, an immutable trail facing an erasure right, therefore does not arise: what the right and the ceiling reach is held outside the log and destroyed there, and what the log holds is what accountability requires.</w:t>
        </w:r>
      </w:ins>
    </w:p>
    <w:p>
      <w:pPr>
        <w:pStyle w:val="BodyText"/>
        <w:rPr>
          <w:del w:id="936" w:author="Arshad Akhtar Abbasia" w:date="2026-10-04T12:00:00Z"/>
        </w:rPr>
      </w:pPr>
      <w:del w:id="937" w:author="Arshad Akhtar Abbasia" w:date="2026-10-04T12:00:00Z">
        <w:r>
          <w:delText xml:space="preserve">Key hierarchy. Each record’s payload is encrypted under a per-record data key k(a). Per-record rather than per-subject or per-dataset granularity is required because the invalidation events of Theorem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 k(a) is effected by destruction of the wrapped data key and any cached copies, within the documented custody boundary.</w:delText>
        </w:r>
      </w:del>
    </w:p>
    <w:p>
      <w:pPr>
        <w:pStyle w:val="BodyText"/>
        <w:rPr>
          <w:del w:id="938" w:author="Arshad Akhtar Abbasia" w:date="2026-10-04T12:00:00Z"/>
        </w:rPr>
      </w:pPr>
      <w:del w:id="939" w:author="Arshad Akhtar Abbasia" w:date="2026-10-04T12:00:00Z">
        <w:r>
          <w:delText xml:space="preserve">Commitment. c(a) = Commit(p(a), r(a)) with a per-record salt r(a). The salt is stored with the metadata and is not destroyed at invalidation; destroying it would break the binding property and with it the auditor’s ability to verify an opened payload during the pre-invalidation period, while retaining it does not restore readability of the payload, which depends on k(a). The scheme must be hiding: an adversary holding c(a) and lacking r(a) must learn nothing about p(a). A bare unsalted hash of the payload does not satisfy this and must not be used, for the reason given in Section 4.9.</w:delText>
        </w:r>
      </w:del>
    </w:p>
    <w:p>
      <w:pPr>
        <w:pStyle w:val="BodyText"/>
        <w:rPr>
          <w:del w:id="940" w:author="Arshad Akhtar Abbasia" w:date="2026-10-04T12:00:00Z"/>
        </w:rPr>
      </w:pPr>
      <w:del w:id="941" w:author="Arshad Akhtar Abbasia" w:date="2026-10-04T12:00:00Z">
        <w:r>
          <w:delText xml:space="preserve">The invalidation registry. Invalidation entries are appended to the audit trail as first-class records. Each entry ι(a) 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w:delText>
        </w:r>
      </w:del>
    </w:p>
    <w:p>
      <w:pPr>
        <w:pStyle w:val="BodyText"/>
      </w:pPr>
      <w:r>
        <w:t xml:space="preserve">Accumulator-based validity witnesses. 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w:t>
      </w:r>
      <w:del w:id="942" w:author="Arshad Akhtar Abbasia" w:date="2026-10-04T12:00:00Z">
        <w:r>
          <w:delText xml:space="preserve">theorems: Theorem </w:delText>
        </w:r>
      </w:del>
      <w:ins w:id="943" w:author="Arshad Akhtar Abbasia" w:date="2026-10-04T12:00:00Z">
        <w:r>
          <w:t xml:space="preserve">propositions: Proposition </w:t>
        </w:r>
      </w:ins>
      <w:r>
        <w:t xml:space="preserve">2 holds if validity is established by linear scan of the registry, and the accumulator makes that check succinct. The accumulator is specified but not implemented in the artefact (Section 6.1). Dynamic accumulators of the Camenisch and Lysyanskaya type also require a trusted accumulator manager holding a trapdoor, which adds a trust assumption stated in Section 4.9.</w:t>
      </w:r>
    </w:p>
    <w:p>
      <w:pPr>
        <w:pStyle w:val="BodyText"/>
      </w:pPr>
      <w:r>
        <w:t xml:space="preserve">The auditor’s view. After invalidation, an external auditor examining record a can establish four things. The access event occurred, with all its accountability attributes, which follows from m(a). A specific payload was bound to that event, which follows from c(a). The payload was invalidated, and the auditor can see when, on what legal ground, and by whom, from ι(a). And the record’s current validity status is as claimed, which follows from the accumulator witness where that layer is used, and otherwise from a scan of the registry. </w:t>
      </w:r>
      <w:ins w:id="944" w:author="Arshad Akhtar Abbasia" w:date="2026-10-04T12:00:00Z">
        <w:r>
          <w:t xml:space="preserve">Each of these entries is, moreover, in the log as first written, which follows from its inclusion proof against the published root. </w:t>
        </w:r>
      </w:ins>
      <w:r>
        <w:t xml:space="preserve">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t xml:space="preserve">End of life at floor expiry. The constraints of Section 4.4 govern the record’s behaviour through its retention window, but the window ends, and the model would be incomplete if it said nothing about what follows. After </w:t>
      </w:r>
      <w:del w:id="945" w:author="Arshad Akhtar Abbasia" w:date="2026-10-04T12:00:00Z">
        <w:r>
          <w:delText xml:space="preserve">t = t(a) + </w:delText>
        </w:r>
      </w:del>
      <w:ins w:id="946" w:author="Arshad Akhtar Abbasia" w:date="2026-10-04T12:00:00Z">
        <w:r>
          <w:t xml:space="preserve">t = t(a) + </w:t>
        </w:r>
      </w:ins>
      <w:r>
        <w:t xml:space="preserve">F(a), the last month of the closed window on which C1 is defined, the retention obligation lapses, and with it the necessity that justified retaining m(a) 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 </w:t>
      </w:r>
      <w:del w:id="947" w:author="Arshad Akhtar Abbasia" w:date="2026-10-04T12:00:00Z">
        <w:r>
          <w:delText xml:space="preserve">t(a) + F(a) + </w:delText>
        </w:r>
      </w:del>
      <w:ins w:id="948" w:author="Arshad Akhtar Abbasia" w:date="2026-10-04T12:00:00Z">
        <w:r>
          <w:t xml:space="preserve">t(a) + F(a) + </w:t>
        </w:r>
      </w:ins>
      <w:r>
        <w:t xml:space="preserve">1, the record undergoes a second invalidation, in which the identifying fields of m(a) </w:t>
      </w:r>
      <w:del w:id="949" w:author="Arshad Akhtar Abbasia" w:date="2026-10-04T12:00:00Z">
        <w:r>
          <w:delText xml:space="preserve">and </w:delText>
        </w:r>
      </w:del>
      <w:ins w:id="950" w:author="Arshad Akhtar Abbasia" w:date="2026-10-04T12:00:00Z">
        <w:r>
          <w:t xml:space="preserve">are destroyed, together with k(a), </w:t>
        </w:r>
      </w:ins>
      <w:r>
        <w:t xml:space="preserve">the salt r(a) </w:t>
      </w:r>
      <w:del w:id="951" w:author="Arshad Akhtar Abbasia" w:date="2026-10-04T12:00:00Z">
        <w:r>
          <w:delText xml:space="preserve">are destroyed. </w:delText>
        </w:r>
      </w:del>
      <w:ins w:id="952" w:author="Arshad Akhtar Abbasia" w:date="2026-10-04T12:00:00Z">
        <w:r>
          <w:t xml:space="preserve">and the ciphertext where no earlier invalidation removed them. </w:t>
        </w:r>
      </w:ins>
      <w:r>
        <w:t xml:space="preserve">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 F(a) is set to the longer period, which is the parameterisation the model already supports.</w:t>
      </w:r>
    </w:p>
    <w:p>
      <w:pPr>
        <w:pStyle w:val="BodyText"/>
      </w:pPr>
      <w:r>
        <w:t xml:space="preserve">Applying the mechanism to the two cases. For the cross-border primary-use case, the mechanism operates at the audit repository of the National Contact Point, at the point where the ATNA audit record is written. For the Secure Processing Environment case, it operates at the environment’s access-logging boundary. The identifiable log required by Article 73(1)(e) is written with its </w:t>
      </w:r>
      <w:del w:id="953" w:author="Arshad Akhtar Abbasia" w:date="2026-10-04T12:00:00Z">
        <w:r>
          <w:delText xml:space="preserve">personal-data </w:delText>
        </w:r>
      </w:del>
      <w:ins w:id="954" w:author="Arshad Akhtar Abbasia" w:date="2026-10-04T12:00:00Z">
        <w:r>
          <w:t xml:space="preserve">activity </w:t>
        </w:r>
      </w:ins>
      <w:r>
        <w:t xml:space="preserve">content committed rather than retained in plaintext beyond the </w:t>
      </w:r>
      <w:del w:id="955" w:author="Arshad Akhtar Abbasia" w:date="2026-10-04T12:00:00Z">
        <w:r>
          <w:delText xml:space="preserve">ceiling. </w:delText>
        </w:r>
      </w:del>
      <w:ins w:id="956" w:author="Arshad Akhtar Abbasia" w:date="2026-10-04T12:00:00Z">
        <w:r>
          <w:t xml:space="preserve">ceiling, and with its subject fields held apart from its accessor fields. </w:t>
        </w:r>
      </w:ins>
      <w:r>
        <w:t xml:space="preserve">At </w:t>
      </w:r>
      <w:del w:id="957" w:author="Arshad Akhtar Abbasia" w:date="2026-10-04T12:00:00Z">
        <w:r>
          <w:delText xml:space="preserve">t_(π)(a) + 6, </w:delText>
        </w:r>
      </w:del>
      <w:ins w:id="958" w:author="Arshad Akhtar Abbasia" w:date="2026-10-04T12:00:00Z">
        <w:r>
          <w:t xml:space="preserve">t_(π)(a) + 6 </w:t>
        </w:r>
      </w:ins>
      <w:r>
        <w:t xml:space="preserve">the </w:t>
      </w:r>
      <w:ins w:id="959" w:author="Arshad Akhtar Abbasia" w:date="2026-10-04T12:00:00Z">
        <w:r>
          <w:t xml:space="preserve">payload key is destroyed and, for logs kept at patient-record granularity, the subject fields are removed. The </w:t>
        </w:r>
      </w:ins>
      <w:r>
        <w:t xml:space="preserve">environment </w:t>
      </w:r>
      <w:del w:id="960" w:author="Arshad Akhtar Abbasia" w:date="2026-10-04T12:00:00Z">
        <w:r>
          <w:delText xml:space="preserve">therefore </w:delText>
        </w:r>
      </w:del>
      <w:ins w:id="961" w:author="Arshad Akhtar Abbasia" w:date="2026-10-04T12:00:00Z">
        <w:r>
          <w:t xml:space="preserve">then </w:t>
        </w:r>
      </w:ins>
      <w:r>
        <w:t xml:space="preserve">holds a </w:t>
      </w:r>
      <w:del w:id="962" w:author="Arshad Akhtar Abbasia" w:date="2026-10-04T12:00:00Z">
        <w:r>
          <w:delText xml:space="preserve">complete, identifiable, verifiable </w:delText>
        </w:r>
      </w:del>
      <w:r>
        <w:t xml:space="preserve">log </w:t>
      </w:r>
      <w:del w:id="963" w:author="Arshad Akhtar Abbasia" w:date="2026-10-04T12:00:00Z">
        <w:r>
          <w:delText xml:space="preserve">of access with </w:delText>
        </w:r>
      </w:del>
      <w:ins w:id="964" w:author="Arshad Akhtar Abbasia" w:date="2026-10-04T12:00:00Z">
        <w:r>
          <w:t xml:space="preserve">that identifies every person who accessed it, when and under which permit, as Article 73(1)(e) requires, and holds </w:t>
        </w:r>
      </w:ins>
      <w:r>
        <w:t xml:space="preserve">no </w:t>
      </w:r>
      <w:del w:id="965" w:author="Arshad Akhtar Abbasia" w:date="2026-10-04T12:00:00Z">
        <w:r>
          <w:delText xml:space="preserve">recoverable personal-data payload. The environment is thereby cleared of accessible personal </w:delText>
        </w:r>
      </w:del>
      <w:ins w:id="966" w:author="Arshad Akhtar Abbasia" w:date="2026-10-04T12:00:00Z">
        <w:r>
          <w:t xml:space="preserve">electronic health </w:t>
        </w:r>
      </w:ins>
      <w:r>
        <w:t xml:space="preserve">data </w:t>
      </w:r>
      <w:del w:id="967" w:author="Arshad Akhtar Abbasia" w:date="2026-10-04T12:00:00Z">
        <w:r>
          <w:delText xml:space="preserve">at </w:delText>
        </w:r>
      </w:del>
      <w:ins w:id="968" w:author="Arshad Akhtar Abbasia" w:date="2026-10-04T12:00:00Z">
        <w:r>
          <w:t xml:space="preserve">from that log, as Article 68(12) requires on the broad reading. Whether auditing “all processing operations” after </w:t>
        </w:r>
      </w:ins>
      <w:r>
        <w:t xml:space="preserve">the ceiling </w:t>
      </w:r>
      <w:del w:id="969" w:author="Arshad Akhtar Abbasia" w:date="2026-10-04T12:00:00Z">
        <w:r>
          <w:delText xml:space="preserve">while continuing </w:delText>
        </w:r>
      </w:del>
      <w:ins w:id="970" w:author="Arshad Akhtar Abbasia" w:date="2026-10-04T12:00:00Z">
        <w:r>
          <w:t xml:space="preserve">also needs the subject link is an interpretive question this thesis cannot settle; Chapter 7, Section 7.4 puts it </w:t>
        </w:r>
      </w:ins>
      <w:r>
        <w:t xml:space="preserve">to </w:t>
      </w:r>
      <w:del w:id="971" w:author="Arshad Akhtar Abbasia" w:date="2026-10-04T12:00:00Z">
        <w:r>
          <w:delText xml:space="preserve">satisfy </w:delText>
        </w:r>
      </w:del>
      <w:r>
        <w:t xml:space="preserve">the </w:t>
      </w:r>
      <w:del w:id="972" w:author="Arshad Akhtar Abbasia" w:date="2026-10-04T12:00:00Z">
        <w:r>
          <w:delText xml:space="preserve">floor to its full twelve months.</w:delText>
        </w:r>
      </w:del>
      <w:ins w:id="973" w:author="Arshad Akhtar Abbasia" w:date="2026-10-04T12:00:00Z">
        <w:r>
          <w:t xml:space="preserve">supervisory authority.</w:t>
        </w:r>
      </w:ins>
    </w:p>
    <w:p>
      <w:pPr>
        <w:pStyle w:val="Heading2"/>
      </w:pPr>
      <w:ins w:id="974" w:author="Arshad Akhtar Abbasia" w:date="2026-10-04T12:00:00Z">
        <w:r>
          <w:t xml:space="preserve">4.9 </w:t>
        </w:r>
      </w:ins>
      <w:r>
        <w:t xml:space="preserve">Residue Analysis</w:t>
      </w:r>
    </w:p>
    <w:p>
      <w:pPr>
        <w:pStyle w:val="BodyText"/>
      </w:pPr>
      <w:del w:id="975" w:author="Arshad Akhtar Abbasia" w:date="2026-10-04T12:00:00Z">
        <w:r>
          <w:delText xml:space="preserve">Theorem </w:delText>
        </w:r>
      </w:del>
      <w:ins w:id="976" w:author="Arshad Akhtar Abbasia" w:date="2026-10-04T12:00:00Z">
        <w:r>
          <w:t xml:space="preserve">Proposition </w:t>
        </w:r>
      </w:ins>
      <w:r>
        <w:t xml:space="preserve">2 leaves a residue: </w:t>
      </w:r>
      <w:del w:id="977" w:author="Arshad Akhtar Abbasia" w:date="2026-10-04T12:00:00Z">
        <w:r>
          <w:delText xml:space="preserve">m(a), c(a), r(a), </w:delText>
        </w:r>
      </w:del>
      <w:ins w:id="978" w:author="Arshad Akhtar Abbasia" w:date="2026-10-04T12:00:00Z">
        <w:r>
          <w:t xml:space="preserve">m(a), c(a), </w:t>
        </w:r>
      </w:ins>
      <w:r>
        <w:t xml:space="preserve">ι(a), the </w:t>
      </w:r>
      <w:ins w:id="979" w:author="Arshad Akhtar Abbasia" w:date="2026-10-04T12:00:00Z">
        <w:r>
          <w:t xml:space="preserve">leaf hashes of the audit log and, where the optional layer is used, the </w:t>
        </w:r>
      </w:ins>
      <w:r>
        <w:t xml:space="preserve">accumulator </w:t>
      </w:r>
      <w:del w:id="980" w:author="Arshad Akhtar Abbasia" w:date="2026-10-04T12:00:00Z">
        <w:r>
          <w:delText xml:space="preserve">state, </w:delText>
        </w:r>
      </w:del>
      <w:ins w:id="981" w:author="Arshad Akhtar Abbasia" w:date="2026-10-04T12:00:00Z">
        <w:r>
          <w:t xml:space="preserve">state. The salt r(a), the key k(a) </w:t>
        </w:r>
      </w:ins>
      <w:r>
        <w:t xml:space="preserve">and the ciphertext of </w:t>
      </w:r>
      <w:del w:id="982" w:author="Arshad Akhtar Abbasia" w:date="2026-10-04T12:00:00Z">
        <w:r>
          <w:delText xml:space="preserve">p(a). </w:delText>
        </w:r>
      </w:del>
      <w:ins w:id="983" w:author="Arshad Akhtar Abbasia" w:date="2026-10-04T12:00:00Z">
        <w:r>
          <w:t xml:space="preserve">p(a) are destroyed at invalidation (Section 4.8). </w:t>
        </w:r>
      </w:ins>
      <w:r>
        <w:t xml:space="preserve">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t xml:space="preserve">The threat. Finck’s analysis for the European Parliament establishes that hashed or encrypted data likely remain personal data under GDPR so long as re-identification remains possible (Finck, 2019; Finck, 2018). Applied to this mechanism, the threat is direct: if c(a) 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t xml:space="preserve">The response. This is why the hiding property is a requirement of the design and not an implementation preference. With a per-record salt r(a) of adequate length, confirming a guessed payload requires the salt; the commitment alone leaks nothing. </w:t>
      </w:r>
      <w:del w:id="984" w:author="Arshad Akhtar Abbasia" w:date="2026-10-04T12:00:00Z">
        <w:r>
          <w:delText xml:space="preserve">The </w:delText>
        </w:r>
      </w:del>
      <w:ins w:id="985" w:author="Arshad Akhtar Abbasia" w:date="2026-10-04T12:00:00Z">
        <w:r>
          <w:t xml:space="preserve">Because the </w:t>
        </w:r>
      </w:ins>
      <w:r>
        <w:t xml:space="preserve">salt is </w:t>
      </w:r>
      <w:del w:id="986" w:author="Arshad Akhtar Abbasia" w:date="2026-10-04T12:00:00Z">
        <w:r>
          <w:delText xml:space="preserve">retained, which means </w:delText>
        </w:r>
      </w:del>
      <w:ins w:id="987" w:author="Arshad Akhtar Abbasia" w:date="2026-10-04T12:00:00Z">
        <w:r>
          <w:t xml:space="preserve">destroyed with </w:t>
        </w:r>
      </w:ins>
      <w:r>
        <w:t xml:space="preserve">the </w:t>
      </w:r>
      <w:del w:id="988" w:author="Arshad Akhtar Abbasia" w:date="2026-10-04T12:00:00Z">
        <w:r>
          <w:delText xml:space="preserve">residue is not unconditionally unlinkable: a </w:delText>
        </w:r>
      </w:del>
      <w:ins w:id="989" w:author="Arshad Akhtar Abbasia" w:date="2026-10-04T12:00:00Z">
        <w:r>
          <w:t xml:space="preserve">key, no </w:t>
        </w:r>
      </w:ins>
      <w:r>
        <w:t xml:space="preserve">party </w:t>
      </w:r>
      <w:del w:id="990" w:author="Arshad Akhtar Abbasia" w:date="2026-10-04T12:00:00Z">
        <w:r>
          <w:delText xml:space="preserve">holding r(a) and a candidate payload </w:delText>
        </w:r>
      </w:del>
      <w:r>
        <w:t xml:space="preserve">can </w:t>
      </w:r>
      <w:del w:id="991" w:author="Arshad Akhtar Abbasia" w:date="2026-10-04T12:00:00Z">
        <w:r>
          <w:delText xml:space="preserve">still </w:delText>
        </w:r>
      </w:del>
      <w:r>
        <w:t xml:space="preserve">confirm a </w:t>
      </w:r>
      <w:del w:id="992" w:author="Arshad Akhtar Abbasia" w:date="2026-10-04T12:00:00Z">
        <w:r>
          <w:delText xml:space="preserve">match. </w:delText>
        </w:r>
      </w:del>
      <w:ins w:id="993" w:author="Arshad Akhtar Abbasia" w:date="2026-10-04T12:00:00Z">
        <w:r>
          <w:t xml:space="preserve">guessed payload against c(a) after invalidation unless it kept its own opening beforehand. </w:t>
        </w:r>
      </w:ins>
      <w:r>
        <w:t xml:space="preserve">What has been destroyed is </w:t>
      </w:r>
      <w:ins w:id="994" w:author="Arshad Akhtar Abbasia" w:date="2026-10-04T12:00:00Z">
        <w:r>
          <w:t xml:space="preserve">both </w:t>
        </w:r>
      </w:ins>
      <w:r>
        <w:t xml:space="preserve">the ability to recover the payload, which </w:t>
      </w:r>
      <w:del w:id="995" w:author="Arshad Akhtar Abbasia" w:date="2026-10-04T12:00:00Z">
        <w:r>
          <w:delText xml:space="preserve">depends </w:delText>
        </w:r>
      </w:del>
      <w:ins w:id="996" w:author="Arshad Akhtar Abbasia" w:date="2026-10-04T12:00:00Z">
        <w:r>
          <w:t xml:space="preserve">depended </w:t>
        </w:r>
      </w:ins>
      <w:r>
        <w:t xml:space="preserve">on </w:t>
      </w:r>
      <w:del w:id="997" w:author="Arshad Akhtar Abbasia" w:date="2026-10-04T12:00:00Z">
        <w:r>
          <w:delText xml:space="preserve">k(a).</w:delText>
        </w:r>
      </w:del>
      <w:ins w:id="998" w:author="Arshad Akhtar Abbasia" w:date="2026-10-04T12:00:00Z">
        <w:r>
          <w:t xml:space="preserve">k(a), and the ability to confirm a guess about it from the audit store, which depended on r(a).</w:t>
        </w:r>
      </w:ins>
    </w:p>
    <w:p>
      <w:pPr>
        <w:pStyle w:val="BodyText"/>
        <w:rPr>
          <w:ins w:id="999" w:author="Arshad Akhtar Abbasia" w:date="2026-10-04T12:00:00Z"/>
        </w:rPr>
      </w:pPr>
      <w:ins w:id="1000" w:author="Arshad Akhtar Abbasia" w:date="2026-10-04T12:00:00Z">
        <w:r>
          <w:t xml:space="preserve">The audit log raises the same threat one level up, and the same response answers it. A leaf hash must outlive the record’s fields, since the root depends on it, and it is computed over the accessor fields and the commitment. After the terminal transition the commitment survives and the accessor fields do not; an adversary who can enumerate candidate accessors, a small set in any one environment, could then recompute the leaf and confirm which accessor it was. The specification therefore places a per-entry random nonce in every leaf, held with the record and destroyed at the terminal transition with the identifying fields, so that a surviving leaf hash confirms nothing. The artefact does not implement the terminal transition, and its leaves omit the nonce accordingly (Section 6.1).</w:t>
        </w:r>
      </w:ins>
    </w:p>
    <w:p>
      <w:pPr>
        <w:pStyle w:val="BodyText"/>
      </w:pPr>
      <w:r>
        <w:t xml:space="preserve">The </w:t>
      </w:r>
      <w:del w:id="1001" w:author="Arshad Akhtar Abbasia" w:date="2026-10-04T12:00:00Z">
        <w:r>
          <w:delText xml:space="preserve">honest </w:delText>
        </w:r>
      </w:del>
      <w:r>
        <w:t xml:space="preserve">limit. 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w:t>
      </w:r>
      <w:del w:id="1002" w:author="Arshad Akhtar Abbasia" w:date="2026-10-04T12:00:00Z">
        <w:r>
          <w:delText xml:space="preserve">ciphertext, held together with a retained salt and </w:delText>
        </w:r>
      </w:del>
      <w:ins w:id="1003" w:author="Arshad Akhtar Abbasia" w:date="2026-10-04T12:00:00Z">
        <w:r>
          <w:t xml:space="preserve">residue, which keeps </w:t>
        </w:r>
      </w:ins>
      <w:r>
        <w:t xml:space="preserve">metadata identifying the access event, is best characterised as pseudonymised rather than </w:t>
      </w:r>
      <w:del w:id="1004" w:author="Arshad Akhtar Abbasia" w:date="2026-10-04T12:00:00Z">
        <w:r>
          <w:delText xml:space="preserve">anonymous. </w:delText>
        </w:r>
      </w:del>
      <w:ins w:id="1005" w:author="Arshad Akhtar Abbasia" w:date="2026-10-04T12:00:00Z">
        <w:r>
          <w:t xml:space="preserve">anonymous until the terminal transition. </w:t>
        </w:r>
      </w:ins>
      <w:r>
        <w:t xml:space="preserve">This thesis does not claim otherwise, and any claim that the mechanism achieves anonymisation would be false.</w:t>
      </w:r>
    </w:p>
    <w:p>
      <w:pPr>
        <w:pStyle w:val="BodyText"/>
      </w:pPr>
      <w:r>
        <w:t xml:space="preserve">Why the mechanism is nonetheless defensible. 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w:t>
      </w:r>
      <w:del w:id="1006" w:author="Arshad Akhtar Abbasia" w:date="2026-10-04T12:00:00Z">
        <w:r>
          <w:delText xml:space="preserve">Aikebaier’s (2026) systematisation formalises this correspondence, establishing an equivalence proposition between a Destruction-IND security notion and the Board’s unrecoverability criterion. </w:delText>
        </w:r>
      </w:del>
      <w:r>
        <w:t xml:space="preserve">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t xml:space="preserve">The trust </w:t>
      </w:r>
      <w:del w:id="1007" w:author="Arshad Akhtar Abbasia" w:date="2026-10-04T12:00:00Z">
        <w:r>
          <w:delText xml:space="preserve">assumptions, stated explicitly. </w:delText>
        </w:r>
      </w:del>
      <w:ins w:id="1008" w:author="Arshad Akhtar Abbasia" w:date="2026-10-04T12:00:00Z">
        <w:r>
          <w:t xml:space="preserve">assumptions. </w:t>
        </w:r>
      </w:ins>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w:t>
      </w:r>
      <w:del w:id="1009" w:author="Arshad Akhtar Abbasia" w:date="2026-10-04T12:00:00Z">
        <w:r>
          <w:delText xml:space="preserve">impossible. </w:delText>
        </w:r>
      </w:del>
      <w:ins w:id="1010" w:author="Arshad Akhtar Abbasia" w:date="2026-10-04T12:00:00Z">
        <w:r>
          <w:t xml:space="preserve">impossible: an altered entry fails its inclusion proof, and a rewritten history is exposed by a consistency proof between an earlier root and the current one, provided earlier roots are published or countersigned (Laurie, Langley, &amp; Kasper, 2013). The artefact implements inclusion proofs only. </w:t>
        </w:r>
      </w:ins>
      <w:r>
        <w:t xml:space="preserve">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w:t>
      </w:r>
      <w:del w:id="1011" w:author="Arshad Akhtar Abbasia" w:date="2026-10-04T12:00:00Z">
        <w:r>
          <w:delText xml:space="preserve">bounded and worth stating precisely. </w:delText>
        </w:r>
      </w:del>
      <w:ins w:id="1012" w:author="Arshad Akhtar Abbasia" w:date="2026-10-04T12:00:00Z">
        <w:r>
          <w:t xml:space="preserve">bounded. </w:t>
        </w:r>
      </w:ins>
      <w:r>
        <w:t xml:space="preserve">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t xml:space="preserve">The </w:t>
      </w:r>
      <w:del w:id="1013" w:author="Arshad Akhtar Abbasia" w:date="2026-10-04T12:00:00Z">
        <w:r>
          <w:delText xml:space="preserve">unavoidable </w:delText>
        </w:r>
      </w:del>
      <w:r>
        <w:t xml:space="preserve">residual </w:t>
      </w:r>
      <w:ins w:id="1014" w:author="Arshad Akhtar Abbasia" w:date="2026-10-04T12:00:00Z">
        <w:r>
          <w:t xml:space="preserve">cryptographic </w:t>
        </w:r>
      </w:ins>
      <w:r>
        <w:t xml:space="preserve">risk. Over a ten-year floor, the algorithmic-break horizon is a live concern rather than a formality: </w:t>
      </w:r>
      <w:del w:id="1015" w:author="Arshad Akhtar Abbasia" w:date="2026-10-04T12:00:00Z">
        <w:r>
          <w:delText xml:space="preserve">ciphertext </w:delText>
        </w:r>
      </w:del>
      <w:ins w:id="1016" w:author="Arshad Akhtar Abbasia" w:date="2026-10-04T12:00:00Z">
        <w:r>
          <w:t xml:space="preserve">anything </w:t>
        </w:r>
      </w:ins>
      <w:r>
        <w:t xml:space="preserve">retained for a decade must be assumed to face cryptanalytic capability that does not exist </w:t>
      </w:r>
      <w:ins w:id="1017" w:author="Arshad Akhtar Abbasia" w:date="2026-10-04T12:00:00Z">
        <w:r>
          <w:t xml:space="preserve">when it is written. Deleting the ciphertext </w:t>
        </w:r>
      </w:ins>
      <w:r>
        <w:t xml:space="preserve">at </w:t>
      </w:r>
      <w:ins w:id="1018" w:author="Arshad Akhtar Abbasia" w:date="2026-10-04T12:00:00Z">
        <w:r>
          <w:t xml:space="preserve">invalidation (Section 4.8) removes this exposure for </w:t>
        </w:r>
      </w:ins>
      <w:r>
        <w:t xml:space="preserve">the </w:t>
      </w:r>
      <w:del w:id="1019" w:author="Arshad Akhtar Abbasia" w:date="2026-10-04T12:00:00Z">
        <w:r>
          <w:delText xml:space="preserve">time of encryption. The mechanism mitigates this by ensuring that </w:delText>
        </w:r>
      </w:del>
      <w:ins w:id="1020" w:author="Arshad Akhtar Abbasia" w:date="2026-10-04T12:00:00Z">
        <w:r>
          <w:t xml:space="preserve">store’s own copy, so </w:t>
        </w:r>
      </w:ins>
      <w:r>
        <w:t xml:space="preserve">what is retained long-term is </w:t>
      </w:r>
      <w:del w:id="1021" w:author="Arshad Akhtar Abbasia" w:date="2026-10-04T12:00:00Z">
        <w:r>
          <w:delText xml:space="preserve">metadata </w:delText>
        </w:r>
      </w:del>
      <w:ins w:id="1022" w:author="Arshad Akhtar Abbasia" w:date="2026-10-04T12:00:00Z">
        <w:r>
          <w:t xml:space="preserve">metadata, the commitment </w:t>
        </w:r>
      </w:ins>
      <w:r>
        <w:t xml:space="preserve">and </w:t>
      </w:r>
      <w:del w:id="1023" w:author="Arshad Akhtar Abbasia" w:date="2026-10-04T12:00:00Z">
        <w:r>
          <w:delText xml:space="preserve">commitments </w:delText>
        </w:r>
      </w:del>
      <w:ins w:id="1024" w:author="Arshad Akhtar Abbasia" w:date="2026-10-04T12:00:00Z">
        <w:r>
          <w:t xml:space="preserve">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w:t>
        </w:r>
      </w:ins>
      <w:r>
        <w:t xml:space="preserve">rather than </w:t>
      </w:r>
      <w:del w:id="1025" w:author="Arshad Akhtar Abbasia" w:date="2026-10-04T12:00:00Z">
        <w:r>
          <w:delText xml:space="preserve">payload ciphertext wherever the retention purpose permits, but it does not eliminate the risk. </w:delText>
        </w:r>
      </w:del>
      <w:ins w:id="1026" w:author="Arshad Akhtar Abbasia" w:date="2026-10-04T12:00:00Z">
        <w:r>
          <w:t xml:space="preserve">on a cipher. </w:t>
        </w:r>
      </w:ins>
      <w:r>
        <w:t xml:space="preserve">This is recorded as a limitation in Chapter 6 rather than resolved here.</w:t>
      </w:r>
    </w:p>
    <w:p>
      <w:pPr>
        <w:pStyle w:val="Heading2"/>
        <w:rPr>
          <w:ins w:id="1027" w:author="Arshad Akhtar Abbasia" w:date="2026-10-04T12:00:00Z"/>
        </w:rPr>
      </w:pPr>
      <w:ins w:id="1028" w:author="Arshad Akhtar Abbasia" w:date="2026-10-04T12:00:00Z">
        <w:r>
          <w:t xml:space="preserve">4.10 Rival Designs and Proposition 4</w:t>
        </w:r>
      </w:ins>
    </w:p>
    <w:p>
      <w:pPr>
        <w:pStyle w:val="BodyText"/>
        <w:rPr>
          <w:del w:id="1029" w:author="Arshad Akhtar Abbasia" w:date="2026-10-04T12:00:00Z"/>
        </w:rPr>
      </w:pPr>
      <w:del w:id="1030" w:author="Arshad Akhtar Abbasia" w:date="2026-10-04T12:00:00Z">
        <w:r>
          <w:delText xml:space="preserve">Rival Designs</w:delText>
        </w:r>
      </w:del>
    </w:p>
    <w:p>
      <w:pPr>
        <w:pStyle w:val="BodyText"/>
      </w:pPr>
      <w:del w:id="1031" w:author="Arshad Akhtar Abbasia" w:date="2026-10-04T12:00:00Z">
        <w:r>
          <w:delText xml:space="preserve">A reviewer will propose alternatives. </w:delText>
        </w:r>
      </w:del>
      <w:ins w:id="1032" w:author="Arshad Akhtar Abbasia" w:date="2026-10-04T12:00:00Z">
        <w:r>
          <w:t xml:space="preserve">Six alternative designs are considered. </w:t>
        </w:r>
      </w:ins>
      <w:r>
        <w:t xml:space="preserve">Five are </w:t>
      </w:r>
      <w:del w:id="1033" w:author="Arshad Akhtar Abbasia" w:date="2026-10-04T12:00:00Z">
        <w:r>
          <w:delText xml:space="preserve">treated here, and each is </w:delText>
        </w:r>
      </w:del>
      <w:r>
        <w:t xml:space="preserve">rejected for </w:t>
      </w:r>
      <w:del w:id="1034" w:author="Arshad Akhtar Abbasia" w:date="2026-10-04T12:00:00Z">
        <w:r>
          <w:delText xml:space="preserve">a </w:delText>
        </w:r>
      </w:del>
      <w:r>
        <w:t xml:space="preserve">stated </w:t>
      </w:r>
      <w:del w:id="1035" w:author="Arshad Akhtar Abbasia" w:date="2026-10-04T12:00:00Z">
        <w:r>
          <w:delText xml:space="preserve">reason rather than </w:delText>
        </w:r>
      </w:del>
      <w:ins w:id="1036" w:author="Arshad Akhtar Abbasia" w:date="2026-10-04T12:00:00Z">
        <w:r>
          <w:t xml:space="preserve">reasons; the sixth is accepted for the ceiling alone and bounded </w:t>
        </w:r>
      </w:ins>
      <w:r>
        <w:t xml:space="preserve">by </w:t>
      </w:r>
      <w:del w:id="1037" w:author="Arshad Akhtar Abbasia" w:date="2026-10-04T12:00:00Z">
        <w:r>
          <w:delText xml:space="preserve">assertion.</w:delText>
        </w:r>
      </w:del>
      <w:ins w:id="1038" w:author="Arshad Akhtar Abbasia" w:date="2026-10-04T12:00:00Z">
        <w:r>
          <w:t xml:space="preserve">Proposition 4.</w:t>
        </w:r>
      </w:ins>
    </w:p>
    <w:p>
      <w:pPr>
        <w:pStyle w:val="BodyText"/>
      </w:pPr>
      <w:r>
        <w:t xml:space="preserve">Rival 1: Rely on the Article 17(3)(b) exemption and retain in full. 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t xml:space="preserve">Rival 2: Anonymise the audit record instead. 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 identifiable in terms. Anonymisation satisfies C2 and C3 by violating C1.</w:t>
      </w:r>
    </w:p>
    <w:p>
      <w:pPr>
        <w:pStyle w:val="BodyText"/>
        <w:rPr>
          <w:ins w:id="1039" w:author="Arshad Akhtar Abbasia" w:date="2026-10-04T12:00:00Z"/>
        </w:rPr>
      </w:pPr>
      <w:ins w:id="1040" w:author="Arshad Akhtar Abbasia" w:date="2026-10-04T12:00:00Z">
        <w:r>
          <w:t xml:space="preserve">Rival 3: Minimise the payload at capture, so that nothing needs erasing. 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(Section 4.3).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specification requires logs to identify the actor and to cover “access to electronic health data”, and requires logging to be “proportionate, risk-based, and technically feasible” and to “avoid unnecessary collection of detailed user behaviour not required for auditability or misuse detection” (TEHDAS2, 2026, Table 5.4, OPR-17, p. 51). It sets no requirement on the granularity of logs, which leaves the choice, and with it Corollary 1.2, to the operator. Minimisation does not remove from the scope of Article 17 the payload the standard requires, which is the case Proposition 4 below shows no relocation or reduction of the log can escape.</w:t>
        </w:r>
      </w:ins>
    </w:p>
    <w:p>
      <w:pPr>
        <w:pStyle w:val="BodyText"/>
        <w:rPr>
          <w:del w:id="1041" w:author="Arshad Akhtar Abbasia" w:date="2026-10-04T12:00:00Z"/>
        </w:rPr>
      </w:pPr>
      <w:del w:id="1042" w:author="Arshad Akhtar Abbasia" w:date="2026-10-04T12:00:00Z">
        <w:r>
          <w:delText xml:space="preserve">Rival 3: Minimise the payload at capture, so that nothing needs erasing. Recording less at the outset is good practice and is compatible with this mechanism. It does not solve the problem, because the metadata that the accountability purpose requires, the patient pseudonym linking the access to a data subject, is itself personal data, and is precisely what an erasure request targets. Minimisation shrinks the payload; it does not remove the record from the scope of Article 17.</w:delText>
        </w:r>
      </w:del>
    </w:p>
    <w:p>
      <w:pPr>
        <w:pStyle w:val="BodyText"/>
      </w:pPr>
      <w:r>
        <w:t xml:space="preserve">Rival 4: Delete the record and log the deletion. 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 something was deleted but not that the deleted item was the payload bound to that specific access event. The distinction matters in adversarial conditions. A controller who deletes records and logs deletions can conceal the substitution of one record for another; a controller bound to a surviving commitment cannot. The mechanism’s advantage over Rival 4 is precisely the verifiability that Chapter 2 identified as absent from the practitioner crypto-shredding pattern.</w:t>
      </w:r>
    </w:p>
    <w:p>
      <w:pPr>
        <w:pStyle w:val="BodyText"/>
      </w:pPr>
      <w:r>
        <w:t xml:space="preserve">Rival 5: Retain recoverable encrypted copies until the later date. 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rPr>
          <w:ins w:id="1043" w:author="Arshad Akhtar Abbasia" w:date="2026-10-04T12:00:00Z"/>
        </w:rPr>
      </w:pPr>
      <w:ins w:id="1044" w:author="Arshad Akhtar Abbasia" w:date="2026-10-04T12:00:00Z">
        <w:r>
          <w:t xml:space="preserve">Rival 6: Move the logs out of the environment at permit closure. 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ins>
    </w:p>
    <w:p>
      <w:pPr>
        <w:pStyle w:val="BodyText"/>
        <w:rPr>
          <w:ins w:id="1045" w:author="Arshad Akhtar Abbasia" w:date="2026-10-04T12:00:00Z"/>
        </w:rPr>
      </w:pPr>
      <w:ins w:id="1046" w:author="Arshad Akhtar Abbasia" w:date="2026-10-04T12:00:00Z">
        <w:r>
          <w:t xml:space="preserve">Proposition 4 (location and right). 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Proposition 1.</w:t>
        </w:r>
      </w:ins>
    </w:p>
    <w:p>
      <w:pPr>
        <w:pStyle w:val="BodyText"/>
        <w:rPr>
          <w:ins w:id="1047" w:author="Arshad Akhtar Abbasia" w:date="2026-10-04T12:00:00Z"/>
        </w:rPr>
      </w:pPr>
      <w:ins w:id="1048" w:author="Arshad Akhtar Abbasia" w:date="2026-10-04T12:00:00Z">
        <w:r>
          <w:t xml:space="preserve">Proof. The ceiling quantifies over the location: after relocation the record is not in it, so the ceiling holds, and on the rival’s premise the floor is met at the new location. The right quantifies over the controller: Article 17(1) obliges the controller holding the data to erase them, and a controller receiving the record receives the obligation with it. Relocation therefore leaves C1 and C2 as they were, and the argument of Proposition 1 applies unchanged. ∎</w:t>
        </w:r>
      </w:ins>
    </w:p>
    <w:p>
      <w:pPr>
        <w:pStyle w:val="BodyText"/>
        <w:rPr>
          <w:ins w:id="1049" w:author="Arshad Akhtar Abbasia" w:date="2026-10-04T12:00:00Z"/>
        </w:rPr>
      </w:pPr>
      <w:ins w:id="1050" w:author="Arshad Akhtar Abbasia" w:date="2026-10-04T12:00:00Z">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Section 4.7 meets the ceiling without moving anything, and does so with the same mechanism that meets the right.</w:t>
        </w:r>
      </w:ins>
    </w:p>
    <w:p>
      <w:pPr>
        <w:pStyle w:val="BodyText"/>
      </w:pPr>
      <w:r>
        <w:t xml:space="preserve">The critique that is not a rival. 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p>
      <w:pPr>
        <w:pStyle w:val="Heading2"/>
      </w:pPr>
      <w:ins w:id="1051" w:author="Arshad Akhtar Abbasia" w:date="2026-10-04T12:00:00Z">
        <w:r>
          <w:t xml:space="preserve">4.11 </w:t>
        </w:r>
      </w:ins>
      <w:r>
        <w:t xml:space="preserve">Integration with the Norwegian Infrastructure</w:t>
      </w:r>
    </w:p>
    <w:p>
      <w:pPr>
        <w:pStyle w:val="BodyText"/>
      </w:pPr>
      <w:r>
        <w:t xml:space="preserve">The mechanism is specified against the Norwegian infrastructure as verified in Chapter 2, Section 2.6, not against an idealisation of it.</w:t>
      </w:r>
    </w:p>
    <w:p>
      <w:pPr>
        <w:pStyle w:val="BodyText"/>
      </w:pPr>
      <w:r>
        <w:t xml:space="preserve">Primary use: the National Contact Point. Norway’s NCPeH is in live pilot operation </w:t>
      </w:r>
      <w:del w:id="1052" w:author="Arshad Akhtar Abbasia" w:date="2026-10-04T12:00:00Z">
        <w:r>
          <w:delText xml:space="preserve">at the Bodø and Stjørdal emergency clinics, receiving patient summaries from Portugal, Czechia, and Finland, with expansion to further emergency clinics requested </w:delText>
        </w:r>
      </w:del>
      <w:r>
        <w:t xml:space="preserve">(Helsedirektoratet, </w:t>
      </w:r>
      <w:del w:id="1053" w:author="Arshad Akhtar Abbasia" w:date="2026-10-04T12:00:00Z">
        <w:r>
          <w:delText xml:space="preserve">2026). </w:delText>
        </w:r>
      </w:del>
      <w:ins w:id="1054" w:author="Arshad Akhtar Abbasia" w:date="2026-10-04T12:00:00Z">
        <w:r>
          <w:t xml:space="preserve">2026), as Chapter 2, Section 2.2 describes. </w:t>
        </w:r>
      </w:ins>
      <w:r>
        <w:t xml:space="preserve">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t xml:space="preserve">Secondary use: Helsedataservice and the Secure Processing Environments. 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w:t>
      </w:r>
      <w:del w:id="1055" w:author="Arshad Akhtar Abbasia" w:date="2026-10-04T12:00:00Z">
        <w:r>
          <w:delText xml:space="preserve">not.</w:delText>
        </w:r>
      </w:del>
      <w:ins w:id="1056" w:author="Arshad Akhtar Abbasia" w:date="2026-10-04T12:00:00Z">
        <w:r>
          <w:t xml:space="preserve">not. The reference architecture of the Joint Action’s specification locates the same boundary (TEHDAS2, 2026, Figure 5.13, p. 60). It divides a Secure Processing Environment into a control-and-management layer, comprising user authentication and identification, activity monitoring and access control, and the project workspaces in which data users work. The mechanism belongs to the activity-monitoring component, which writes the logs, and takes each permit’s expiry from the coordination portal of the health data access body, which issues the permit. It touches neither the project workspace nor the interfaces to data users and data holders.</w:t>
        </w:r>
      </w:ins>
    </w:p>
    <w:p>
      <w:pPr>
        <w:pStyle w:val="BodyText"/>
      </w:pPr>
      <w:r>
        <w:t xml:space="preserve">Compatibility with the national criteria. The </w:t>
      </w:r>
      <w:del w:id="1057" w:author="Arshad Akhtar Abbasia" w:date="2026-10-04T12:00:00Z">
        <w:r>
          <w:delText xml:space="preserve">finalised </w:delText>
        </w:r>
      </w:del>
      <w:r>
        <w:t xml:space="preserve">Norwegian criteria for Secure Processing </w:t>
      </w:r>
      <w:del w:id="1058" w:author="Arshad Akhtar Abbasia" w:date="2026-10-04T12:00:00Z">
        <w:r>
          <w:delText xml:space="preserve">Environments </w:delText>
        </w:r>
      </w:del>
      <w:ins w:id="1059" w:author="Arshad Akhtar Abbasia" w:date="2026-10-04T12:00:00Z">
        <w:r>
          <w:t xml:space="preserve">Environments, in the version put to hearing, </w:t>
        </w:r>
      </w:ins>
      <w:r>
        <w:t xml:space="preserve">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t xml:space="preserve">Relation to the pending implementing acts. 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p>
      <w:pPr>
        <w:pStyle w:val="BodyText"/>
        <w:rPr>
          <w:ins w:id="1060" w:author="Arshad Akhtar Abbasia" w:date="2026-10-04T12:00:00Z"/>
        </w:rPr>
      </w:pPr>
      <w:ins w:id="1061" w:author="Arshad Akhtar Abbasia" w:date="2026-10-04T12:00:00Z">
        <w:r>
          <w:t xml:space="preserve">Traceability. Table 4.1 sets the mechanism against each requirement it touches, so that the integration analysis above can be checked line by line rather than read as prose. It lists only requirements this thesis has read in the source, with the page of the specification (TEHDAS2, 2026) where it applies.</w:t>
        </w:r>
      </w:ins>
    </w:p>
    <w:p>
      <w:pPr>
        <w:pStyle w:val="BodyText"/>
        <w:rPr>
          <w:ins w:id="1062" w:author="Arshad Akhtar Abbasia" w:date="2026-10-04T12:00:00Z"/>
        </w:rPr>
      </w:pPr>
      <w:ins w:id="1063" w:author="Arshad Akhtar Abbasia" w:date="2026-10-04T12:00:00Z">
        <w:r>
          <w:t xml:space="preserve">Table 4.1. Requirements traced to the mechanism</w:t>
        </w:r>
      </w:ins>
    </w:p>
    <w:p>
      <w:pPr>
        <w:pStyle w:val="BodyText"/>
        <w:rPr>
          <w:ins w:id="1064" w:author="Arshad Akhtar Abbasia" w:date="2026-10-04T12:00:00Z"/>
        </w:rPr>
      </w:pPr>
      <w:ins w:id="1065" w:author="Arshad Akhtar Abbasia" w:date="2026-10-04T12:00:00Z">
        <w:r>
          <w:t xml:space="preserve">------------------------------------------------------------------------------------------------------------------------------------------------------------------------------------------------------------------------------------------------------------------------------------------------------------------------------------------------------------------------------------------------------------------------------------------------------------------------------------------------------------------------------------------------------------------------ Requirement Source What the mechanism does Where Status ------------------------------------------------------------------------------------------------------------------------------------------------------------------------------------------- ------------------------------------------------------------------------- ------------------------------------------------------------------------------------------------------------------------- -------------------------------------- --------------------------------------------------------------------------------------------------------------------------------- Electronic health data within the SPE deleted within six months of permit expiry EHDS Art. 68(12) Payload key, salt and ciphertext destroyed at t_(π) + 6; subject fields of patient-level logs removed at the same month §4.7 steps 2–4; apply_invalidation() Met in the artefact (C3 over α and β: 0 violations)</w:t>
        </w:r>
      </w:ins>
    </w:p>
    <w:p>
      <w:pPr>
        <w:pStyle w:val="BodyText"/>
        <w:rPr>
          <w:ins w:id="1066" w:author="Arshad Akhtar Abbasia" w:date="2026-10-04T12:00:00Z"/>
        </w:rPr>
      </w:pPr>
      <w:ins w:id="1067" w:author="Arshad Akhtar Abbasia" w:date="2026-10-04T12:00:00Z">
        <w:r>
          <w:t xml:space="preserve">Same, “deleted or rendered unrecoverable … including any backups or redundant copies” TEHDAS2 D7.4, Table 5.2, OPR-6, p. 43 Key destruction renders copies the store cannot delete at once unrecoverable §4.8 Ciphertext; crypto_envelope.py Met in the optional module with real AES-256-GCM (138 of 138 refused); destruction in program memory, not hardware (§4.9, §6.3)</w:t>
        </w:r>
      </w:ins>
    </w:p>
    <w:p>
      <w:pPr>
        <w:pStyle w:val="BodyText"/>
        <w:rPr>
          <w:ins w:id="1068" w:author="Arshad Akhtar Abbasia" w:date="2026-10-04T12:00:00Z"/>
        </w:rPr>
      </w:pPr>
      <w:ins w:id="1069" w:author="Arshad Akhtar Abbasia" w:date="2026-10-04T12:00:00Z">
        <w:r>
          <w:t xml:space="preserve">Identifiable logs of access and activities, kept for the period needed to audit, at least one year EHDS Art. 73(1)(e) Accessor fields kept identifiable for the full floor; activity committed §4.3, §4.7; V_II() Met in the artefact (C1 under Semantics II: 0 violations)</w:t>
        </w:r>
      </w:ins>
    </w:p>
    <w:p>
      <w:pPr>
        <w:pStyle w:val="BodyText"/>
        <w:rPr>
          <w:ins w:id="1070" w:author="Arshad Akhtar Abbasia" w:date="2026-10-04T12:00:00Z"/>
        </w:rPr>
      </w:pPr>
      <w:ins w:id="1071" w:author="Arshad Akhtar Abbasia" w:date="2026-10-04T12:00:00Z">
        <w:r>
          <w:t xml:space="preserve">“All SPE logs MUST identify the actor” D7.4, Table 5.1, EHDSR-7, p. 31 Actor is an accessor field, never removed within the floor §4.3 Met in the artefact</w:t>
        </w:r>
      </w:ins>
    </w:p>
    <w:p>
      <w:pPr>
        <w:pStyle w:val="BodyText"/>
        <w:rPr>
          <w:ins w:id="1072" w:author="Arshad Akhtar Abbasia" w:date="2026-10-04T12:00:00Z"/>
        </w:rPr>
      </w:pPr>
      <w:ins w:id="1073" w:author="Arshad Akhtar Abbasia" w:date="2026-10-04T12:00:00Z">
        <w:r>
          <w:t xml:space="preserve">“All SPE logs MUST be kept at least for one year” D7.4, Table 5.1, EHDSR-8, p. 31; OPR-18, p. 51 (five years recommended) Floor parameter F = 12; any longer value is a parameter change (Corollary 2.2) §4.3 Met in the artefact</w:t>
        </w:r>
      </w:ins>
    </w:p>
    <w:p>
      <w:pPr>
        <w:pStyle w:val="BodyText"/>
        <w:rPr>
          <w:ins w:id="1074" w:author="Arshad Akhtar Abbasia" w:date="2026-10-04T12:00:00Z"/>
        </w:rPr>
      </w:pPr>
      <w:ins w:id="1075" w:author="Arshad Akhtar Abbasia" w:date="2026-10-04T12:00:00Z">
        <w:r>
          <w:t xml:space="preserve">Logs available for verification and auditing D7.4, Table 5.1, EHDSR-6, p. 31; OPR-8, p. 46 Every access, invalidation and subject-link removal in an append-only Merkle log; inclusion proofs MerkleLog, integrity() Met in the artefact (200/200 verify; tamper tests fail)</w:t>
        </w:r>
      </w:ins>
    </w:p>
    <w:p>
      <w:pPr>
        <w:pStyle w:val="BodyText"/>
        <w:rPr>
          <w:ins w:id="1076" w:author="Arshad Akhtar Abbasia" w:date="2026-10-04T12:00:00Z"/>
        </w:rPr>
      </w:pPr>
      <w:ins w:id="1077" w:author="Arshad Akhtar Abbasia" w:date="2026-10-04T12:00:00Z">
        <w:r>
          <w:t xml:space="preserve">Logs protected against tampering D7.4, Table 5.4, OPR-17, and OPR-18, p. 51 Append-only Merkle log; an altered entry fails its inclusion proof MerkleLog, integrity() Met in the artefact (both tamper tests fail V^(II))</w:t>
        </w:r>
      </w:ins>
    </w:p>
    <w:p>
      <w:pPr>
        <w:pStyle w:val="BodyText"/>
        <w:rPr>
          <w:ins w:id="1078" w:author="Arshad Akhtar Abbasia" w:date="2026-10-04T12:00:00Z"/>
        </w:rPr>
      </w:pPr>
      <w:ins w:id="1079" w:author="Arshad Akhtar Abbasia" w:date="2026-10-04T12:00:00Z">
        <w:r>
          <w:t xml:space="preserve">Logging proportionate; no unnecessary detail on user behaviour; must cover access to electronic health data D7.4, Table 5.4, OPR-17, p. 51 Accessor fields kept; subject fields only where the log is kept per patient record, and removed at the ceiling §4.3, §4.10 Rival 3 Met by specification; granularity is the operator’s choice, which the specification leaves open</w:t>
        </w:r>
      </w:ins>
    </w:p>
    <w:p>
      <w:pPr>
        <w:pStyle w:val="BodyText"/>
        <w:rPr>
          <w:ins w:id="1080" w:author="Arshad Akhtar Abbasia" w:date="2026-10-04T12:00:00Z"/>
        </w:rPr>
      </w:pPr>
      <w:ins w:id="1081" w:author="Arshad Akhtar Abbasia" w:date="2026-10-04T12:00:00Z">
        <w:r>
          <w:t xml:space="preserve">Deletion “while ensuring compliance with applicable legal obligations and traceability or reproducibility requirements”; the deletion and retention policy to “balance these obligations” D7.4, Table 5.2, OPR-6, p. 43 Supplies the balance for the logs: what accountability needs is kept, what the ceiling reaches is invalidated §4.7, §4.8 Met by specification: the specification asks for the balance and leaves its form open</w:t>
        </w:r>
      </w:ins>
    </w:p>
    <w:p>
      <w:pPr>
        <w:pStyle w:val="BodyText"/>
        <w:rPr>
          <w:ins w:id="1082" w:author="Arshad Akhtar Abbasia" w:date="2026-10-04T12:00:00Z"/>
        </w:rPr>
      </w:pPr>
      <w:ins w:id="1083" w:author="Arshad Akhtar Abbasia" w:date="2026-10-04T12:00:00Z">
        <w:r>
          <w:t xml:space="preserve">Whether the audit purpose needs the subject link after the ceiling EHDS Art. 73(1)(e) read with Art. 68(12) Removes it; keeps accessor fields §4.6, §7.4 Open: interpretation for the supervisory authority</w:t>
        </w:r>
      </w:ins>
    </w:p>
    <w:p>
      <w:pPr>
        <w:pStyle w:val="BodyText"/>
        <w:rPr>
          <w:ins w:id="1084" w:author="Arshad Akhtar Abbasia" w:date="2026-10-04T12:00:00Z"/>
        </w:rPr>
      </w:pPr>
      <w:ins w:id="1085" w:author="Arshad Akhtar Abbasia" w:date="2026-10-04T12:00:00Z">
        <w:r>
          <w:t xml:space="preserve">Erasure without undue delay, within one month (extendable by two) GDPR Arts. 17(1), 12(3) Invalidation at t_(r) + δ, δ ∈ {1, 3} §4.4 C2; --delta-witness Met in the artefact (both δ)</w:t>
        </w:r>
      </w:ins>
    </w:p>
    <w:p>
      <w:pPr>
        <w:pStyle w:val="BodyText"/>
        <w:rPr>
          <w:ins w:id="1086" w:author="Arshad Akhtar Abbasia" w:date="2026-10-04T12:00:00Z"/>
        </w:rPr>
      </w:pPr>
      <w:ins w:id="1087" w:author="Arshad Akhtar Abbasia" w:date="2026-10-04T12:00:00Z">
        <w:r>
          <w:t xml:space="preserve">Retention only as far as the legal obligation requires GDPR Arts. 17(3)(b), 5(1)(c) Keeps accountability content and commitment; removes payload §4.2 Met by specification (necessity argument)</w:t>
        </w:r>
      </w:ins>
    </w:p>
    <w:p>
      <w:pPr>
        <w:pStyle w:val="BodyText"/>
        <w:rPr>
          <w:ins w:id="1088" w:author="Arshad Akhtar Abbasia" w:date="2026-10-04T12:00:00Z"/>
        </w:rPr>
      </w:pPr>
      <w:ins w:id="1089" w:author="Arshad Akhtar Abbasia" w:date="2026-10-04T12:00:00Z">
        <w:r>
          <w:t xml:space="preserve">Not kept in identifiable form longer than necessary GDPR Art. 5(1)(e) Terminal transition after the floor §4.8 End of life Met by specification; not implemented in the checker (§6.1)</w:t>
        </w:r>
      </w:ins>
    </w:p>
    <w:p>
      <w:pPr>
        <w:pStyle w:val="BodyText"/>
        <w:rPr>
          <w:ins w:id="1090" w:author="Arshad Akhtar Abbasia" w:date="2026-10-04T12:00:00Z"/>
        </w:rPr>
      </w:pPr>
      <w:ins w:id="1091" w:author="Arshad Akhtar Abbasia" w:date="2026-10-04T12:00:00Z">
        <w:r>
          <w:t xml:space="preserve">Key deletion may serve erasure where physical deletion is not possible; threat model documented EDPB Guidelines 02/2025 v2.0; Aikebaier (2026) on the threat model Per-record keys under a key-encrypting key; trust assumptions stated §4.8, §4.9; crypto_envelope.py Hierarchy met in the optional module; hardware custody and the threat model by specification</w:t>
        </w:r>
      </w:ins>
    </w:p>
    <w:p>
      <w:pPr>
        <w:pStyle w:val="BodyText"/>
        <w:rPr>
          <w:ins w:id="1092" w:author="Arshad Akhtar Abbasia" w:date="2026-10-04T12:00:00Z"/>
        </w:rPr>
      </w:pPr>
      <w:ins w:id="1093" w:author="Arshad Akhtar Abbasia" w:date="2026-10-04T12:00:00Z">
        <w:r>
          <w:t xml:space="preserve">Audit message records the query segment IHE ITI-55, §3.55.5.1 Treated as payload: committed, then invalidated on request §4.3 Met in the artefact (cross-border payload models the query)</w:t>
        </w:r>
      </w:ins>
    </w:p>
    <w:p>
      <w:pPr>
        <w:pStyle w:val="BodyText"/>
        <w:rPr>
          <w:ins w:id="1094" w:author="Arshad Akhtar Abbasia" w:date="2026-10-04T12:00:00Z"/>
        </w:rPr>
      </w:pPr>
      <w:ins w:id="1095" w:author="Arshad Akhtar Abbasia" w:date="2026-10-04T12:00:00Z">
        <w:r>
          <w:t xml:space="preserve">Information-security management system (mandatory); ISO 27001 (recommended); eID login at defined assurance levels; personnel security SPUHiN (2025), hearing version Requires none of these to change; operates at the logging boundary §4.11 No conflict</w:t>
        </w:r>
      </w:ins>
    </w:p>
    <w:p>
      <w:pPr>
        <w:pStyle w:val="BodyText"/>
        <w:rPr>
          <w:ins w:id="1096" w:author="Arshad Akhtar Abbasia" w:date="2026-10-04T12:00:00Z"/>
        </w:rPr>
      </w:pPr>
      <w:ins w:id="1097" w:author="Arshad Akhtar Abbasia" w:date="2026-10-04T12:00:00Z">
        <w:r>
          <w:t xml:space="preserve">Reconciliation of log retention with deletion SPUHiN (2025), hearing version Not addressed by the criteria at any grade; the mechanism supplies one §2.6, §4.11 Gap the thesis addresses ------------------------------------------------------------------------------------------------------------------------------------------------------------------------------------------------------------------------------------------------------------------------------------------------------------------------------------------------------------------------------------------------------------------------------------------------------------------------------------------------------------------------------------------------------------------------</w:t>
        </w:r>
      </w:ins>
    </w:p>
    <w:p>
      <w:pPr>
        <w:pStyle w:val="BodyText"/>
        <w:rPr>
          <w:ins w:id="1098" w:author="Arshad Akhtar Abbasia" w:date="2026-10-04T12:00:00Z"/>
        </w:rPr>
      </w:pPr>
      <w:ins w:id="1099" w:author="Arshad Akhtar Abbasia" w:date="2026-10-04T12:00:00Z">
        <w:r>
          <w:t xml:space="preserve">Three things follow from the table. Every requirement the artefact can execute is met in the run; the requirements met only by specification are hardware key custody, the terminal transition and the legal necessity argument, none of which a sandbox can demonstrate; and one row is open, which no artefact can close. The rows met by specification are those the expert evaluation of Chapter 3, Section 3.8 is designed to test with practitioners.</w:t>
        </w:r>
      </w:ins>
    </w:p>
    <w:p>
      <w:pPr>
        <w:pStyle w:val="Heading2"/>
      </w:pPr>
      <w:ins w:id="1100" w:author="Arshad Akhtar Abbasia" w:date="2026-10-04T12:00:00Z">
        <w:r>
          <w:t xml:space="preserve">4.12 </w:t>
        </w:r>
      </w:ins>
      <w:r>
        <w:t xml:space="preserve">Summary</w:t>
      </w:r>
    </w:p>
    <w:p>
      <w:pPr>
        <w:pStyle w:val="BodyText"/>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w:t>
      </w:r>
      <w:del w:id="1101" w:author="Arshad Akhtar Abbasia" w:date="2026-10-04T12:00:00Z">
        <w:r>
          <w:delText xml:space="preserve">the </w:delText>
        </w:r>
      </w:del>
      <w:r>
        <w:t xml:space="preserve">plaintext-verifiability semantics </w:t>
      </w:r>
      <w:del w:id="1102" w:author="Arshad Akhtar Abbasia" w:date="2026-10-04T12:00:00Z">
        <w:r>
          <w:delText xml:space="preserve">implicit in current practice </w:delText>
        </w:r>
      </w:del>
      <w:r>
        <w:t xml:space="preserve">the system is </w:t>
      </w:r>
      <w:del w:id="1103" w:author="Arshad Akhtar Abbasia" w:date="2026-10-04T12:00:00Z">
        <w:r>
          <w:delText xml:space="preserve">infeasible, generically so in </w:delText>
        </w:r>
      </w:del>
      <w:ins w:id="1104" w:author="Arshad Akhtar Abbasia" w:date="2026-10-04T12:00:00Z">
        <w:r>
          <w:t xml:space="preserve">infeasible for any cross-border record whose erasure request arrives inside its window and, for Secure Processing Environment logs kept at patient-record granularity on </w:t>
        </w:r>
      </w:ins>
      <w:r>
        <w:t xml:space="preserve">the </w:t>
      </w:r>
      <w:del w:id="1105" w:author="Arshad Akhtar Abbasia" w:date="2026-10-04T12:00:00Z">
        <w:r>
          <w:delText xml:space="preserve">cross-border case and, critically, </w:delText>
        </w:r>
      </w:del>
      <w:ins w:id="1106" w:author="Arshad Akhtar Abbasia" w:date="2026-10-04T12:00:00Z">
        <w:r>
          <w:t xml:space="preserve">broad reading, </w:t>
        </w:r>
      </w:ins>
      <w:r>
        <w:t xml:space="preserve">without any erasure request at </w:t>
      </w:r>
      <w:del w:id="1107" w:author="Arshad Akhtar Abbasia" w:date="2026-10-04T12:00:00Z">
        <w:r>
          <w:delText xml:space="preserve">all in the Secure Processing Environment case, </w:delText>
        </w:r>
      </w:del>
      <w:ins w:id="1108" w:author="Arshad Akhtar Abbasia" w:date="2026-10-04T12:00:00Z">
        <w:r>
          <w:t xml:space="preserve">all, </w:t>
        </w:r>
      </w:ins>
      <w:r>
        <w:t xml:space="preserve">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w:t>
      </w:r>
      <w:ins w:id="1109" w:author="Arshad Akhtar Abbasia" w:date="2026-10-04T12:00:00Z">
        <w:r>
          <w:t xml:space="preserve">It showed that a ceiling collides with a floor only when it is no longer than the floor, and that the ceiling’s anchor decides whether the collision can be read from the text (Proposition 3), and that relocating a record meets the ceiling but not the right (Proposition 4). </w:t>
        </w:r>
      </w:ins>
      <w:r>
        <w:t xml:space="preserve">That trajectory, specified as Crypto-Erasure by Invalidation, retains metadata and a hiding commitment, and destroys the payload key at the earlier of the erasure deadline and the deletion ceiling. It appends the invalidation to </w:t>
      </w:r>
      <w:del w:id="1110" w:author="Arshad Akhtar Abbasia" w:date="2026-10-04T12:00:00Z">
        <w:r>
          <w:delText xml:space="preserve">the </w:delText>
        </w:r>
      </w:del>
      <w:ins w:id="1111" w:author="Arshad Akhtar Abbasia" w:date="2026-10-04T12:00:00Z">
        <w:r>
          <w:t xml:space="preserve">a tamper-evident </w:t>
        </w:r>
      </w:ins>
      <w:r>
        <w:t xml:space="preserve">audit </w:t>
      </w:r>
      <w:del w:id="1112" w:author="Arshad Akhtar Abbasia" w:date="2026-10-04T12:00:00Z">
        <w:r>
          <w:delText xml:space="preserve">trail </w:delText>
        </w:r>
      </w:del>
      <w:ins w:id="1113" w:author="Arshad Akhtar Abbasia" w:date="2026-10-04T12:00:00Z">
        <w:r>
          <w:t xml:space="preserve">log </w:t>
        </w:r>
      </w:ins>
      <w:r>
        <w:t xml:space="preserve">as a first-class, witnessed </w:t>
      </w:r>
      <w:del w:id="1114" w:author="Arshad Akhtar Abbasia" w:date="2026-10-04T12:00:00Z">
        <w:r>
          <w:delText xml:space="preserve">event. </w:delText>
        </w:r>
      </w:del>
      <w:ins w:id="1115" w:author="Arshad Akhtar Abbasia" w:date="2026-10-04T12:00:00Z">
        <w:r>
          <w:t xml:space="preserve">event, in a log built never to hold what erasure reaches. The salt and the payload ciphertext go with the key. </w:t>
        </w:r>
      </w:ins>
      <w:r>
        <w:t xml:space="preserve">At floor expiry it performs a terminal transition that destroys the identifying </w:t>
      </w:r>
      <w:del w:id="1116" w:author="Arshad Akhtar Abbasia" w:date="2026-10-04T12:00:00Z">
        <w:r>
          <w:delText xml:space="preserve">metadata and the salt, </w:delText>
        </w:r>
      </w:del>
      <w:ins w:id="1117" w:author="Arshad Akhtar Abbasia" w:date="2026-10-04T12:00:00Z">
        <w:r>
          <w:t xml:space="preserve">metadata, </w:t>
        </w:r>
      </w:ins>
      <w:r>
        <w:t xml:space="preserve">leaving a non-identifiable statistical residue, so that the record’s whole life cycle, not merely its retention window, is accounted for under the storage-limitation principle.</w:t>
      </w:r>
    </w:p>
    <w:p>
      <w:pPr>
        <w:pStyle w:val="BodyText"/>
      </w:pPr>
      <w:r>
        <w:t xml:space="preserve">The mechanism’s residue </w:t>
      </w:r>
      <w:del w:id="1118" w:author="Arshad Akhtar Abbasia" w:date="2026-10-04T12:00:00Z">
        <w:r>
          <w:delText xml:space="preserve">was analysed rather than assumed: it </w:delText>
        </w:r>
      </w:del>
      <w:r>
        <w:t xml:space="preserve">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w:t>
      </w:r>
      <w:del w:id="1119" w:author="Arshad Akhtar Abbasia" w:date="2026-10-04T12:00:00Z">
        <w:r>
          <w:delText xml:space="preserve">Five </w:delText>
        </w:r>
      </w:del>
      <w:ins w:id="1120" w:author="Arshad Akhtar Abbasia" w:date="2026-10-04T12:00:00Z">
        <w:r>
          <w:t xml:space="preserve">Six </w:t>
        </w:r>
      </w:ins>
      <w:r>
        <w:t xml:space="preserve">rival designs were </w:t>
      </w:r>
      <w:del w:id="1121" w:author="Arshad Akhtar Abbasia" w:date="2026-10-04T12:00:00Z">
        <w:r>
          <w:delText xml:space="preserve">considered and </w:delText>
        </w:r>
      </w:del>
      <w:ins w:id="1122" w:author="Arshad Akhtar Abbasia" w:date="2026-10-04T12:00:00Z">
        <w:r>
          <w:t xml:space="preserve">considered: five were </w:t>
        </w:r>
      </w:ins>
      <w:r>
        <w:t xml:space="preserve">rejected on stated </w:t>
      </w:r>
      <w:del w:id="1123" w:author="Arshad Akhtar Abbasia" w:date="2026-10-04T12:00:00Z">
        <w:r>
          <w:delText xml:space="preserve">grounds, </w:delText>
        </w:r>
      </w:del>
      <w:ins w:id="1124" w:author="Arshad Akhtar Abbasia" w:date="2026-10-04T12:00:00Z">
        <w:r>
          <w:t xml:space="preserve">grounds </w:t>
        </w:r>
      </w:ins>
      <w:r>
        <w:t xml:space="preserve">and </w:t>
      </w:r>
      <w:ins w:id="1125" w:author="Arshad Akhtar Abbasia" w:date="2026-10-04T12:00:00Z">
        <w:r>
          <w:t xml:space="preserve">one, relocation, was accepted for </w:t>
        </w:r>
      </w:ins>
      <w:r>
        <w:t xml:space="preserve">the </w:t>
      </w:r>
      <w:ins w:id="1126" w:author="Arshad Akhtar Abbasia" w:date="2026-10-04T12:00:00Z">
        <w:r>
          <w:t xml:space="preserve">ceiling alone. The </w:t>
        </w:r>
      </w:ins>
      <w:r>
        <w:t xml:space="preserve">principal cost objection was acknowledged rather than dismissed. The integration analysis placed the mechanism at the two narrowest points of the Norwegian infrastructure at which it achieves its purpose, requiring nothing of the substrate that the </w:t>
      </w:r>
      <w:del w:id="1127" w:author="Arshad Akhtar Abbasia" w:date="2026-10-04T12:00:00Z">
        <w:r>
          <w:delText xml:space="preserve">finalised </w:delText>
        </w:r>
      </w:del>
      <w:r>
        <w:t xml:space="preserve">national criteria do not already require.</w:t>
      </w:r>
    </w:p>
    <w:p>
      <w:pPr>
        <w:pStyle w:val="BodyText"/>
      </w:pPr>
      <w:r>
        <w:t xml:space="preserve">Chapter 5 demonstrates </w:t>
      </w:r>
      <w:del w:id="1128" w:author="Arshad Akhtar Abbasia" w:date="2026-10-04T12:00:00Z">
        <w:r>
          <w:delText xml:space="preserve">both theorems </w:delText>
        </w:r>
      </w:del>
      <w:ins w:id="1129" w:author="Arshad Akhtar Abbasia" w:date="2026-10-04T12:00:00Z">
        <w:r>
          <w:t xml:space="preserve">Propositions 1 and 2 </w:t>
        </w:r>
      </w:ins>
      <w:r>
        <w:t xml:space="preserve">executably, over synthetic records generated as described in Chapter 3.</w:t>
      </w:r>
    </w:p>
    <w:p>
      <w:pPr>
        <w:pStyle w:val="Heading1"/>
      </w:pPr>
      <w:ins w:id="1130" w:author="Arshad Akhtar Abbasia" w:date="2026-10-04T12:00:00Z">
        <w:r>
          <w:t xml:space="preserve">Chapter 5. </w:t>
        </w:r>
      </w:ins>
      <w:r>
        <w:t xml:space="preserve">Demonstration</w:t>
      </w:r>
    </w:p>
    <w:p>
      <w:pPr>
        <w:pStyle w:val="BodyText"/>
        <w:rPr>
          <w:ins w:id="1131" w:author="Arshad Akhtar Abbasia" w:date="2026-10-04T12:00:00Z"/>
        </w:rPr>
      </w:pPr>
      <w:ins w:id="1132" w:author="Arshad Akhtar Abbasia" w:date="2026-10-04T12:00:00Z">
        <w:r>
          <w:t xml:space="preserve">Every figure reported in this chapter was produced by the code listed in Appendix A, executed under seed 20260915. The full-cohort comparison of Table 5.7 was recorded on 28 September with the code of that date; the committed-subset run (Appendix A, A.21) repeats it with the current code and gives the same figures.</w:t>
        </w:r>
      </w:ins>
    </w:p>
    <w:p>
      <w:pPr>
        <w:pStyle w:val="BodyText"/>
        <w:rPr>
          <w:del w:id="1133" w:author="Arshad Akhtar Abbasia" w:date="2026-10-04T12:00:00Z"/>
        </w:rPr>
      </w:pPr>
      <w:del w:id="1134" w:author="Arshad Akhtar Abbasia" w:date="2026-10-04T12:00:00Z">
        <w:r>
          <w:delText xml:space="preserve">Every figure reported in this chapter was produced by the code listed in Appendix A, executed under seed 20260915. No number here was written before the code that produced it was run.</w:delText>
        </w:r>
      </w:del>
    </w:p>
    <w:p>
      <w:pPr>
        <w:pStyle w:val="Heading2"/>
      </w:pPr>
      <w:ins w:id="1135" w:author="Arshad Akhtar Abbasia" w:date="2026-10-04T12:00:00Z">
        <w:r>
          <w:t xml:space="preserve">5.1 </w:t>
        </w:r>
      </w:ins>
      <w:r>
        <w:t xml:space="preserve">Purpose and Claim</w:t>
      </w:r>
    </w:p>
    <w:p>
      <w:pPr>
        <w:pStyle w:val="BodyText"/>
      </w:pPr>
      <w:r>
        <w:t xml:space="preserve">This chapter discharges Activity 4 of the design science cycle set out in Chapter 3, Section 3.2: demonstration. Its function is </w:t>
      </w:r>
      <w:del w:id="1136" w:author="Arshad Akhtar Abbasia" w:date="2026-10-04T12:00:00Z">
        <w:r>
          <w:delText xml:space="preserve">narrow and should be stated before the results, so that the results are not read as establishing more than they do.</w:delText>
        </w:r>
      </w:del>
      <w:ins w:id="1137" w:author="Arshad Akhtar Abbasia" w:date="2026-10-04T12:00:00Z">
        <w:r>
          <w:t xml:space="preserve">narrow.</w:t>
        </w:r>
      </w:ins>
    </w:p>
    <w:p>
      <w:pPr>
        <w:pStyle w:val="BodyText"/>
      </w:pPr>
      <w:r>
        <w:t xml:space="preserve">The chapter demonstrates that </w:t>
      </w:r>
      <w:del w:id="1138" w:author="Arshad Akhtar Abbasia" w:date="2026-10-04T12:00:00Z">
        <w:r>
          <w:delText xml:space="preserve">the two theorems </w:delText>
        </w:r>
      </w:del>
      <w:ins w:id="1139" w:author="Arshad Akhtar Abbasia" w:date="2026-10-04T12:00:00Z">
        <w:r>
          <w:t xml:space="preserve">Propositions 1 and 2 </w:t>
        </w:r>
      </w:ins>
      <w:r>
        <w:t xml:space="preserve">of Chapter 4 hold on the instances </w:t>
      </w:r>
      <w:del w:id="1140" w:author="Arshad Akhtar Abbasia" w:date="2026-10-04T12:00:00Z">
        <w:r>
          <w:delText xml:space="preserve">examined. </w:delText>
        </w:r>
      </w:del>
      <w:ins w:id="1141" w:author="Arshad Akhtar Abbasia" w:date="2026-10-04T12:00:00Z">
        <w:r>
          <w:t xml:space="preserve">examined; Propositions 3 and 4 are analytic and are not executed here, although Section 5.4 computes the condition of Proposition 3. </w:t>
        </w:r>
      </w:ins>
      <w:r>
        <w:t xml:space="preserve">It does not verify them in the proof-assistant sense, it does not measure performance, and it does not deploy anything. </w:t>
      </w:r>
      <w:del w:id="1142" w:author="Arshad Akhtar Abbasia" w:date="2026-10-04T12:00:00Z">
        <w:r>
          <w:delText xml:space="preserve">Theorem </w:delText>
        </w:r>
      </w:del>
      <w:ins w:id="1143" w:author="Arshad Akhtar Abbasia" w:date="2026-10-04T12:00:00Z">
        <w:r>
          <w:t xml:space="preserve">Proposition </w:t>
        </w:r>
      </w:ins>
      <w:r>
        <w:t xml:space="preserve">1 predicts that under plaintext-verifiability semantics the constraint system fails whenever an erasure deadline or a deletion-ceiling deadline falls inside a record’s retention window. </w:t>
      </w:r>
      <w:del w:id="1144" w:author="Arshad Akhtar Abbasia" w:date="2026-10-04T12:00:00Z">
        <w:r>
          <w:delText xml:space="preserve">Theorem </w:delText>
        </w:r>
      </w:del>
      <w:ins w:id="1145" w:author="Arshad Akhtar Abbasia" w:date="2026-10-04T12:00:00Z">
        <w:r>
          <w:t xml:space="preserve">Proposition </w:t>
        </w:r>
      </w:ins>
      <w:r>
        <w:t xml:space="preserve">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w:t>
      </w:r>
      <w:del w:id="1146" w:author="Arshad Akhtar Abbasia" w:date="2026-10-04T12:00:00Z">
        <w:r>
          <w:delText xml:space="preserve">1.2, which is </w:delText>
        </w:r>
      </w:del>
      <w:ins w:id="1147" w:author="Arshad Akhtar Abbasia" w:date="2026-10-04T12:00:00Z">
        <w:r>
          <w:t xml:space="preserve">1.2: that, on </w:t>
        </w:r>
      </w:ins>
      <w:r>
        <w:t xml:space="preserve">the </w:t>
      </w:r>
      <w:del w:id="1148" w:author="Arshad Akhtar Abbasia" w:date="2026-10-04T12:00:00Z">
        <w:r>
          <w:delText xml:space="preserve">sharpest result in the thesis: that </w:delText>
        </w:r>
      </w:del>
      <w:ins w:id="1149" w:author="Arshad Akhtar Abbasia" w:date="2026-10-04T12:00:00Z">
        <w:r>
          <w:t xml:space="preserve">broad reading of Article 68(12) and for logs kept at patient-record granularity, </w:t>
        </w:r>
      </w:ins>
      <w:r>
        <w:t xml:space="preserve">Secure Processing Environment access-log records become infeasible under plaintext semantics without any erasure request at all, through the collision of the Article 73(1)(e) one-year retention floor with the Article 68(12) six-month deletion ceiling. </w:t>
      </w:r>
      <w:del w:id="1150" w:author="Arshad Akhtar Abbasia" w:date="2026-10-04T12:00:00Z">
        <w:r>
          <w:delText xml:space="preserve">If the </w:delText>
        </w:r>
      </w:del>
      <w:ins w:id="1151" w:author="Arshad Akhtar Abbasia" w:date="2026-10-04T12:00:00Z">
        <w:r>
          <w:t xml:space="preserve">The </w:t>
        </w:r>
      </w:ins>
      <w:r>
        <w:t xml:space="preserve">demonstration produces </w:t>
      </w:r>
      <w:del w:id="1152" w:author="Arshad Akhtar Abbasia" w:date="2026-10-04T12:00:00Z">
        <w:r>
          <w:delText xml:space="preserve">no witnesses of this kind, the corollary is in trouble. It produces thirty-nine.</w:delText>
        </w:r>
      </w:del>
      <w:ins w:id="1153" w:author="Arshad Akhtar Abbasia" w:date="2026-10-04T12:00:00Z">
        <w:r>
          <w:t xml:space="preserve">thirty-nine such witnesses.</w:t>
        </w:r>
      </w:ins>
    </w:p>
    <w:p>
      <w:pPr>
        <w:pStyle w:val="Heading2"/>
      </w:pPr>
      <w:ins w:id="1154" w:author="Arshad Akhtar Abbasia" w:date="2026-10-04T12:00:00Z">
        <w:r>
          <w:t xml:space="preserve">5.2 </w:t>
        </w:r>
      </w:ins>
      <w:r>
        <w:t xml:space="preserve">Implementation</w:t>
      </w:r>
    </w:p>
    <w:p>
      <w:pPr>
        <w:pStyle w:val="BodyText"/>
      </w:pPr>
      <w:r>
        <w:t xml:space="preserve">The checker is a single Python module of </w:t>
      </w:r>
      <w:del w:id="1155" w:author="Arshad Akhtar Abbasia" w:date="2026-10-04T12:00:00Z">
        <w:r>
          <w:delText xml:space="preserve">363 </w:delText>
        </w:r>
      </w:del>
      <w:ins w:id="1156" w:author="Arshad Akhtar Abbasia" w:date="2026-10-04T12:00:00Z">
        <w:r>
          <w:t xml:space="preserve">533 </w:t>
        </w:r>
      </w:ins>
      <w:r>
        <w:t xml:space="preserve">lines including </w:t>
      </w:r>
      <w:del w:id="1157" w:author="Arshad Akhtar Abbasia" w:date="2026-10-04T12:00:00Z">
        <w:r>
          <w:delText xml:space="preserve">documentation </w:delText>
        </w:r>
      </w:del>
      <w:ins w:id="1158" w:author="Arshad Akhtar Abbasia" w:date="2026-10-04T12:00:00Z">
        <w:r>
          <w:t xml:space="preserve">documentation, the independent cross-check </w:t>
        </w:r>
      </w:ins>
      <w:r>
        <w:t xml:space="preserve">and the </w:t>
      </w:r>
      <w:del w:id="1159" w:author="Arshad Akhtar Abbasia" w:date="2026-10-04T12:00:00Z">
        <w:r>
          <w:delText xml:space="preserve">independent cross-check, </w:delText>
        </w:r>
      </w:del>
      <w:ins w:id="1160" w:author="Arshad Akhtar Abbasia" w:date="2026-10-04T12:00:00Z">
        <w:r>
          <w:t xml:space="preserve">audit-log integrity check, </w:t>
        </w:r>
      </w:ins>
      <w:r>
        <w:t xml:space="preserve">of which </w:t>
      </w:r>
      <w:del w:id="1161" w:author="Arshad Akhtar Abbasia" w:date="2026-10-04T12:00:00Z">
        <w:r>
          <w:delText xml:space="preserve">276 </w:delText>
        </w:r>
      </w:del>
      <w:ins w:id="1162" w:author="Arshad Akhtar Abbasia" w:date="2026-10-04T12:00:00Z">
        <w:r>
          <w:t xml:space="preserve">413 </w:t>
        </w:r>
      </w:ins>
      <w:r>
        <w:t xml:space="preserve">are non-blank, non-comment lines and the constraint-evaluation logic proper occupies approximately </w:t>
      </w:r>
      <w:del w:id="1163" w:author="Arshad Akhtar Abbasia" w:date="2026-10-04T12:00:00Z">
        <w:r>
          <w:delText xml:space="preserve">ninety. </w:delText>
        </w:r>
      </w:del>
      <w:ins w:id="1164" w:author="Arshad Akhtar Abbasia" w:date="2026-10-04T12:00:00Z">
        <w:r>
          <w:t xml:space="preserve">one hundred. </w:t>
        </w:r>
      </w:ins>
      <w:r>
        <w:t xml:space="preserve">It depends only on the Python standard library: hashlib for </w:t>
      </w:r>
      <w:del w:id="1165" w:author="Arshad Akhtar Abbasia" w:date="2026-10-04T12:00:00Z">
        <w:r>
          <w:delText xml:space="preserve">commitments, </w:delText>
        </w:r>
      </w:del>
      <w:ins w:id="1166" w:author="Arshad Akhtar Abbasia" w:date="2026-10-04T12:00:00Z">
        <w:r>
          <w:t xml:space="preserve">commitments and the audit log, json for log entries, </w:t>
        </w:r>
      </w:ins>
      <w:r>
        <w:t xml:space="preserve">random for seeded generation, and itertools for the exhaustive cross-check. </w:t>
      </w:r>
      <w:del w:id="1167" w:author="Arshad Akhtar Abbasia" w:date="2026-10-04T12:00:00Z">
        <w:r>
          <w:delText xml:space="preserve">No </w:delText>
        </w:r>
      </w:del>
      <w:ins w:id="1168" w:author="Arshad Akhtar Abbasia" w:date="2026-10-04T12:00:00Z">
        <w:r>
          <w:t xml:space="preserve">The checker uses no </w:t>
        </w:r>
      </w:ins>
      <w:r>
        <w:t xml:space="preserve">cryptographic library, no solver, and no zero-knowledge proof </w:t>
      </w:r>
      <w:del w:id="1169" w:author="Arshad Akhtar Abbasia" w:date="2026-10-04T12:00:00Z">
        <w:r>
          <w:delText xml:space="preserve">system is used, </w:delText>
        </w:r>
      </w:del>
      <w:ins w:id="1170" w:author="Arshad Akhtar Abbasia" w:date="2026-10-04T12:00:00Z">
        <w:r>
          <w:t xml:space="preserve">system, </w:t>
        </w:r>
      </w:ins>
      <w:r>
        <w:t xml:space="preserve">consistent with the scope commitments of Chapter 1, Section </w:t>
      </w:r>
      <w:del w:id="1171" w:author="Arshad Akhtar Abbasia" w:date="2026-10-04T12:00:00Z">
        <w:r>
          <w:delText xml:space="preserve">1.5.</w:delText>
        </w:r>
      </w:del>
      <w:ins w:id="1172" w:author="Arshad Akhtar Abbasia" w:date="2026-10-04T12:00:00Z">
        <w:r>
          <w:t xml:space="preserve">1.5; the optional envelope-encryption module below is the only component that imports one.</w:t>
        </w:r>
      </w:ins>
    </w:p>
    <w:p>
      <w:pPr>
        <w:pStyle w:val="BodyText"/>
      </w:pPr>
      <w:r>
        <w:t xml:space="preserve">Four further modules accompany it, none of which alters anything the checker reports. Their line counts, and the full source of each, are given in Appendix A.</w:t>
      </w:r>
    </w:p>
    <w:p>
      <w:pPr>
        <w:pStyle w:val="BodyText"/>
      </w:pPr>
      <w:r>
        <w:t xml:space="preserve">Table </w:t>
      </w:r>
      <w:del w:id="1173" w:author="Arshad Akhtar Abbasia" w:date="2026-10-04T12:00:00Z">
        <w:r>
          <w:delText xml:space="preserve">5.0a. </w:delText>
        </w:r>
      </w:del>
      <w:ins w:id="1174" w:author="Arshad Akhtar Abbasia" w:date="2026-10-04T12:00:00Z">
        <w:r>
          <w:t xml:space="preserve">5.1. </w:t>
        </w:r>
      </w:ins>
      <w:r>
        <w:t xml:space="preserve">The artefact as published</w:t>
      </w:r>
    </w:p>
    <w:p>
      <w:pPr>
        <w:pStyle w:val="BodyText"/>
      </w:pPr>
      <w:del w:id="1175" w:author="Arshad Akhtar Abbasia" w:date="2026-10-04T12:00:00Z">
        <w:r>
          <w:delText xml:space="preserve">--------------------------------------------------------------------------------------------------------------------------------------------------------------- Module                  Lines   </w:delText>
        </w:r>
      </w:del>
      <w:ins w:id="1176" w:author="Arshad Akhtar Abbasia" w:date="2026-10-04T12:00:00Z">
        <w:r>
          <w:t xml:space="preserve">-------------------------------------------------------------------------------------------------------------------------------------------------------------------------------------------------- Module Lines </w:t>
        </w:r>
      </w:ins>
      <w:r>
        <w:t xml:space="preserve">What it </w:t>
      </w:r>
      <w:del w:id="1177" w:author="Arshad Akhtar Abbasia" w:date="2026-10-04T12:00:00Z">
        <w:r>
          <w:delText xml:space="preserve">does                                                                                      </w:delText>
        </w:r>
      </w:del>
      <w:ins w:id="1178" w:author="Arshad Akhtar Abbasia" w:date="2026-10-04T12:00:00Z">
        <w:r>
          <w:t xml:space="preserve">does </w:t>
        </w:r>
      </w:ins>
      <w:r>
        <w:t xml:space="preserve">Reports a thesis figure? ----------------------- </w:t>
      </w:r>
      <w:del w:id="1179" w:author="Arshad Akhtar Abbasia" w:date="2026-10-04T12:00:00Z">
        <w:r>
          <w:delText xml:space="preserve">------- ------------------------------------------------------------------------------------------------- ----------------------------- trf_checker.py          363     </w:delText>
        </w:r>
      </w:del>
      <w:ins w:id="1180" w:author="Arshad Akhtar Abbasia" w:date="2026-10-04T12:00:00Z">
        <w:r>
          <w:t xml:space="preserve">----------------- --------------------------------------------------------------------------------------------------------------------------- ---------------------------- trf_checker.py 533 </w:t>
        </w:r>
      </w:ins>
      <w:r>
        <w:t xml:space="preserve">Constraint evaluation under both semantics, plus the independent exhaustive </w:t>
      </w:r>
      <w:del w:id="1181" w:author="Arshad Akhtar Abbasia" w:date="2026-10-04T12:00:00Z">
        <w:r>
          <w:delText xml:space="preserve">cross-check           </w:delText>
        </w:r>
      </w:del>
      <w:ins w:id="1182" w:author="Arshad Akhtar Abbasia" w:date="2026-10-04T12:00:00Z">
        <w:r>
          <w:t xml:space="preserve">cross-check and the audit-log integrity check </w:t>
        </w:r>
      </w:ins>
      <w:r>
        <w:t xml:space="preserve">Yes — Tables </w:t>
      </w:r>
      <w:del w:id="1183" w:author="Arshad Akhtar Abbasia" w:date="2026-10-04T12:00:00Z">
        <w:r>
          <w:delText xml:space="preserve">5.1, 5.2a, 5.3</w:delText>
        </w:r>
      </w:del>
      <w:ins w:id="1184" w:author="Arshad Akhtar Abbasia" w:date="2026-10-04T12:00:00Z">
        <w:r>
          <w:t xml:space="preserve">5.3, 5.5, 5.6</w:t>
        </w:r>
      </w:ins>
    </w:p>
    <w:p>
      <w:pPr>
        <w:pStyle w:val="BodyText"/>
      </w:pPr>
      <w:del w:id="1185" w:author="Arshad Akhtar Abbasia" w:date="2026-10-04T12:00:00Z">
        <w:r>
          <w:delText xml:space="preserve">synthea_layer.py        152     </w:delText>
        </w:r>
      </w:del>
      <w:ins w:id="1186" w:author="Arshad Akhtar Abbasia" w:date="2026-10-04T12:00:00Z">
        <w:r>
          <w:t xml:space="preserve">synthea_layer.py 152 </w:t>
        </w:r>
      </w:ins>
      <w:r>
        <w:t xml:space="preserve">Substitutes real FHIR R4 payloads and compares every figure against the constructed-payload </w:t>
      </w:r>
      <w:del w:id="1187" w:author="Arshad Akhtar Abbasia" w:date="2026-10-04T12:00:00Z">
        <w:r>
          <w:delText xml:space="preserve">run   </w:delText>
        </w:r>
      </w:del>
      <w:ins w:id="1188" w:author="Arshad Akhtar Abbasia" w:date="2026-10-04T12:00:00Z">
        <w:r>
          <w:t xml:space="preserve">run </w:t>
        </w:r>
      </w:ins>
      <w:r>
        <w:t xml:space="preserve">Yes — Table </w:t>
      </w:r>
      <w:del w:id="1189" w:author="Arshad Akhtar Abbasia" w:date="2026-10-04T12:00:00Z">
        <w:r>
          <w:delText xml:space="preserve">5.4</w:delText>
        </w:r>
      </w:del>
      <w:ins w:id="1190" w:author="Arshad Akhtar Abbasia" w:date="2026-10-04T12:00:00Z">
        <w:r>
          <w:t xml:space="preserve">5.7</w:t>
        </w:r>
      </w:ins>
    </w:p>
    <w:p>
      <w:pPr>
        <w:pStyle w:val="BodyText"/>
      </w:pPr>
      <w:r>
        <w:t xml:space="preserve">norwegian_layer.py 135 Three Norwegian record classes, varying only the floor, the pathway and the arrival of requests No</w:t>
      </w:r>
    </w:p>
    <w:p>
      <w:pPr>
        <w:pStyle w:val="BodyText"/>
      </w:pPr>
      <w:del w:id="1191" w:author="Arshad Akhtar Abbasia" w:date="2026-10-04T12:00:00Z">
        <w:r>
          <w:delText xml:space="preserve">cross_sector_check.py   110     </w:delText>
        </w:r>
      </w:del>
      <w:ins w:id="1192" w:author="Arshad Akhtar Abbasia" w:date="2026-10-04T12:00:00Z">
        <w:r>
          <w:t xml:space="preserve">cross_sector_check.py 110 </w:t>
        </w:r>
      </w:ins>
      <w:r>
        <w:t xml:space="preserve">The politiregisterloven § 17 instance discussed in Chapter 6, Section </w:t>
      </w:r>
      <w:del w:id="1193" w:author="Arshad Akhtar Abbasia" w:date="2026-10-04T12:00:00Z">
        <w:r>
          <w:delText xml:space="preserve">6.9                         </w:delText>
        </w:r>
      </w:del>
      <w:ins w:id="1194" w:author="Arshad Akhtar Abbasia" w:date="2026-10-04T12:00:00Z">
        <w:r>
          <w:t xml:space="preserve">6.10 </w:t>
        </w:r>
      </w:ins>
      <w:r>
        <w:t xml:space="preserve">No</w:t>
      </w:r>
    </w:p>
    <w:p>
      <w:pPr>
        <w:pStyle w:val="BodyText"/>
      </w:pPr>
      <w:del w:id="1195" w:author="Arshad Akhtar Abbasia" w:date="2026-10-04T12:00:00Z">
        <w:r>
          <w:delText xml:space="preserve">app.py                  526     Five-tab </w:delText>
        </w:r>
      </w:del>
      <w:ins w:id="1196" w:author="Arshad Akhtar Abbasia" w:date="2026-10-04T12:00:00Z">
        <w:r>
          <w:t xml:space="preserve">app.py 671 Six-tab </w:t>
        </w:r>
      </w:ins>
      <w:r>
        <w:t xml:space="preserve">viewer over the artefact; never a source of </w:t>
      </w:r>
      <w:del w:id="1197" w:author="Arshad Akhtar Abbasia" w:date="2026-10-04T12:00:00Z">
        <w:r>
          <w:delText xml:space="preserve">results                                      No ---------------------------------------------------------------------------------------------------------------------------------------------------------------</w:delText>
        </w:r>
      </w:del>
      <w:ins w:id="1198" w:author="Arshad Akhtar Abbasia" w:date="2026-10-04T12:00:00Z">
        <w:r>
          <w:t xml:space="preserve">results No</w:t>
        </w:r>
      </w:ins>
    </w:p>
    <w:p>
      <w:pPr>
        <w:pStyle w:val="BodyText"/>
        <w:rPr>
          <w:ins w:id="1199" w:author="Arshad Akhtar Abbasia" w:date="2026-10-04T12:00:00Z"/>
        </w:rPr>
      </w:pPr>
      <w:ins w:id="1200" w:author="Arshad Akhtar Abbasia" w:date="2026-10-04T12:00:00Z">
        <w:r>
          <w:t xml:space="preserve">crypto_envelope.py 118 Optional: the same lifecycle with real AES-256-GCM envelope encryption (needs cryptography) No --------------------------------------------------------------------------------------------------------------------------------------------------------------------------------------------------</w:t>
        </w:r>
      </w:ins>
    </w:p>
    <w:p>
      <w:pPr>
        <w:pStyle w:val="BodyText"/>
      </w:pPr>
      <w:r>
        <w:t xml:space="preserve">Every command has a recorded console run committed beside it in the repository, </w:t>
      </w:r>
      <w:del w:id="1201" w:author="Arshad Akhtar Abbasia" w:date="2026-10-04T12:00:00Z">
        <w:r>
          <w:delText xml:space="preserve">one per command, </w:delText>
        </w:r>
      </w:del>
      <w:r>
        <w:t xml:space="preserve">so that a reader who executes a command and diffs the output against its recorded file can </w:t>
      </w:r>
      <w:del w:id="1202" w:author="Arshad Akhtar Abbasia" w:date="2026-10-04T12:00:00Z">
        <w:r>
          <w:delText xml:space="preserve">distinguish </w:delText>
        </w:r>
      </w:del>
      <w:ins w:id="1203" w:author="Arshad Akhtar Abbasia" w:date="2026-10-04T12:00:00Z">
        <w:r>
          <w:t xml:space="preserve">tell </w:t>
        </w:r>
      </w:ins>
      <w:r>
        <w:t xml:space="preserve">a changed file from a changed result. </w:t>
      </w:r>
      <w:del w:id="1204" w:author="Arshad Akhtar Abbasia" w:date="2026-10-04T12:00:00Z">
        <w:r>
          <w:delText xml:space="preserve">That distinction matters: if a figure in this chapter ever disagrees with the artefact, the question is which of the two moved, and the recorded runs answer it. </w:delText>
        </w:r>
      </w:del>
      <w:r>
        <w:t xml:space="preserve">The eight Synthea bundles the realism layer reads are committed with the code, so no regeneration is required to reproduce Table </w:t>
      </w:r>
      <w:del w:id="1205" w:author="Arshad Akhtar Abbasia" w:date="2026-10-04T12:00:00Z">
        <w:r>
          <w:delText xml:space="preserve">5.4.</w:delText>
        </w:r>
      </w:del>
      <w:ins w:id="1206" w:author="Arshad Akhtar Abbasia" w:date="2026-10-04T12:00:00Z">
        <w:r>
          <w:t xml:space="preserve">5.7.</w:t>
        </w:r>
      </w:ins>
    </w:p>
    <w:p>
      <w:pPr>
        <w:pStyle w:val="BodyText"/>
      </w:pPr>
      <w:r>
        <w:t xml:space="preserve">Records are represented exactly as the model specifies. Each carries metadata m </w:t>
      </w:r>
      <w:del w:id="1207" w:author="Arshad Akhtar Abbasia" w:date="2026-10-04T12:00:00Z">
        <w:r>
          <w:delText xml:space="preserve">containing the actor identifier, </w:delText>
        </w:r>
      </w:del>
      <w:ins w:id="1208" w:author="Arshad Akhtar Abbasia" w:date="2026-10-04T12:00:00Z">
        <w:r>
          <w:t xml:space="preserve">split into accessor fields (the actor, </w:t>
        </w:r>
      </w:ins>
      <w:r>
        <w:t xml:space="preserve">the national contact </w:t>
      </w:r>
      <w:del w:id="1209" w:author="Arshad Akhtar Abbasia" w:date="2026-10-04T12:00:00Z">
        <w:r>
          <w:delText xml:space="preserve">point, </w:delText>
        </w:r>
      </w:del>
      <w:ins w:id="1210" w:author="Arshad Akhtar Abbasia" w:date="2026-10-04T12:00:00Z">
        <w:r>
          <w:t xml:space="preserve">point or </w:t>
        </w:r>
      </w:ins>
      <w:r>
        <w:t xml:space="preserve">the </w:t>
      </w:r>
      <w:del w:id="1211" w:author="Arshad Akhtar Abbasia" w:date="2026-10-04T12:00:00Z">
        <w:r>
          <w:delText xml:space="preserve">patient pseudonym, </w:delText>
        </w:r>
      </w:del>
      <w:ins w:id="1212" w:author="Arshad Akhtar Abbasia" w:date="2026-10-04T12:00:00Z">
        <w:r>
          <w:t xml:space="preserve">data permit, </w:t>
        </w:r>
      </w:ins>
      <w:r>
        <w:t xml:space="preserve">the document category, the legal basis, and the </w:t>
      </w:r>
      <w:del w:id="1213" w:author="Arshad Akhtar Abbasia" w:date="2026-10-04T12:00:00Z">
        <w:r>
          <w:delText xml:space="preserve">outcome; </w:delText>
        </w:r>
      </w:del>
      <w:ins w:id="1214" w:author="Arshad Akhtar Abbasia" w:date="2026-10-04T12:00:00Z">
        <w:r>
          <w:t xml:space="preserve">outcome) and subject fields (the patient pseudonym); </w:t>
        </w:r>
      </w:ins>
      <w:r>
        <w:t xml:space="preserve">a </w:t>
      </w:r>
      <w:del w:id="1215" w:author="Arshad Akhtar Abbasia" w:date="2026-10-04T12:00:00Z">
        <w:r>
          <w:delText xml:space="preserve">payload; </w:delText>
        </w:r>
      </w:del>
      <w:ins w:id="1216" w:author="Arshad Akhtar Abbasia" w:date="2026-10-04T12:00:00Z">
        <w:r>
          <w:t xml:space="preserve">payload, which stands for the demographic query of the patient-discovery transaction in a cross-border record and for the logged activity in a Secure Processing Environment record; </w:t>
        </w:r>
      </w:ins>
      <w:r>
        <w:t xml:space="preserve">a hiding commitment c = SHA-256(salt ‖ payload) with a per-record sixteen-byte salt; a payload key k; a creation month t_a; a floor parameter F; and a pathway marker. Key destruction is modelled as irreversible removal of the key reference from the record’s state, </w:t>
      </w:r>
      <w:ins w:id="1217" w:author="Arshad Akhtar Abbasia" w:date="2026-10-04T12:00:00Z">
        <w:r>
          <w:t xml:space="preserve">and deletion of the ciphertext as removal of the payload, </w:t>
        </w:r>
      </w:ins>
      <w:r>
        <w:t xml:space="preserve">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pStyle w:val="BodyText"/>
      </w:pPr>
      <w:del w:id="1218" w:author="Arshad Akhtar Abbasia" w:date="2026-10-04T12:00:00Z">
        <w:r>
          <w:delText xml:space="preserve">-   </w:delText>
        </w:r>
      </w:del>
      <w:ins w:id="1219" w:author="Arshad Akhtar Abbasia" w:date="2026-10-04T12:00:00Z">
        <w:r>
          <w:t xml:space="preserve">- </w:t>
        </w:r>
      </w:ins>
      <w:r>
        <w:t xml:space="preserve">Cross-border audit records, F = 120 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w:t>
      </w:r>
      <w:del w:id="1220" w:author="Arshad Akhtar Abbasia" w:date="2026-10-04T12:00:00Z">
        <w:r>
          <w:delText xml:space="preserve">violations.</w:delText>
        </w:r>
      </w:del>
      <w:ins w:id="1221" w:author="Arshad Akhtar Abbasia" w:date="2026-10-04T12:00:00Z">
        <w:r>
          <w:t xml:space="preserve">violations. - Secure Processing Environment access-log records, F = 12 months, secondary pathway. Each carries a permit expiry at a uniformly distributed one to twelve months after creation. Erasure requests arrive with probability 0.25.</w:t>
        </w:r>
      </w:ins>
    </w:p>
    <w:p>
      <w:pPr>
        <w:pStyle w:val="BodyText"/>
        <w:rPr>
          <w:del w:id="1222" w:author="Arshad Akhtar Abbasia" w:date="2026-10-04T12:00:00Z"/>
        </w:rPr>
      </w:pPr>
      <w:del w:id="1223" w:author="Arshad Akhtar Abbasia" w:date="2026-10-04T12:00:00Z">
        <w:r>
          <w:delText xml:space="preserve">-   Secure Processing Environment access-log records, F = 12 months, secondary pathway. Each carries a permit expiry at a uniformly distributed one to twelve months after creation. Erasure requests arrive with probability 0.25.</w:delText>
        </w:r>
      </w:del>
    </w:p>
    <w:p>
      <w:pPr>
        <w:pStyle w:val="BodyText"/>
      </w:pPr>
      <w:r>
        <w:t xml:space="preserve">One hundred records of each class are generated, matching the population scale fixed in Chapter 3, Section 3.5. Seed 20260915 is fixed and reported; the run is deterministic and reproduces identically.</w:t>
      </w:r>
    </w:p>
    <w:p>
      <w:pPr>
        <w:pStyle w:val="BodyText"/>
      </w:pPr>
      <w:r>
        <w:t xml:space="preserve">Table </w:t>
      </w:r>
      <w:del w:id="1224" w:author="Arshad Akhtar Abbasia" w:date="2026-10-04T12:00:00Z">
        <w:r>
          <w:delText xml:space="preserve">5.0. </w:delText>
        </w:r>
      </w:del>
      <w:ins w:id="1225" w:author="Arshad Akhtar Abbasia" w:date="2026-10-04T12:00:00Z">
        <w:r>
          <w:t xml:space="preserve">5.2. </w:t>
        </w:r>
      </w:ins>
      <w:r>
        <w:t xml:space="preserve">Generation parameters (complete)</w:t>
      </w:r>
    </w:p>
    <w:p>
      <w:pPr>
        <w:pStyle w:val="BodyText"/>
      </w:pPr>
      <w:r>
        <w:t xml:space="preserve">-------------------------------------------------------------------------------------------------------------------- Parameter Cross-border audit SPE access log ----------------------------- ------------------------------------------------------- ------------------------------ Records generated 100 100</w:t>
      </w:r>
    </w:p>
    <w:p>
      <w:pPr>
        <w:pStyle w:val="BodyText"/>
      </w:pPr>
      <w:r>
        <w:t xml:space="preserve">Retention floor </w:t>
      </w:r>
      <w:del w:id="1226" w:author="Arshad Akhtar Abbasia" w:date="2026-10-04T12:00:00Z">
        <w:r>
          <w:delText xml:space="preserve">F             </w:delText>
        </w:r>
      </w:del>
      <w:ins w:id="1227" w:author="Arshad Akhtar Abbasia" w:date="2026-10-04T12:00:00Z">
        <w:r>
          <w:t xml:space="preserve">F </w:t>
        </w:r>
      </w:ins>
      <w:r>
        <w:t xml:space="preserve">120 months (eHDSI </w:t>
      </w:r>
      <w:del w:id="1228" w:author="Arshad Akhtar Abbasia" w:date="2026-10-04T12:00:00Z">
        <w:r>
          <w:delText xml:space="preserve">baseline)   </w:delText>
        </w:r>
      </w:del>
      <w:ins w:id="1229" w:author="Arshad Akhtar Abbasia" w:date="2026-10-04T12:00:00Z">
        <w:r>
          <w:t xml:space="preserve">baseline as reported; illustrative) </w:t>
        </w:r>
      </w:ins>
      <w:r>
        <w:t xml:space="preserve">12 months (Art 73(1)(e))</w:t>
      </w:r>
    </w:p>
    <w:p>
      <w:pPr>
        <w:pStyle w:val="BodyText"/>
      </w:pPr>
      <w:r>
        <w:t xml:space="preserve">Pathway σ primary secondary</w:t>
      </w:r>
    </w:p>
    <w:p>
      <w:pPr>
        <w:pStyle w:val="BodyText"/>
      </w:pPr>
      <w:r>
        <w:t xml:space="preserve">Creation month t_a uniform [0, 11] uniform [0, 11]</w:t>
      </w:r>
    </w:p>
    <w:p>
      <w:pPr>
        <w:pStyle w:val="BodyText"/>
      </w:pPr>
      <w:r>
        <w:t xml:space="preserve">Erasure-request probability 0.40 0.25</w:t>
      </w:r>
    </w:p>
    <w:p>
      <w:pPr>
        <w:pStyle w:val="BodyText"/>
      </w:pPr>
      <w:r>
        <w:t xml:space="preserve">Erasure offset from t_a uniform [1, 130] months uniform [1, 18] months</w:t>
      </w:r>
    </w:p>
    <w:p>
      <w:pPr>
        <w:pStyle w:val="BodyText"/>
      </w:pPr>
      <w:r>
        <w:t xml:space="preserve">Permit expiry t_π not applicable t_a + uniform [1, 12] months</w:t>
      </w:r>
    </w:p>
    <w:p>
      <w:pPr>
        <w:pStyle w:val="BodyText"/>
      </w:pPr>
      <w:r>
        <w:t xml:space="preserve">Response period δ 1 month (GDPR Art 12(3)) 1 month</w:t>
      </w:r>
    </w:p>
    <w:p>
      <w:pPr>
        <w:pStyle w:val="BodyText"/>
      </w:pPr>
      <w:r>
        <w:t xml:space="preserve">Deletion ceiling not applicable 6 months (Art 68(12)) --------------------------------------------------------------------------------------------------------------------</w:t>
      </w:r>
    </w:p>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 java -jar synthea.jar -s 20260915 -cs 20260915 -p 100 and yielding 98 usable bundles. The generator was run with --generate.only_alive_patients=true,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w:t>
      </w:r>
      <w:ins w:id="1230" w:author="Arshad Akhtar Abbasia" w:date="2026-10-04T12:00:00Z">
        <w:r>
          <w:t xml:space="preserve">bytes. These resources stand in for payload </w:t>
        </w:r>
      </w:ins>
      <w:r>
        <w:t xml:space="preserve">bytes </w:t>
      </w:r>
      <w:del w:id="1231" w:author="Arshad Akhtar Abbasia" w:date="2026-10-04T12:00:00Z">
        <w:r>
          <w:delText xml:space="preserve">against 35 bytes for the constructed strings used during development. </w:delText>
        </w:r>
      </w:del>
      <w:ins w:id="1232" w:author="Arshad Akhtar Abbasia" w:date="2026-10-04T12:00:00Z">
        <w:r>
          <w:t xml:space="preserve">of realistic size and structure; they are not what p(a) is in either record class (Chapter 4, </w:t>
        </w:r>
      </w:ins>
      <w:r>
        <w:t xml:space="preserve">Section </w:t>
      </w:r>
      <w:del w:id="1233" w:author="Arshad Akhtar Abbasia" w:date="2026-10-04T12:00:00Z">
        <w:r>
          <w:delText xml:space="preserve">5.7 reports the comparison between the two.</w:delText>
        </w:r>
      </w:del>
      <w:ins w:id="1234" w:author="Arshad Akhtar Abbasia" w:date="2026-10-04T12:00:00Z">
        <w:r>
          <w:t xml:space="preserve">4.3), and Section 5.8 uses them only to test that no figure depends on payload content.</w:t>
        </w:r>
      </w:ins>
    </w:p>
    <w:p>
      <w:pPr>
        <w:pStyle w:val="Heading2"/>
      </w:pPr>
      <w:ins w:id="1235" w:author="Arshad Akhtar Abbasia" w:date="2026-10-04T12:00:00Z">
        <w:r>
          <w:t xml:space="preserve">5.3 </w:t>
        </w:r>
      </w:ins>
      <w:r>
        <w:t xml:space="preserve">Results under Semantics I</w:t>
      </w:r>
    </w:p>
    <w:p>
      <w:pPr>
        <w:pStyle w:val="BodyText"/>
      </w:pPr>
      <w:r>
        <w:t xml:space="preserve">Under plaintext-verifiability semantics, V(a,t) = α(a,t),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t xml:space="preserve">Table </w:t>
      </w:r>
      <w:del w:id="1236" w:author="Arshad Akhtar Abbasia" w:date="2026-10-04T12:00:00Z">
        <w:r>
          <w:delText xml:space="preserve">5.1. </w:delText>
        </w:r>
      </w:del>
      <w:ins w:id="1237" w:author="Arshad Akhtar Abbasia" w:date="2026-10-04T12:00:00Z">
        <w:r>
          <w:t xml:space="preserve">5.3. </w:t>
        </w:r>
      </w:ins>
      <w:r>
        <w:t xml:space="preserve">Violations under Semantics I (seed 20260915, n = 200)</w:t>
      </w:r>
    </w:p>
    <w:p>
      <w:pPr>
        <w:pStyle w:val="BodyText"/>
      </w:pPr>
      <w:del w:id="1238" w:author="Arshad Akhtar Abbasia" w:date="2026-10-04T12:00:00Z">
        <w:r>
          <w:delText xml:space="preserve">------------------------------------------------------------------------------ </w:delText>
        </w:r>
      </w:del>
      <w:r>
        <w:t xml:space="preserve">Record </w:t>
      </w:r>
      <w:del w:id="1239" w:author="Arshad Akhtar Abbasia" w:date="2026-10-04T12:00:00Z">
        <w:r>
          <w:delText xml:space="preserve">class                         Records    </w:delText>
        </w:r>
      </w:del>
      <w:ins w:id="1240" w:author="Arshad Akhtar Abbasia" w:date="2026-10-04T12:00:00Z">
        <w:r>
          <w:t xml:space="preserve">class Records </w:t>
        </w:r>
      </w:ins>
      <w:r>
        <w:t xml:space="preserve">With ≥1 </w:t>
      </w:r>
      <w:del w:id="1241" w:author="Arshad Akhtar Abbasia" w:date="2026-10-04T12:00:00Z">
        <w:r>
          <w:delText xml:space="preserve">violation   </w:delText>
        </w:r>
      </w:del>
      <w:ins w:id="1242" w:author="Arshad Akhtar Abbasia" w:date="2026-10-04T12:00:00Z">
        <w:r>
          <w:t xml:space="preserve">violation </w:t>
        </w:r>
      </w:ins>
      <w:r>
        <w:t xml:space="preserve">Share </w:t>
      </w:r>
      <w:del w:id="1243" w:author="Arshad Akhtar Abbasia" w:date="2026-10-04T12:00:00Z">
        <w:r>
          <w:delText xml:space="preserve">------------------------------------ ---------- </w:delText>
        </w:r>
      </w:del>
      <w:ins w:id="1244" w:author="Arshad Akhtar Abbasia" w:date="2026-10-04T12:00:00Z">
        <w:r>
          <w:t xml:space="preserve">------------------------------ --------- </w:t>
        </w:r>
      </w:ins>
      <w:r>
        <w:t xml:space="preserve">------------------- </w:t>
      </w:r>
      <w:del w:id="1245" w:author="Arshad Akhtar Abbasia" w:date="2026-10-04T12:00:00Z">
        <w:r>
          <w:delText xml:space="preserve">---------- </w:delText>
        </w:r>
      </w:del>
      <w:ins w:id="1246" w:author="Arshad Akhtar Abbasia" w:date="2026-10-04T12:00:00Z">
        <w:r>
          <w:t xml:space="preserve">------- </w:t>
        </w:r>
      </w:ins>
      <w:r>
        <w:t xml:space="preserve">Cross-border audit (F = </w:t>
      </w:r>
      <w:del w:id="1247" w:author="Arshad Akhtar Abbasia" w:date="2026-10-04T12:00:00Z">
        <w:r>
          <w:delText xml:space="preserve">120)         100        37                  37%</w:delText>
        </w:r>
      </w:del>
      <w:ins w:id="1248" w:author="Arshad Akhtar Abbasia" w:date="2026-10-04T12:00:00Z">
        <w:r>
          <w:t xml:space="preserve">120) 100 37 37% SPE access log (F = 12) 100 53 53% Total 200 90 45%</w:t>
        </w:r>
      </w:ins>
    </w:p>
    <w:p>
      <w:pPr>
        <w:pStyle w:val="BodyText"/>
        <w:rPr>
          <w:del w:id="1249" w:author="Arshad Akhtar Abbasia" w:date="2026-10-04T12:00:00Z"/>
        </w:rPr>
      </w:pPr>
      <w:del w:id="1250" w:author="Arshad Akhtar Abbasia" w:date="2026-10-04T12:00:00Z">
        <w:r>
          <w:delText xml:space="preserve">SPE access log (F = 12)              100        53                  53%</w:delText>
        </w:r>
      </w:del>
    </w:p>
    <w:p>
      <w:pPr>
        <w:pStyle w:val="BodyText"/>
        <w:rPr>
          <w:del w:id="1251" w:author="Arshad Akhtar Abbasia" w:date="2026-10-04T12:00:00Z"/>
        </w:rPr>
      </w:pPr>
      <w:del w:id="1252" w:author="Arshad Akhtar Abbasia" w:date="2026-10-04T12:00:00Z">
        <w:r>
          <w:delText xml:space="preserve">Total                                200        90                  45% ------------------------------------------------------------------------------</w:delText>
        </w:r>
      </w:del>
    </w:p>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rPr>
          <w:del w:id="1253" w:author="Arshad Akhtar Abbasia" w:date="2026-10-04T12:00:00Z"/>
        </w:rPr>
      </w:pPr>
      <w:del w:id="1254" w:author="Arshad Akhtar Abbasia" w:date="2026-10-04T12:00:00Z">
        <w:r>
          <w:delText xml:space="preserve">Three features of this table require comment, and the third is the one that matters.</w:delText>
        </w:r>
      </w:del>
    </w:p>
    <w:p>
      <w:pPr>
        <w:pStyle w:val="BodyText"/>
      </w:pPr>
      <w:r>
        <w:t xml:space="preserve">First, the violation rate is not one hundred per cent, and this is the correct </w:t>
      </w:r>
      <w:del w:id="1255" w:author="Arshad Akhtar Abbasia" w:date="2026-10-04T12:00:00Z">
        <w:r>
          <w:delText xml:space="preserve">behaviour rather than a weakness </w:delText>
        </w:r>
      </w:del>
      <w:ins w:id="1256" w:author="Arshad Akhtar Abbasia" w:date="2026-10-04T12:00:00Z">
        <w:r>
          <w:t xml:space="preserve">behaviour. The rates in this chapter are functions </w:t>
        </w:r>
      </w:ins>
      <w:r>
        <w:t xml:space="preserve">of the </w:t>
      </w:r>
      <w:del w:id="1257" w:author="Arshad Akhtar Abbasia" w:date="2026-10-04T12:00:00Z">
        <w:r>
          <w:delText xml:space="preserve">result. The rate itself should </w:delText>
        </w:r>
      </w:del>
      <w:ins w:id="1258" w:author="Arshad Akhtar Abbasia" w:date="2026-10-04T12:00:00Z">
        <w:r>
          <w:t xml:space="preserve">generator parameters in Table 5.2 and are </w:t>
        </w:r>
      </w:ins>
      <w:r>
        <w:t xml:space="preserve">not </w:t>
      </w:r>
      <w:del w:id="1259" w:author="Arshad Akhtar Abbasia" w:date="2026-10-04T12:00:00Z">
        <w:r>
          <w:delText xml:space="preserve">be read as an estimate </w:delText>
        </w:r>
      </w:del>
      <w:ins w:id="1260" w:author="Arshad Akhtar Abbasia" w:date="2026-10-04T12:00:00Z">
        <w:r>
          <w:t xml:space="preserve">estimates </w:t>
        </w:r>
      </w:ins>
      <w:r>
        <w:t xml:space="preserve">of real </w:t>
      </w:r>
      <w:del w:id="1261" w:author="Arshad Akhtar Abbasia" w:date="2026-10-04T12:00:00Z">
        <w:r>
          <w:delText xml:space="preserve">frequency, for a reason stated </w:delText>
        </w:r>
      </w:del>
      <w:ins w:id="1262" w:author="Arshad Akhtar Abbasia" w:date="2026-10-04T12:00:00Z">
        <w:r>
          <w:t xml:space="preserve">frequency; </w:t>
        </w:r>
      </w:ins>
      <w:r>
        <w:t xml:space="preserve">in </w:t>
      </w:r>
      <w:del w:id="1263" w:author="Arshad Akhtar Abbasia" w:date="2026-10-04T12:00:00Z">
        <w:r>
          <w:delText xml:space="preserve">Chapter 3, Section 3.7: </w:delText>
        </w:r>
      </w:del>
      <w:ins w:id="1264" w:author="Arshad Akhtar Abbasia" w:date="2026-10-04T12:00:00Z">
        <w:r>
          <w:t xml:space="preserve">particular, </w:t>
        </w:r>
      </w:ins>
      <w:r>
        <w:t xml:space="preserve">the generator treats every erasure request as valid, whereas </w:t>
      </w:r>
      <w:del w:id="1265" w:author="Arshad Akhtar Abbasia" w:date="2026-10-04T12:00:00Z">
        <w:r>
          <w:delText xml:space="preserve">in practice </w:delText>
        </w:r>
      </w:del>
      <w:r>
        <w:t xml:space="preserve">many would be lawfully refused under Article </w:t>
      </w:r>
      <w:del w:id="1266" w:author="Arshad Akhtar Abbasia" w:date="2026-10-04T12:00:00Z">
        <w:r>
          <w:delText xml:space="preserve">17(3), so real erasure-driven collision rates would be lower than those shown here. Theorem </w:delText>
        </w:r>
      </w:del>
      <w:ins w:id="1267" w:author="Arshad Akhtar Abbasia" w:date="2026-10-04T12:00:00Z">
        <w:r>
          <w:t xml:space="preserve">17(3) (Chapter 3, Section 3.7). Proposition </w:t>
        </w:r>
      </w:ins>
      <w:r>
        <w:t xml:space="preserve">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w:t>
      </w:r>
      <w:del w:id="1268" w:author="Arshad Akhtar Abbasia" w:date="2026-10-04T12:00:00Z">
        <w:r>
          <w:delText xml:space="preserve">theorem </w:delText>
        </w:r>
      </w:del>
      <w:ins w:id="1269" w:author="Arshad Akhtar Abbasia" w:date="2026-10-04T12:00:00Z">
        <w:r>
          <w:t xml:space="preserve">proposition </w:t>
        </w:r>
      </w:ins>
      <w:r>
        <w:t xml:space="preserve">excludes. The checker therefore reproduces the </w:t>
      </w:r>
      <w:del w:id="1270" w:author="Arshad Akhtar Abbasia" w:date="2026-10-04T12:00:00Z">
        <w:r>
          <w:delText xml:space="preserve">theorem’s </w:delText>
        </w:r>
      </w:del>
      <w:ins w:id="1271" w:author="Arshad Akhtar Abbasia" w:date="2026-10-04T12:00:00Z">
        <w:r>
          <w:t xml:space="preserve">proposition’s </w:t>
        </w:r>
      </w:ins>
      <w:r>
        <w:t xml:space="preserve">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BodyText"/>
      </w:pPr>
      <w:r>
        <w:t xml:space="preserve">C1 requires V=1 </w:t>
      </w:r>
      <w:del w:id="1272" w:author="Arshad Akhtar Abbasia" w:date="2026-10-04T12:00:00Z">
        <w:r>
          <w:delText xml:space="preserve">(⇒ α=1) </w:delText>
        </w:r>
      </w:del>
      <w:ins w:id="1273" w:author="Arshad Akhtar Abbasia" w:date="2026-10-04T12:00:00Z">
        <w:r>
          <w:t xml:space="preserve">(=&gt; alpha=1) </w:t>
        </w:r>
      </w:ins>
      <w:r>
        <w:t xml:space="preserve">at t=116 within [11,131]; C2 requires </w:t>
      </w:r>
      <w:del w:id="1274" w:author="Arshad Akhtar Abbasia" w:date="2026-10-04T12:00:00Z">
        <w:r>
          <w:delText xml:space="preserve">α=0 </w:delText>
        </w:r>
      </w:del>
      <w:ins w:id="1275" w:author="Arshad Akhtar Abbasia" w:date="2026-10-04T12:00:00Z">
        <w:r>
          <w:t xml:space="preserve">alpha=0 </w:t>
        </w:r>
      </w:ins>
      <w:r>
        <w:t xml:space="preserve">from t=116 C1 requires V=1 </w:t>
      </w:r>
      <w:del w:id="1276" w:author="Arshad Akhtar Abbasia" w:date="2026-10-04T12:00:00Z">
        <w:r>
          <w:delText xml:space="preserve">(⇒ α=1) </w:delText>
        </w:r>
      </w:del>
      <w:ins w:id="1277" w:author="Arshad Akhtar Abbasia" w:date="2026-10-04T12:00:00Z">
        <w:r>
          <w:t xml:space="preserve">(=&gt; alpha=1) </w:t>
        </w:r>
      </w:ins>
      <w:r>
        <w:t xml:space="preserve">at t=120 within [4,124]; C2 requires </w:t>
      </w:r>
      <w:del w:id="1278" w:author="Arshad Akhtar Abbasia" w:date="2026-10-04T12:00:00Z">
        <w:r>
          <w:delText xml:space="preserve">α=0 </w:delText>
        </w:r>
      </w:del>
      <w:ins w:id="1279" w:author="Arshad Akhtar Abbasia" w:date="2026-10-04T12:00:00Z">
        <w:r>
          <w:t xml:space="preserve">alpha=0 </w:t>
        </w:r>
      </w:ins>
      <w:r>
        <w:t xml:space="preserve">from t=120 C1 requires V=1 </w:t>
      </w:r>
      <w:del w:id="1280" w:author="Arshad Akhtar Abbasia" w:date="2026-10-04T12:00:00Z">
        <w:r>
          <w:delText xml:space="preserve">(⇒ α=1) </w:delText>
        </w:r>
      </w:del>
      <w:ins w:id="1281" w:author="Arshad Akhtar Abbasia" w:date="2026-10-04T12:00:00Z">
        <w:r>
          <w:t xml:space="preserve">(=&gt; alpha=1) </w:t>
        </w:r>
      </w:ins>
      <w:r>
        <w:t xml:space="preserve">at t=41 within [0,120]; C2 requires </w:t>
      </w:r>
      <w:del w:id="1282" w:author="Arshad Akhtar Abbasia" w:date="2026-10-04T12:00:00Z">
        <w:r>
          <w:delText xml:space="preserve">α=0 </w:delText>
        </w:r>
      </w:del>
      <w:ins w:id="1283" w:author="Arshad Akhtar Abbasia" w:date="2026-10-04T12:00:00Z">
        <w:r>
          <w:t xml:space="preserve">alpha=0 </w:t>
        </w:r>
      </w:ins>
      <w:r>
        <w:t xml:space="preserve">from t=41</w:t>
      </w:r>
    </w:p>
    <w:p>
      <w:pPr>
        <w:pStyle w:val="BodyText"/>
      </w:pPr>
      <w:r>
        <w:t xml:space="preserve">Each names </w:t>
      </w:r>
      <w:del w:id="1284" w:author="Arshad Akhtar Abbasia" w:date="2026-10-04T12:00:00Z">
        <w:r>
          <w:delText xml:space="preserve">the record, </w:delText>
        </w:r>
      </w:del>
      <w:r>
        <w:t xml:space="preserve">the collision month, the two constraints in conflict, and the window within which the conflict arises. A reader who doubts </w:t>
      </w:r>
      <w:del w:id="1285" w:author="Arshad Akhtar Abbasia" w:date="2026-10-04T12:00:00Z">
        <w:r>
          <w:delText xml:space="preserve">Theorem </w:delText>
        </w:r>
      </w:del>
      <w:ins w:id="1286" w:author="Arshad Akhtar Abbasia" w:date="2026-10-04T12:00:00Z">
        <w:r>
          <w:t xml:space="preserve">Proposition </w:t>
        </w:r>
      </w:ins>
      <w:r>
        <w:t xml:space="preserve">1 can take any of these lines and check the arithmetic by hand.</w:t>
      </w:r>
    </w:p>
    <w:p>
      <w:pPr>
        <w:pStyle w:val="BodyText"/>
      </w:pPr>
      <w:r>
        <w:t xml:space="preserve">Third, </w:t>
      </w:r>
      <w:del w:id="1287" w:author="Arshad Akhtar Abbasia" w:date="2026-10-04T12:00:00Z">
        <w:r>
          <w:delText xml:space="preserve">and most consequentially, </w:delText>
        </w:r>
      </w:del>
      <w:r>
        <w:t xml:space="preserve">the Secure Processing Environment class violates at a higher rate than the cross-border class, fifty-three per cent against thirty-seven, </w:t>
      </w:r>
      <w:del w:id="1288" w:author="Arshad Akhtar Abbasia" w:date="2026-10-04T12:00:00Z">
        <w:r>
          <w:delText xml:space="preserve">despite receiving </w:delText>
        </w:r>
      </w:del>
      <w:ins w:id="1289" w:author="Arshad Akhtar Abbasia" w:date="2026-10-04T12:00:00Z">
        <w:r>
          <w:t xml:space="preserve">although it receives </w:t>
        </w:r>
      </w:ins>
      <w:r>
        <w:t xml:space="preserve">erasure requests at a lower probability. The </w:t>
      </w:r>
      <w:del w:id="1290" w:author="Arshad Akhtar Abbasia" w:date="2026-10-04T12:00:00Z">
        <w:r>
          <w:delText xml:space="preserve">mechanism behind the inversion should be stated plainly, because an examiner’s first reaction will be that the secondary pathway simply carries more constraints. That reaction is correct, and it </w:delText>
        </w:r>
      </w:del>
      <w:ins w:id="1291" w:author="Arshad Akhtar Abbasia" w:date="2026-10-04T12:00:00Z">
        <w:r>
          <w:t xml:space="preserve">reason </w:t>
        </w:r>
      </w:ins>
      <w:r>
        <w:t xml:space="preserve">is the </w:t>
      </w:r>
      <w:del w:id="1292" w:author="Arshad Akhtar Abbasia" w:date="2026-10-04T12:00:00Z">
        <w:r>
          <w:delText xml:space="preserve">point. Every </w:delText>
        </w:r>
      </w:del>
      <w:ins w:id="1293" w:author="Arshad Akhtar Abbasia" w:date="2026-10-04T12:00:00Z">
        <w:r>
          <w:t xml:space="preserve">constraint structure, not frequency: every </w:t>
        </w:r>
      </w:ins>
      <w:r>
        <w:t xml:space="preserve">SPE record faces the Article 68(12) ceiling by construction, while only forty per cent of cross-border records </w:t>
      </w:r>
      <w:del w:id="1294" w:author="Arshad Akhtar Abbasia" w:date="2026-10-04T12:00:00Z">
        <w:r>
          <w:delText xml:space="preserve">ever </w:delText>
        </w:r>
      </w:del>
      <w:r>
        <w:t xml:space="preserve">face any second </w:t>
      </w:r>
      <w:del w:id="1295" w:author="Arshad Akhtar Abbasia" w:date="2026-10-04T12:00:00Z">
        <w:r>
          <w:delText xml:space="preserve">constraint at all; the decomposition bears this out, with </w:delText>
        </w:r>
      </w:del>
      <w:ins w:id="1296" w:author="Arshad Akhtar Abbasia" w:date="2026-10-04T12:00:00Z">
        <w:r>
          <w:t xml:space="preserve">constraint; </w:t>
        </w:r>
      </w:ins>
      <w:r>
        <w:t xml:space="preserve">49 of the SPE violations </w:t>
      </w:r>
      <w:ins w:id="1297" w:author="Arshad Akhtar Abbasia" w:date="2026-10-04T12:00:00Z">
        <w:r>
          <w:t xml:space="preserve">are </w:t>
        </w:r>
      </w:ins>
      <w:r>
        <w:t xml:space="preserve">structural and </w:t>
      </w:r>
      <w:del w:id="1298" w:author="Arshad Akhtar Abbasia" w:date="2026-10-04T12:00:00Z">
        <w:r>
          <w:delText xml:space="preserve">only </w:delText>
        </w:r>
      </w:del>
      <w:r>
        <w:t xml:space="preserve">4 request-driven, against </w:t>
      </w:r>
      <w:del w:id="1299" w:author="Arshad Akhtar Abbasia" w:date="2026-10-04T12:00:00Z">
        <w:r>
          <w:delText xml:space="preserve">all </w:delText>
        </w:r>
      </w:del>
      <w:r>
        <w:t xml:space="preserve">37 </w:t>
      </w:r>
      <w:ins w:id="1300" w:author="Arshad Akhtar Abbasia" w:date="2026-10-04T12:00:00Z">
        <w:r>
          <w:t xml:space="preserve">request-driven </w:t>
        </w:r>
      </w:ins>
      <w:r>
        <w:t xml:space="preserve">cross-border </w:t>
      </w:r>
      <w:del w:id="1301" w:author="Arshad Akhtar Abbasia" w:date="2026-10-04T12:00:00Z">
        <w:r>
          <w:delText xml:space="preserve">violations being request-driven. The inversion is therefore not a sampling accident but the direct signature of a collision that the secondary pathway inherits from Regulation (EU) 2025/327 alone, without any data-subject action. </w:delText>
        </w:r>
      </w:del>
      <w:ins w:id="1302" w:author="Arshad Akhtar Abbasia" w:date="2026-10-04T12:00:00Z">
        <w:r>
          <w:t xml:space="preserve">violations. </w:t>
        </w:r>
      </w:ins>
      <w:r>
        <w:t xml:space="preserve">Section 5.4 isolates </w:t>
      </w:r>
      <w:del w:id="1303" w:author="Arshad Akhtar Abbasia" w:date="2026-10-04T12:00:00Z">
        <w:r>
          <w:delText xml:space="preserve">it.</w:delText>
        </w:r>
      </w:del>
      <w:ins w:id="1304" w:author="Arshad Akhtar Abbasia" w:date="2026-10-04T12:00:00Z">
        <w:r>
          <w:t xml:space="preserve">the structural ones.</w:t>
        </w:r>
      </w:ins>
    </w:p>
    <w:p>
      <w:pPr>
        <w:pStyle w:val="Heading2"/>
      </w:pPr>
      <w:ins w:id="1305" w:author="Arshad Akhtar Abbasia" w:date="2026-10-04T12:00:00Z">
        <w:r>
          <w:t xml:space="preserve">5.4 </w:t>
        </w:r>
      </w:ins>
      <w:r>
        <w:t xml:space="preserve">Corollary 1.2: Infeasibility Without an Erasure Request</w:t>
      </w:r>
    </w:p>
    <w:p>
      <w:pPr>
        <w:pStyle w:val="BodyText"/>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t xml:space="preserve">Thirty-nine of them are infeasible under Semantics I. That is exactly half of the records with no erasure request.</w:t>
      </w:r>
    </w:p>
    <w:p>
      <w:pPr>
        <w:pStyle w:val="BodyText"/>
      </w:pPr>
      <w:r>
        <w:t xml:space="preserve">The witnesses, verbatim:</w:t>
      </w:r>
    </w:p>
    <w:p>
      <w:pPr>
        <w:pStyle w:val="BodyText"/>
      </w:pPr>
      <w:r>
        <w:t xml:space="preserve">rid=100: t_a=7 permit expires t_pi=10 -&gt; C3 from t=16, C1 to t=19 | collision at t=16 rid=103: t_a=7 permit expires t_pi=10 -&gt; C3 from t=16, C1 to t=19 | collision at t=16 rid=104: t_a=3 permit expires t_pi=4 -&gt; C3 from t=10, C1 to t=15 | collision at t=10</w:t>
      </w:r>
    </w:p>
    <w:p>
      <w:pPr>
        <w:pStyle w:val="BodyText"/>
      </w:pPr>
      <w:r>
        <w:t xml:space="preserve">Take the first. The access-log record is created in month seven. Article 73(1)(e) requires the identifiable log to remain verifiable until month nineteen. The data permit expires in month ten, so Article 68(12) requires </w:t>
      </w:r>
      <w:del w:id="1306" w:author="Arshad Akhtar Abbasia" w:date="2026-10-04T12:00:00Z">
        <w:r>
          <w:delText xml:space="preserve">personal </w:delText>
        </w:r>
      </w:del>
      <w:ins w:id="1307" w:author="Arshad Akhtar Abbasia" w:date="2026-10-04T12:00:00Z">
        <w:r>
          <w:t xml:space="preserve">the electronic health </w:t>
        </w:r>
      </w:ins>
      <w:r>
        <w:t xml:space="preserve">data to be gone from the environment by month sixteen. Months sixteen through nineteen are therefore months in which the same regulation requires the same environment both to retain an identifiable access log </w:t>
      </w:r>
      <w:del w:id="1308" w:author="Arshad Akhtar Abbasia" w:date="2026-10-04T12:00:00Z">
        <w:r>
          <w:delText xml:space="preserve">and </w:delText>
        </w:r>
      </w:del>
      <w:ins w:id="1309" w:author="Arshad Akhtar Abbasia" w:date="2026-10-04T12:00:00Z">
        <w:r>
          <w:t xml:space="preserve">and, if that log’s entries are themselves electronic health data, </w:t>
        </w:r>
      </w:ins>
      <w:r>
        <w:t xml:space="preserve">to hold </w:t>
      </w:r>
      <w:del w:id="1310" w:author="Arshad Akhtar Abbasia" w:date="2026-10-04T12:00:00Z">
        <w:r>
          <w:delText xml:space="preserve">no personal data. </w:delText>
        </w:r>
      </w:del>
      <w:ins w:id="1311" w:author="Arshad Akhtar Abbasia" w:date="2026-10-04T12:00:00Z">
        <w:r>
          <w:t xml:space="preserve">none of them. </w:t>
        </w:r>
      </w:ins>
      <w:r>
        <w:t xml:space="preserve">No data subject has exercised any right. No deployment baseline is involved. No synthesis across instruments of differing legal weight has occurred. On the </w:t>
      </w:r>
      <w:ins w:id="1312" w:author="Arshad Akhtar Abbasia" w:date="2026-10-04T12:00:00Z">
        <w:r>
          <w:t xml:space="preserve">broad </w:t>
        </w:r>
      </w:ins>
      <w:r>
        <w:t xml:space="preserve">reading of Article </w:t>
      </w:r>
      <w:del w:id="1313" w:author="Arshad Akhtar Abbasia" w:date="2026-10-04T12:00:00Z">
        <w:r>
          <w:delText xml:space="preserve">68(12) adopted in Chapter </w:delText>
        </w:r>
      </w:del>
      <w:ins w:id="1314" w:author="Arshad Akhtar Abbasia" w:date="2026-10-04T12:00:00Z">
        <w:r>
          <w:t xml:space="preserve">68(12), and for logs kept at patient-record granularity (Chapter </w:t>
        </w:r>
      </w:ins>
      <w:r>
        <w:t xml:space="preserve">4, Section </w:t>
      </w:r>
      <w:del w:id="1315" w:author="Arshad Akhtar Abbasia" w:date="2026-10-04T12:00:00Z">
        <w:r>
          <w:delText xml:space="preserve">4.6, </w:delText>
        </w:r>
      </w:del>
      <w:ins w:id="1316" w:author="Arshad Akhtar Abbasia" w:date="2026-10-04T12:00:00Z">
        <w:r>
          <w:t xml:space="preserve">4.6), </w:t>
        </w:r>
      </w:ins>
      <w:r>
        <w:t xml:space="preserve">the conflict is internal to Regulation (EU) 2025/327. Under the narrower </w:t>
      </w:r>
      <w:del w:id="1317" w:author="Arshad Akhtar Abbasia" w:date="2026-10-04T12:00:00Z">
        <w:r>
          <w:delText xml:space="preserve">reading canvassed there, </w:delText>
        </w:r>
      </w:del>
      <w:ins w:id="1318" w:author="Arshad Akhtar Abbasia" w:date="2026-10-04T12:00:00Z">
        <w:r>
          <w:t xml:space="preserve">reading, </w:t>
        </w:r>
      </w:ins>
      <w:r>
        <w:t xml:space="preserve">these thirty-nine witnesses lapse and the secondary-use collisions reduce to the nine records in this population whose erasure requests fall inside the retention window (four that collide with C2 only and five that also collide with C3; twenty-two records received requests in all); </w:t>
      </w:r>
      <w:del w:id="1319" w:author="Arshad Akhtar Abbasia" w:date="2026-10-04T12:00:00Z">
        <w:r>
          <w:delText xml:space="preserve">Theorem </w:delText>
        </w:r>
      </w:del>
      <w:ins w:id="1320" w:author="Arshad Akhtar Abbasia" w:date="2026-10-04T12:00:00Z">
        <w:r>
          <w:t xml:space="preserve">Proposition </w:t>
        </w:r>
      </w:ins>
      <w:r>
        <w:t xml:space="preserve">1, Corollary 1.1, and every Semantics II result are </w:t>
      </w:r>
      <w:del w:id="1321" w:author="Arshad Akhtar Abbasia" w:date="2026-10-04T12:00:00Z">
        <w:r>
          <w:delText xml:space="preserve">unaffected.</w:delText>
        </w:r>
      </w:del>
      <w:ins w:id="1322" w:author="Arshad Akhtar Abbasia" w:date="2026-10-04T12:00:00Z">
        <w:r>
          <w:t xml:space="preserve">unaffected. Moving the logs out of the environment at permit closure would also remove these thirty-nine collisions, at the cost set out in Chapter 4, Section 4.10; it would not remove the erasure-driven ones.</w:t>
        </w:r>
      </w:ins>
    </w:p>
    <w:p>
      <w:pPr>
        <w:pStyle w:val="BodyText"/>
      </w:pPr>
      <w:r>
        <w:t xml:space="preserve">The fifty per cent figure </w:t>
      </w:r>
      <w:del w:id="1323" w:author="Arshad Akhtar Abbasia" w:date="2026-10-04T12:00:00Z">
        <w:r>
          <w:delText xml:space="preserve">has a straightforward structural explanation, and stating it guards against reading </w:delText>
        </w:r>
      </w:del>
      <w:ins w:id="1324" w:author="Arshad Akhtar Abbasia" w:date="2026-10-04T12:00:00Z">
        <w:r>
          <w:t xml:space="preserve">follows from </w:t>
        </w:r>
      </w:ins>
      <w:r>
        <w:t xml:space="preserve">the </w:t>
      </w:r>
      <w:del w:id="1325" w:author="Arshad Akhtar Abbasia" w:date="2026-10-04T12:00:00Z">
        <w:r>
          <w:delText xml:space="preserve">number as more precise than it is. </w:delText>
        </w:r>
      </w:del>
      <w:ins w:id="1326" w:author="Arshad Akhtar Abbasia" w:date="2026-10-04T12:00:00Z">
        <w:r>
          <w:t xml:space="preserve">generator. </w:t>
        </w:r>
      </w:ins>
      <w:r>
        <w:t xml:space="preserve">The collision occurs when </w:t>
      </w:r>
      <w:del w:id="1327" w:author="Arshad Akhtar Abbasia" w:date="2026-10-04T12:00:00Z">
        <w:r>
          <w:delText xml:space="preserve">t_(π) + 6 ≤ t_(a) + </w:delText>
        </w:r>
      </w:del>
      <w:ins w:id="1328" w:author="Arshad Akhtar Abbasia" w:date="2026-10-04T12:00:00Z">
        <w:r>
          <w:t xml:space="preserve">t_(π) + 6 ≤ t_(a) + </w:t>
        </w:r>
      </w:ins>
      <w:r>
        <w:t xml:space="preserve">12, </w:t>
      </w:r>
      <w:del w:id="1329" w:author="Arshad Akhtar Abbasia" w:date="2026-10-04T12:00:00Z">
        <w:r>
          <w:delText xml:space="preserve">that is when </w:delText>
        </w:r>
      </w:del>
      <w:r>
        <w:t xml:space="preserve">the </w:t>
      </w:r>
      <w:ins w:id="1330" w:author="Arshad Akhtar Abbasia" w:date="2026-10-04T12:00:00Z">
        <w:r>
          <w:t xml:space="preserve">condition of Proposition 3(ii) with F = 12, L = 6 and the ceiling anchored to </w:t>
        </w:r>
      </w:ins>
      <w:r>
        <w:t xml:space="preserve">permit </w:t>
      </w:r>
      <w:del w:id="1331" w:author="Arshad Akhtar Abbasia" w:date="2026-10-04T12:00:00Z">
        <w:r>
          <w:delText xml:space="preserve">runs six months or less. Permit </w:delText>
        </w:r>
      </w:del>
      <w:ins w:id="1332" w:author="Arshad Akhtar Abbasia" w:date="2026-10-04T12:00:00Z">
        <w:r>
          <w:t xml:space="preserve">expiry, and permit </w:t>
        </w:r>
      </w:ins>
      <w:r>
        <w:t xml:space="preserve">lengths were drawn uniformly from one to twelve months, so half </w:t>
      </w:r>
      <w:del w:id="1333" w:author="Arshad Akhtar Abbasia" w:date="2026-10-04T12:00:00Z">
        <w:r>
          <w:delText xml:space="preserve">the draws </w:delText>
        </w:r>
      </w:del>
      <w:r>
        <w:t xml:space="preserve">fall at or below six. </w:t>
      </w:r>
      <w:del w:id="1334" w:author="Arshad Akhtar Abbasia" w:date="2026-10-04T12:00:00Z">
        <w:r>
          <w:delText xml:space="preserve">The figure is therefore a direct consequence </w:delText>
        </w:r>
      </w:del>
      <w:ins w:id="1335" w:author="Arshad Akhtar Abbasia" w:date="2026-10-04T12:00:00Z">
        <w:r>
          <w:t xml:space="preserve">A longer horizon lowers the rate as 6/π_(max) without removing the collision, which Proposition 1 establishes independently </w:t>
        </w:r>
      </w:ins>
      <w:r>
        <w:t xml:space="preserve">of </w:t>
      </w:r>
      <w:del w:id="1336" w:author="Arshad Akhtar Abbasia" w:date="2026-10-04T12:00:00Z">
        <w:r>
          <w:delText xml:space="preserve">the permit-length distribution and is not an empirical estimate of how often this occurs in Norwegian practice. What the demonstration establishes is that the collision arises under ordinary parameters rather than contrived ones.</w:delText>
        </w:r>
      </w:del>
      <w:ins w:id="1337" w:author="Arshad Akhtar Abbasia" w:date="2026-10-04T12:00:00Z">
        <w:r>
          <w:t xml:space="preserve">any distribution.</w:t>
        </w:r>
      </w:ins>
    </w:p>
    <w:p>
      <w:pPr>
        <w:pStyle w:val="Heading2"/>
        <w:rPr>
          <w:ins w:id="1338" w:author="Arshad Akhtar Abbasia" w:date="2026-10-04T12:00:00Z"/>
        </w:rPr>
      </w:pPr>
      <w:ins w:id="1339" w:author="Arshad Akhtar Abbasia" w:date="2026-10-04T12:00:00Z">
        <w:r>
          <w:t xml:space="preserve">5.5 Independent Cross-Check</w:t>
        </w:r>
      </w:ins>
    </w:p>
    <w:p>
      <w:pPr>
        <w:pStyle w:val="BodyText"/>
        <w:rPr>
          <w:del w:id="1340" w:author="Arshad Akhtar Abbasia" w:date="2026-10-04T12:00:00Z"/>
        </w:rPr>
      </w:pPr>
      <w:del w:id="1341" w:author="Arshad Akhtar Abbasia" w:date="2026-10-04T12:00:00Z">
        <w:r>
          <w:delText xml:space="preserve">The obvious attack on this figure is that the twelve-month horizon was chosen to produce it. The response is structural: the collision rate scales as 6/π_(max) under a uniform permit horizon, so a longer horizon attenuates the rate without altering the existence of the collision, which Theorem 1 establishes independently of any distribution. The twelve-month horizon models the remaining permit duration at the moment an access event is logged, not total project length, and a record created late in a multi-year permit has a short remaining horizon regardless of the project’s overall size. No figure in this chapter depends on the rate; the thesis’s claim is that the collision occurs, not that it occurs with any particular frequency.</w:delText>
        </w:r>
      </w:del>
    </w:p>
    <w:p>
      <w:pPr>
        <w:pStyle w:val="BodyText"/>
        <w:rPr>
          <w:del w:id="1342" w:author="Arshad Akhtar Abbasia" w:date="2026-10-04T12:00:00Z"/>
        </w:rPr>
      </w:pPr>
      <w:del w:id="1343" w:author="Arshad Akhtar Abbasia" w:date="2026-10-04T12:00:00Z">
        <w:r>
          <w:delText xml:space="preserve">Cross-Check by Exhaustive Search</w:delText>
        </w:r>
      </w:del>
    </w:p>
    <w:p>
      <w:pPr>
        <w:pStyle w:val="BodyText"/>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 any assignment satisfies C1 under Semantics I together with C2 and C3.</w:t>
      </w:r>
    </w:p>
    <w:p>
      <w:pPr>
        <w:pStyle w:val="BodyText"/>
      </w:pPr>
      <w:r>
        <w:t xml:space="preserve">Table </w:t>
      </w:r>
      <w:del w:id="1344" w:author="Arshad Akhtar Abbasia" w:date="2026-10-04T12:00:00Z">
        <w:r>
          <w:delText xml:space="preserve">5.2. </w:delText>
        </w:r>
      </w:del>
      <w:ins w:id="1345" w:author="Arshad Akhtar Abbasia" w:date="2026-10-04T12:00:00Z">
        <w:r>
          <w:t xml:space="preserve">5.4. </w:t>
        </w:r>
      </w:ins>
      <w:r>
        <w:t xml:space="preserve">Exhaustive search over α assignments (horizon = 14 months)</w:t>
      </w:r>
    </w:p>
    <w:p>
      <w:pPr>
        <w:pStyle w:val="BodyText"/>
      </w:pPr>
      <w:r>
        <w:t xml:space="preserve">---------------------------------------------------------------------------------------------------------- Case Feasible assignment exists? ---------------------------------------------------------------------- ----------------------------------- SPE, no erasure request, permit 3 months False</w:t>
      </w:r>
    </w:p>
    <w:p>
      <w:pPr>
        <w:pStyle w:val="BodyText"/>
      </w:pPr>
      <w:r>
        <w:t xml:space="preserve">SPE, erasure request at t = 2 False</w:t>
      </w:r>
    </w:p>
    <w:p>
      <w:pPr>
        <w:pStyle w:val="BodyText"/>
      </w:pPr>
      <w:r>
        <w:t xml:space="preserve">Cross-border (floor scaled to 12 for tractability), erasure at t = 4 False</w:t>
      </w:r>
    </w:p>
    <w:p>
      <w:pPr>
        <w:pStyle w:val="BodyText"/>
      </w:pPr>
      <w:r>
        <w:t xml:space="preserve">Control: no erasure request, no permit expiry True ----------------------------------------------------------------------------------------------------------</w:t>
      </w:r>
    </w:p>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Section 4.4,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w:t>
      </w:r>
      <w:del w:id="1346" w:author="Arshad Akhtar Abbasia" w:date="2026-10-04T12:00:00Z">
        <w:r>
          <w:delText xml:space="preserve">Theorem </w:delText>
        </w:r>
      </w:del>
      <w:ins w:id="1347" w:author="Arshad Akhtar Abbasia" w:date="2026-10-04T12:00:00Z">
        <w:r>
          <w:t xml:space="preserve">Proposition </w:t>
        </w:r>
      </w:ins>
      <w:r>
        <w:t xml:space="preserve">1’s argument depends on the deadline falling inside the window, not on the window’s length, and the scaled case preserves that relation. </w:t>
      </w:r>
      <w:del w:id="1348" w:author="Arshad Akhtar Abbasia" w:date="2026-10-04T12:00:00Z">
        <w:r>
          <w:delText xml:space="preserve">This substitution is noted rather than hidden, and it </w:delText>
        </w:r>
      </w:del>
      <w:ins w:id="1349" w:author="Arshad Akhtar Abbasia" w:date="2026-10-04T12:00:00Z">
        <w:r>
          <w:t xml:space="preserve">It </w:t>
        </w:r>
      </w:ins>
      <w:r>
        <w:t xml:space="preserve">is the one place in the demonstration where a parameter was altered for tractability.</w:t>
      </w:r>
    </w:p>
    <w:p>
      <w:pPr>
        <w:pStyle w:val="Heading2"/>
      </w:pPr>
      <w:del w:id="1350" w:author="Arshad Akhtar Abbasia" w:date="2026-10-04T12:00:00Z">
        <w:r>
          <w:delText xml:space="preserve">5.5a </w:delText>
        </w:r>
      </w:del>
      <w:ins w:id="1351" w:author="Arshad Akhtar Abbasia" w:date="2026-10-04T12:00:00Z">
        <w:r>
          <w:t xml:space="preserve">5.6 </w:t>
        </w:r>
      </w:ins>
      <w:r>
        <w:t xml:space="preserve">Witness at the Extended Response Period</w:t>
      </w:r>
    </w:p>
    <w:p>
      <w:pPr>
        <w:pStyle w:val="BodyText"/>
      </w:pPr>
      <w:r>
        <w:t xml:space="preserve">Chapter 4, Section 4.4 sets the erasure response period δ from Article 12(3) GDPR, which allows the controller one month from receipt and permits extension by a further two months for complex or numerous requests. The </w:t>
      </w:r>
      <w:del w:id="1352" w:author="Arshad Akhtar Abbasia" w:date="2026-10-04T12:00:00Z">
        <w:r>
          <w:delText xml:space="preserve">theorems </w:delText>
        </w:r>
      </w:del>
      <w:ins w:id="1353" w:author="Arshad Akhtar Abbasia" w:date="2026-10-04T12:00:00Z">
        <w:r>
          <w:t xml:space="preserve">propositions </w:t>
        </w:r>
      </w:ins>
      <w:r>
        <w:t xml:space="preserve">are stated for arbitrary finite δ, and the model admits </w:t>
      </w:r>
      <w:del w:id="1354" w:author="Arshad Akhtar Abbasia" w:date="2026-10-04T12:00:00Z">
        <w:r>
          <w:delText xml:space="preserve">δ = </w:delText>
        </w:r>
      </w:del>
      <w:ins w:id="1355" w:author="Arshad Akhtar Abbasia" w:date="2026-10-04T12:00:00Z">
        <w:r>
          <w:t xml:space="preserve">δ = </w:t>
        </w:r>
      </w:ins>
      <w:r>
        <w:t xml:space="preserve">3. That claim is witnessed </w:t>
      </w:r>
      <w:del w:id="1356" w:author="Arshad Akhtar Abbasia" w:date="2026-10-04T12:00:00Z">
        <w:r>
          <w:delText xml:space="preserve">rather than asserted.</w:delText>
        </w:r>
      </w:del>
      <w:ins w:id="1357" w:author="Arshad Akhtar Abbasia" w:date="2026-10-04T12:00:00Z">
        <w:r>
          <w:t xml:space="preserve">here at δ = 3.</w:t>
        </w:r>
      </w:ins>
    </w:p>
    <w:p>
      <w:pPr>
        <w:pStyle w:val="BodyText"/>
      </w:pPr>
      <w:r>
        <w:t xml:space="preserve">Table </w:t>
      </w:r>
      <w:del w:id="1358" w:author="Arshad Akhtar Abbasia" w:date="2026-10-04T12:00:00Z">
        <w:r>
          <w:delText xml:space="preserve">5.2a. </w:delText>
        </w:r>
      </w:del>
      <w:ins w:id="1359" w:author="Arshad Akhtar Abbasia" w:date="2026-10-04T12:00:00Z">
        <w:r>
          <w:t xml:space="preserve">5.5. </w:t>
        </w:r>
      </w:ins>
      <w:r>
        <w:t xml:space="preserve">Results at </w:t>
      </w:r>
      <w:del w:id="1360" w:author="Arshad Akhtar Abbasia" w:date="2026-10-04T12:00:00Z">
        <w:r>
          <w:delText xml:space="preserve">δ = </w:delText>
        </w:r>
      </w:del>
      <w:ins w:id="1361" w:author="Arshad Akhtar Abbasia" w:date="2026-10-04T12:00:00Z">
        <w:r>
          <w:t xml:space="preserve">δ = </w:t>
        </w:r>
      </w:ins>
      <w:r>
        <w:t xml:space="preserve">1 and </w:t>
      </w:r>
      <w:del w:id="1362" w:author="Arshad Akhtar Abbasia" w:date="2026-10-04T12:00:00Z">
        <w:r>
          <w:delText xml:space="preserve">δ = </w:delText>
        </w:r>
      </w:del>
      <w:ins w:id="1363" w:author="Arshad Akhtar Abbasia" w:date="2026-10-04T12:00:00Z">
        <w:r>
          <w:t xml:space="preserve">δ = </w:t>
        </w:r>
      </w:ins>
      <w:r>
        <w:t xml:space="preserve">3 (seed 20260915, n = 200)</w:t>
      </w:r>
    </w:p>
    <w:p>
      <w:pPr>
        <w:pStyle w:val="BodyText"/>
        <w:rPr>
          <w:ins w:id="1364" w:author="Arshad Akhtar Abbasia" w:date="2026-10-04T12:00:00Z"/>
        </w:rPr>
      </w:pPr>
      <w:ins w:id="1365" w:author="Arshad Akhtar Abbasia" w:date="2026-10-04T12:00:00Z">
        <w:r>
          <w:t xml:space="preserve">Measure δ = 1 δ = 3 -------------------------------------- ------- ------- Semantics I: records with violation 90 89 Semantics I: total violations 95 94 Corollary 1.2 witnesses 39 39 Records invalidated 138 138 Semantics II: records with violation 0 0 Semantics II: total violations 0 0</w:t>
        </w:r>
      </w:ins>
    </w:p>
    <w:p>
      <w:pPr>
        <w:pStyle w:val="BodyText"/>
        <w:rPr>
          <w:ins w:id="1366" w:author="Arshad Akhtar Abbasia" w:date="2026-10-04T12:00:00Z"/>
        </w:rPr>
      </w:pPr>
      <w:ins w:id="1367" w:author="Arshad Akhtar Abbasia" w:date="2026-10-04T12:00:00Z">
        <w:r>
          <w:t xml:space="preserve">Extending the response period moves one record out of violation under Semantics I, which is the expected behaviour: a longer deadline pushes one erasure collision past the end of its retention window, and Proposition 1 excludes exactly that case. Everything else is unchanged. The Corollary 1.2 count is identical because those collisions arise from the deletion ceiling rather than from any erasure request, and so do not involve δ at all. Semantics II yields zero violations at both settings, as Proposition 2 requires for any finite δ.</w:t>
        </w:r>
      </w:ins>
    </w:p>
    <w:p>
      <w:pPr>
        <w:pStyle w:val="BodyText"/>
        <w:rPr>
          <w:del w:id="1368" w:author="Arshad Akhtar Abbasia" w:date="2026-10-04T12:00:00Z"/>
        </w:rPr>
      </w:pPr>
      <w:del w:id="1369" w:author="Arshad Akhtar Abbasia" w:date="2026-10-04T12:00:00Z">
        <w:r>
          <w:delText xml:space="preserve">----------------------------------------------------------------------- Measure                                             δ = 1     δ = 3 --------------------------------------------------- --------- --------- Semantics I: records with violation                 90        89</w:delText>
        </w:r>
      </w:del>
    </w:p>
    <w:p>
      <w:pPr>
        <w:pStyle w:val="BodyText"/>
        <w:rPr>
          <w:del w:id="1370" w:author="Arshad Akhtar Abbasia" w:date="2026-10-04T12:00:00Z"/>
        </w:rPr>
      </w:pPr>
      <w:del w:id="1371" w:author="Arshad Akhtar Abbasia" w:date="2026-10-04T12:00:00Z">
        <w:r>
          <w:delText xml:space="preserve">Semantics I: total violations                       95        94</w:delText>
        </w:r>
      </w:del>
    </w:p>
    <w:p>
      <w:pPr>
        <w:pStyle w:val="BodyText"/>
        <w:rPr>
          <w:del w:id="1372" w:author="Arshad Akhtar Abbasia" w:date="2026-10-04T12:00:00Z"/>
        </w:rPr>
      </w:pPr>
      <w:del w:id="1373" w:author="Arshad Akhtar Abbasia" w:date="2026-10-04T12:00:00Z">
        <w:r>
          <w:delText xml:space="preserve">Corollary 1.2 witnesses                             39        39</w:delText>
        </w:r>
      </w:del>
    </w:p>
    <w:p>
      <w:pPr>
        <w:pStyle w:val="BodyText"/>
        <w:rPr>
          <w:del w:id="1374" w:author="Arshad Akhtar Abbasia" w:date="2026-10-04T12:00:00Z"/>
        </w:rPr>
      </w:pPr>
      <w:del w:id="1375" w:author="Arshad Akhtar Abbasia" w:date="2026-10-04T12:00:00Z">
        <w:r>
          <w:delText xml:space="preserve">Records invalidated                                 138       138</w:delText>
        </w:r>
      </w:del>
    </w:p>
    <w:p>
      <w:pPr>
        <w:pStyle w:val="BodyText"/>
        <w:rPr>
          <w:del w:id="1376" w:author="Arshad Akhtar Abbasia" w:date="2026-10-04T12:00:00Z"/>
        </w:rPr>
      </w:pPr>
      <w:del w:id="1377" w:author="Arshad Akhtar Abbasia" w:date="2026-10-04T12:00:00Z">
        <w:r>
          <w:delText xml:space="preserve">Semantics II: records with violation                0         0</w:delText>
        </w:r>
      </w:del>
    </w:p>
    <w:p>
      <w:pPr>
        <w:pStyle w:val="BodyText"/>
        <w:rPr>
          <w:del w:id="1378" w:author="Arshad Akhtar Abbasia" w:date="2026-10-04T12:00:00Z"/>
        </w:rPr>
      </w:pPr>
      <w:del w:id="1379" w:author="Arshad Akhtar Abbasia" w:date="2026-10-04T12:00:00Z">
        <w:r>
          <w:delText xml:space="preserve">Semantics II: total violations                      0         0 -----------------------------------------------------------------------</w:delText>
        </w:r>
      </w:del>
    </w:p>
    <w:p>
      <w:pPr>
        <w:pStyle w:val="BodyText"/>
        <w:rPr>
          <w:del w:id="1380" w:author="Arshad Akhtar Abbasia" w:date="2026-10-04T12:00:00Z"/>
        </w:rPr>
      </w:pPr>
      <w:del w:id="1381" w:author="Arshad Akhtar Abbasia" w:date="2026-10-04T12:00:00Z">
        <w:r>
          <w:delText xml:space="preserve">Extending the response period moves one record out of violation under Semantics I, which is the expected behaviour: a longer deadline pushes one erasure collision past the end of its retention window, and Theorem 1 excludes exactly that case. Everything else is unchanged. The Corollary 1.2 count is identical because those collisions arise from the deletion ceiling rather than from any erasure request, and so do not involve δ at all. Semantics II yields zero violations at both settings, as Theorem 2 requires for any finite δ.</w:delText>
        </w:r>
      </w:del>
    </w:p>
    <w:p>
      <w:pPr>
        <w:pStyle w:val="BodyText"/>
      </w:pPr>
      <w:r>
        <w:t xml:space="preserve">The run is reproduced with python3 trf_checker.py --delta-witness.</w:t>
      </w:r>
    </w:p>
    <w:p>
      <w:pPr>
        <w:pStyle w:val="Heading2"/>
      </w:pPr>
      <w:ins w:id="1382" w:author="Arshad Akhtar Abbasia" w:date="2026-10-04T12:00:00Z">
        <w:r>
          <w:t xml:space="preserve">5.7 </w:t>
        </w:r>
      </w:ins>
      <w:r>
        <w:t xml:space="preserve">Results under Semantics II</w:t>
      </w:r>
    </w:p>
    <w:p>
      <w:pPr>
        <w:pStyle w:val="BodyText"/>
      </w:pPr>
      <w:r>
        <w:t xml:space="preserve">The invalidation trajectory from the constructive proof of </w:t>
      </w:r>
      <w:del w:id="1383" w:author="Arshad Akhtar Abbasia" w:date="2026-10-04T12:00:00Z">
        <w:r>
          <w:delText xml:space="preserve">Theorem </w:delText>
        </w:r>
      </w:del>
      <w:ins w:id="1384" w:author="Arshad Akhtar Abbasia" w:date="2026-10-04T12:00:00Z">
        <w:r>
          <w:t xml:space="preserve">Proposition </w:t>
        </w:r>
      </w:ins>
      <w:r>
        <w:t xml:space="preserve">2 was then applied to every record: destroy the payload key at </w:t>
      </w:r>
      <w:del w:id="1385" w:author="Arshad Akhtar Abbasia" w:date="2026-10-04T12:00:00Z">
        <w:r>
          <w:delText xml:space="preserve">t^(I) = min(t_(r)+δ, </w:delText>
        </w:r>
      </w:del>
      <w:ins w:id="1386" w:author="Arshad Akhtar Abbasia" w:date="2026-10-04T12:00:00Z">
        <w:r>
          <w:t xml:space="preserve">t^(I) = min (t_(r)+δ, </w:t>
        </w:r>
      </w:ins>
      <w:r>
        <w:t xml:space="preserve">t_(π)+6), </w:t>
      </w:r>
      <w:ins w:id="1387" w:author="Arshad Akhtar Abbasia" w:date="2026-10-04T12:00:00Z">
        <w:r>
          <w:t xml:space="preserve">destroy the salt with it, </w:t>
        </w:r>
      </w:ins>
      <w:r>
        <w:t xml:space="preserve">append an invalidation entry recording the month, the legal ground, and the authorising actor, and retain </w:t>
      </w:r>
      <w:del w:id="1388" w:author="Arshad Akhtar Abbasia" w:date="2026-10-04T12:00:00Z">
        <w:r>
          <w:delText xml:space="preserve">metadata, commitment, </w:delText>
        </w:r>
      </w:del>
      <w:ins w:id="1389" w:author="Arshad Akhtar Abbasia" w:date="2026-10-04T12:00:00Z">
        <w:r>
          <w:t xml:space="preserve">metadata </w:t>
        </w:r>
      </w:ins>
      <w:r>
        <w:t xml:space="preserve">and </w:t>
      </w:r>
      <w:del w:id="1390" w:author="Arshad Akhtar Abbasia" w:date="2026-10-04T12:00:00Z">
        <w:r>
          <w:delText xml:space="preserve">salt </w:delText>
        </w:r>
      </w:del>
      <w:ins w:id="1391" w:author="Arshad Akhtar Abbasia" w:date="2026-10-04T12:00:00Z">
        <w:r>
          <w:t xml:space="preserve">commitment </w:t>
        </w:r>
      </w:ins>
      <w:r>
        <w:t xml:space="preserve">unchanged.</w:t>
      </w:r>
    </w:p>
    <w:p>
      <w:pPr>
        <w:pStyle w:val="BodyText"/>
      </w:pPr>
      <w:r>
        <w:t xml:space="preserve">Table </w:t>
      </w:r>
      <w:del w:id="1392" w:author="Arshad Akhtar Abbasia" w:date="2026-10-04T12:00:00Z">
        <w:r>
          <w:delText xml:space="preserve">5.3. </w:delText>
        </w:r>
      </w:del>
      <w:ins w:id="1393" w:author="Arshad Akhtar Abbasia" w:date="2026-10-04T12:00:00Z">
        <w:r>
          <w:t xml:space="preserve">5.6. </w:t>
        </w:r>
      </w:ins>
      <w:r>
        <w:t xml:space="preserve">Results under Semantics II (same 200 records, same seed)</w:t>
      </w:r>
    </w:p>
    <w:p>
      <w:pPr>
        <w:pStyle w:val="BodyText"/>
        <w:rPr>
          <w:ins w:id="1394" w:author="Arshad Akhtar Abbasia" w:date="2026-10-04T12:00:00Z"/>
        </w:rPr>
      </w:pPr>
      <w:ins w:id="1395" w:author="Arshad Akhtar Abbasia" w:date="2026-10-04T12:00:00Z">
        <w:r>
          <w:t xml:space="preserve">Measure Value -------------------------------------- ----------- Records invalidated 138 / 200 — on ground GDPR Article 17(1) 52 — on ground EHDS Article 68(12) 86 Records with ≥1 constraint violation 0 / 200 Total constraint violations 0</w:t>
        </w:r>
      </w:ins>
    </w:p>
    <w:p>
      <w:pPr>
        <w:pStyle w:val="BodyText"/>
        <w:rPr>
          <w:del w:id="1396" w:author="Arshad Akhtar Abbasia" w:date="2026-10-04T12:00:00Z"/>
        </w:rPr>
      </w:pPr>
      <w:del w:id="1397" w:author="Arshad Akhtar Abbasia" w:date="2026-10-04T12:00:00Z">
        <w:r>
          <w:delText xml:space="preserve">----------------------------------------------------------------------- Measure                                                     Value ----------------------------------------------------------- ----------- Records invalidated                                         138 / 200</w:delText>
        </w:r>
      </w:del>
    </w:p>
    <w:p>
      <w:pPr>
        <w:pStyle w:val="BodyText"/>
        <w:rPr>
          <w:del w:id="1398" w:author="Arshad Akhtar Abbasia" w:date="2026-10-04T12:00:00Z"/>
        </w:rPr>
      </w:pPr>
      <w:del w:id="1399" w:author="Arshad Akhtar Abbasia" w:date="2026-10-04T12:00:00Z">
        <w:r>
          <w:delText xml:space="preserve">— on ground GDPR Article 17(1)                              52</w:delText>
        </w:r>
      </w:del>
    </w:p>
    <w:p>
      <w:pPr>
        <w:pStyle w:val="BodyText"/>
        <w:rPr>
          <w:del w:id="1400" w:author="Arshad Akhtar Abbasia" w:date="2026-10-04T12:00:00Z"/>
        </w:rPr>
      </w:pPr>
      <w:del w:id="1401" w:author="Arshad Akhtar Abbasia" w:date="2026-10-04T12:00:00Z">
        <w:r>
          <w:delText xml:space="preserve">— on ground EHDS Article 68(12)                             86</w:delText>
        </w:r>
      </w:del>
    </w:p>
    <w:p>
      <w:pPr>
        <w:pStyle w:val="BodyText"/>
        <w:rPr>
          <w:del w:id="1402" w:author="Arshad Akhtar Abbasia" w:date="2026-10-04T12:00:00Z"/>
        </w:rPr>
      </w:pPr>
      <w:del w:id="1403" w:author="Arshad Akhtar Abbasia" w:date="2026-10-04T12:00:00Z">
        <w:r>
          <w:delText xml:space="preserve">Records with ≥1 constraint violation                        0 / 200</w:delText>
        </w:r>
      </w:del>
    </w:p>
    <w:p>
      <w:pPr>
        <w:pStyle w:val="BodyText"/>
        <w:rPr>
          <w:del w:id="1404" w:author="Arshad Akhtar Abbasia" w:date="2026-10-04T12:00:00Z"/>
        </w:rPr>
      </w:pPr>
      <w:del w:id="1405" w:author="Arshad Akhtar Abbasia" w:date="2026-10-04T12:00:00Z">
        <w:r>
          <w:delText xml:space="preserve">Total constraint violations                                 0 -----------------------------------------------------------------------</w:delText>
        </w:r>
      </w:del>
    </w:p>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BodyText"/>
      </w:pPr>
      <w:del w:id="1406" w:author="Arshad Akhtar Abbasia" w:date="2026-10-04T12:00:00Z">
        <w:r>
          <w:delText xml:space="preserve">metadata intact </w:delText>
        </w:r>
      </w:del>
      <w:ins w:id="1407" w:author="Arshad Akhtar Abbasia" w:date="2026-10-04T12:00:00Z">
        <w:r>
          <w:t xml:space="preserve">accessor fields </w:t>
        </w:r>
      </w:ins>
      <w:r>
        <w:t xml:space="preserve">: True </w:t>
      </w:r>
      <w:del w:id="1408" w:author="Arshad Akhtar Abbasia" w:date="2026-10-04T12:00:00Z">
        <w:r>
          <w:delText xml:space="preserve">— actor=HP-026, ncp=NO, </w:delText>
        </w:r>
      </w:del>
      <w:ins w:id="1409" w:author="Arshad Akhtar Abbasia" w:date="2026-10-04T12:00:00Z">
        <w:r>
          <w:t xml:space="preserve">actor=R-008 permit=DP-015 </w:t>
        </w:r>
      </w:ins>
      <w:r>
        <w:t xml:space="preserve">outcome=success </w:t>
      </w:r>
      <w:ins w:id="1410" w:author="Arshad Akhtar Abbasia" w:date="2026-10-04T12:00:00Z">
        <w:r>
          <w:t xml:space="preserve">subject link : removed month 16 </w:t>
        </w:r>
      </w:ins>
      <w:r>
        <w:t xml:space="preserve">commitment c(a) : </w:t>
      </w:r>
      <w:del w:id="1411" w:author="Arshad Akhtar Abbasia" w:date="2026-10-04T12:00:00Z">
        <w:r>
          <w:delText xml:space="preserve">11087780fd192c8fdaa237081ee0bb11… </w:delText>
        </w:r>
      </w:del>
      <w:ins w:id="1412" w:author="Arshad Akhtar Abbasia" w:date="2026-10-04T12:00:00Z">
        <w:r>
          <w:t xml:space="preserve">678ade47c1e6dc03296175e056fd8116... </w:t>
        </w:r>
      </w:ins>
      <w:r>
        <w:t xml:space="preserve">payload key k(a) : None </w:t>
      </w:r>
      <w:del w:id="1413" w:author="Arshad Akhtar Abbasia" w:date="2026-10-04T12:00:00Z">
        <w:r>
          <w:delText xml:space="preserve">← </w:delText>
        </w:r>
      </w:del>
      <w:ins w:id="1414" w:author="Arshad Akhtar Abbasia" w:date="2026-10-04T12:00:00Z">
        <w:r>
          <w:t xml:space="preserve">&lt;- </w:t>
        </w:r>
      </w:ins>
      <w:r>
        <w:t xml:space="preserve">destroyed </w:t>
      </w:r>
      <w:ins w:id="1415" w:author="Arshad Akhtar Abbasia" w:date="2026-10-04T12:00:00Z">
        <w:r>
          <w:t xml:space="preserve">salt, ciphertext : None, None &lt;- destroyed, deleted </w:t>
        </w:r>
      </w:ins>
      <w:r>
        <w:t xml:space="preserve">invalidation </w:t>
      </w:r>
      <w:del w:id="1416" w:author="Arshad Akhtar Abbasia" w:date="2026-10-04T12:00:00Z">
        <w:r>
          <w:delText xml:space="preserve">ι(a) </w:delText>
        </w:r>
      </w:del>
      <w:ins w:id="1417" w:author="Arshad Akhtar Abbasia" w:date="2026-10-04T12:00:00Z">
        <w:r>
          <w:t xml:space="preserve">iota(a) </w:t>
        </w:r>
      </w:ins>
      <w:r>
        <w:t xml:space="preserve">: </w:t>
      </w:r>
      <w:del w:id="1418" w:author="Arshad Akhtar Abbasia" w:date="2026-10-04T12:00:00Z">
        <w:r>
          <w:delText xml:space="preserve">month=16, </w:delText>
        </w:r>
      </w:del>
      <w:ins w:id="1419" w:author="Arshad Akhtar Abbasia" w:date="2026-10-04T12:00:00Z">
        <w:r>
          <w:t xml:space="preserve">month=16 </w:t>
        </w:r>
      </w:ins>
      <w:r>
        <w:t xml:space="preserve">ground=EHDS Art 68(12) payload readable? : False</w:t>
      </w:r>
    </w:p>
    <w:p>
      <w:pPr>
        <w:pStyle w:val="BodyText"/>
      </w:pPr>
      <w:r>
        <w:t xml:space="preserve">This is the state the mechanism is designed to produce, and it is worth reading against what Semantics I would have demanded. The access event is fully established: which </w:t>
      </w:r>
      <w:del w:id="1420" w:author="Arshad Akhtar Abbasia" w:date="2026-10-04T12:00:00Z">
        <w:r>
          <w:delText xml:space="preserve">health professional, at </w:delText>
        </w:r>
      </w:del>
      <w:ins w:id="1421" w:author="Arshad Akhtar Abbasia" w:date="2026-10-04T12:00:00Z">
        <w:r>
          <w:t xml:space="preserve">researcher, under </w:t>
        </w:r>
      </w:ins>
      <w:r>
        <w:t xml:space="preserve">which </w:t>
      </w:r>
      <w:del w:id="1422" w:author="Arshad Akhtar Abbasia" w:date="2026-10-04T12:00:00Z">
        <w:r>
          <w:delText xml:space="preserve">contact point, </w:delText>
        </w:r>
      </w:del>
      <w:ins w:id="1423" w:author="Arshad Akhtar Abbasia" w:date="2026-10-04T12:00:00Z">
        <w:r>
          <w:t xml:space="preserve">permit, </w:t>
        </w:r>
      </w:ins>
      <w:r>
        <w:t xml:space="preserve">with what outcome. </w:t>
      </w:r>
      <w:ins w:id="1424" w:author="Arshad Akhtar Abbasia" w:date="2026-10-04T12:00:00Z">
        <w:r>
          <w:t xml:space="preserve">The link to the patient was removed at the ceiling, and its removal is itself a logged entry. </w:t>
        </w:r>
      </w:ins>
      <w:r>
        <w:t xml:space="preserve">The binding to a specific payload survives in the commitment. The invalidation is itself a logged, grounded, attributed event rather than a silent absence. And the payload is unreadable, at month nineteen as at month sixteen. An auditor examining this record learns everything accountability requires and nothing the erasure obligation forbids.</w:t>
      </w:r>
    </w:p>
    <w:p>
      <w:pPr>
        <w:pStyle w:val="BodyText"/>
        <w:rPr>
          <w:ins w:id="1425" w:author="Arshad Akhtar Abbasia" w:date="2026-10-04T12:00:00Z"/>
        </w:rPr>
      </w:pPr>
      <w:ins w:id="1426" w:author="Arshad Akhtar Abbasia" w:date="2026-10-04T12:00:00Z">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 V^(II) fail; restoring them makes it hold again (Appendix A, A.16). The Semantics II result of Table 5.6 therefore rests on a check that can fail, which a test of the fields’ presence alone could not.</w:t>
        </w:r>
      </w:ins>
    </w:p>
    <w:p>
      <w:pPr>
        <w:pStyle w:val="Heading2"/>
      </w:pPr>
      <w:ins w:id="1427" w:author="Arshad Akhtar Abbasia" w:date="2026-10-04T12:00:00Z">
        <w:r>
          <w:t xml:space="preserve">5.8 </w:t>
        </w:r>
      </w:ins>
      <w:r>
        <w:t xml:space="preserve">What the Demonstration Establishes, and What It Does Not</w:t>
      </w:r>
    </w:p>
    <w:p>
      <w:pPr>
        <w:pStyle w:val="BodyText"/>
      </w:pPr>
      <w:r>
        <w:t xml:space="preserve">Established. Both </w:t>
      </w:r>
      <w:del w:id="1428" w:author="Arshad Akhtar Abbasia" w:date="2026-10-04T12:00:00Z">
        <w:r>
          <w:delText xml:space="preserve">theorems </w:delText>
        </w:r>
      </w:del>
      <w:ins w:id="1429" w:author="Arshad Akhtar Abbasia" w:date="2026-10-04T12:00:00Z">
        <w:r>
          <w:t xml:space="preserve">propositions </w:t>
        </w:r>
      </w:ins>
      <w:r>
        <w:t xml:space="preserve">hold on all two hundred generated instances. </w:t>
      </w:r>
      <w:del w:id="1430" w:author="Arshad Akhtar Abbasia" w:date="2026-10-04T12:00:00Z">
        <w:r>
          <w:delText xml:space="preserve">Theorem </w:delText>
        </w:r>
      </w:del>
      <w:ins w:id="1431" w:author="Arshad Akhtar Abbasia" w:date="2026-10-04T12:00:00Z">
        <w:r>
          <w:t xml:space="preserve">Proposition </w:t>
        </w:r>
      </w:ins>
      <w:r>
        <w:t xml:space="preserve">1’s conditional structure is reproduced exactly, including the boundary case of the request falling outside the window. Corollary 1.2 has thirty-nine </w:t>
      </w:r>
      <w:del w:id="1432" w:author="Arshad Akhtar Abbasia" w:date="2026-10-04T12:00:00Z">
        <w:r>
          <w:delText xml:space="preserve">concrete </w:delText>
        </w:r>
      </w:del>
      <w:r>
        <w:t xml:space="preserve">witnesses </w:t>
      </w:r>
      <w:ins w:id="1433" w:author="Arshad Akhtar Abbasia" w:date="2026-10-04T12:00:00Z">
        <w:r>
          <w:t xml:space="preserve">in the model: records </w:t>
        </w:r>
      </w:ins>
      <w:r>
        <w:t xml:space="preserve">in which two provisions of one regulation collide over one environment with no data-subject action involved. The infeasibility results survive </w:t>
      </w:r>
      <w:del w:id="1434" w:author="Arshad Akhtar Abbasia" w:date="2026-10-04T12:00:00Z">
        <w:r>
          <w:delText xml:space="preserve">an </w:delText>
        </w:r>
      </w:del>
      <w:ins w:id="1435" w:author="Arshad Akhtar Abbasia" w:date="2026-10-04T12:00:00Z">
        <w:r>
          <w:t xml:space="preserve">a </w:t>
        </w:r>
      </w:ins>
      <w:r>
        <w:t xml:space="preserve">separately written exhaustive search that considers every possible accessibility assignment rather than only the trajectory the main checker examines. The invalidation trajectory eliminates every violation without introducing any.</w:t>
      </w:r>
    </w:p>
    <w:p>
      <w:pPr>
        <w:pStyle w:val="BodyText"/>
      </w:pPr>
      <w:r>
        <w:t xml:space="preserve">Not established, and not claimed. The demonstration does not prove the </w:t>
      </w:r>
      <w:del w:id="1436" w:author="Arshad Akhtar Abbasia" w:date="2026-10-04T12:00:00Z">
        <w:r>
          <w:delText xml:space="preserve">theorems </w:delText>
        </w:r>
      </w:del>
      <w:ins w:id="1437" w:author="Arshad Akhtar Abbasia" w:date="2026-10-04T12:00:00Z">
        <w:r>
          <w:t xml:space="preserve">propositions </w:t>
        </w:r>
      </w:ins>
      <w:r>
        <w:t xml:space="preserve">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w:t>
      </w:r>
      <w:del w:id="1438" w:author="Arshad Akhtar Abbasia" w:date="2026-10-04T12:00:00Z">
        <w:r>
          <w:delText xml:space="preserve">deployment: </w:delText>
        </w:r>
      </w:del>
      <w:ins w:id="1439" w:author="Arshad Akhtar Abbasia" w:date="2026-10-04T12:00:00Z">
        <w:r>
          <w:t xml:space="preserve">deployment. An optional module repeats the lifecycle with real AES-256-GCM envelope encryption (Appendix A, A.15 and A.22): after the 138 scheduled destructions exactly those records refuse to decrypt and the other 62 still read, so unreadability is executed rather than asserted; the keys are still destroyed in program memory, not in hardware: </w:t>
        </w:r>
      </w:ins>
      <w:r>
        <w:t xml:space="preserve">the limitation that Chapter 2 drew from the secure-deletion literature and that Chapter 6 engages.</w:t>
      </w:r>
    </w:p>
    <w:p>
      <w:pPr>
        <w:pStyle w:val="BodyText"/>
      </w:pPr>
      <w:r>
        <w:t xml:space="preserve">How the tables should be read. The Semantics II result of Table </w:t>
      </w:r>
      <w:del w:id="1440" w:author="Arshad Akhtar Abbasia" w:date="2026-10-04T12:00:00Z">
        <w:r>
          <w:delText xml:space="preserve">5.3 </w:delText>
        </w:r>
      </w:del>
      <w:ins w:id="1441" w:author="Arshad Akhtar Abbasia" w:date="2026-10-04T12:00:00Z">
        <w:r>
          <w:t xml:space="preserve">5.6 </w:t>
        </w:r>
      </w:ins>
      <w:r>
        <w:t xml:space="preserve">holds by construction: the checker derives payload accessibility from the same invalidation month that the trajectory of </w:t>
      </w:r>
      <w:del w:id="1442" w:author="Arshad Akhtar Abbasia" w:date="2026-10-04T12:00:00Z">
        <w:r>
          <w:delText xml:space="preserve">Theorem </w:delText>
        </w:r>
      </w:del>
      <w:ins w:id="1443" w:author="Arshad Akhtar Abbasia" w:date="2026-10-04T12:00:00Z">
        <w:r>
          <w:t xml:space="preserve">Proposition </w:t>
        </w:r>
      </w:ins>
      <w:r>
        <w:t xml:space="preserve">2 prescribes, so zero violations is the expected outcome, and a failure would expose an implementation error and not a modelling error. The </w:t>
      </w:r>
      <w:del w:id="1444" w:author="Arshad Akhtar Abbasia" w:date="2026-10-04T12:00:00Z">
        <w:r>
          <w:delText xml:space="preserve">violation </w:delText>
        </w:r>
      </w:del>
      <w:r>
        <w:t xml:space="preserve">rates of Table </w:t>
      </w:r>
      <w:del w:id="1445" w:author="Arshad Akhtar Abbasia" w:date="2026-10-04T12:00:00Z">
        <w:r>
          <w:delText xml:space="preserve">5.1 </w:delText>
        </w:r>
      </w:del>
      <w:ins w:id="1446" w:author="Arshad Akhtar Abbasia" w:date="2026-10-04T12:00:00Z">
        <w:r>
          <w:t xml:space="preserve">5.3 </w:t>
        </w:r>
      </w:ins>
      <w:r>
        <w:t xml:space="preserve">are </w:t>
      </w:r>
      <w:del w:id="1447" w:author="Arshad Akhtar Abbasia" w:date="2026-10-04T12:00:00Z">
        <w:r>
          <w:delText xml:space="preserve">functions of the generator parameters in Table 5.0 and are not estimates of real frequency.</w:delText>
        </w:r>
      </w:del>
      <w:ins w:id="1448" w:author="Arshad Akhtar Abbasia" w:date="2026-10-04T12:00:00Z">
        <w:r>
          <w:t xml:space="preserve">read as Section 5.3 states.</w:t>
        </w:r>
      </w:ins>
    </w:p>
    <w:p>
      <w:pPr>
        <w:pStyle w:val="BodyText"/>
      </w:pPr>
      <w:r>
        <w:t xml:space="preserve">Payload </w:t>
      </w:r>
      <w:del w:id="1449" w:author="Arshad Akhtar Abbasia" w:date="2026-10-04T12:00:00Z">
        <w:r>
          <w:delText xml:space="preserve">provenance, tested rather than assumed. </w:delText>
        </w:r>
      </w:del>
      <w:ins w:id="1450" w:author="Arshad Akhtar Abbasia" w:date="2026-10-04T12:00:00Z">
        <w:r>
          <w:t xml:space="preserve">provenance. The realism layer specified in </w:t>
        </w:r>
      </w:ins>
      <w:r>
        <w:t xml:space="preserve">Chapter 3, Section 3.6 </w:t>
      </w:r>
      <w:del w:id="1451" w:author="Arshad Akhtar Abbasia" w:date="2026-10-04T12:00:00Z">
        <w:r>
          <w:delText xml:space="preserve">specifies a realism layer feeding Synthea-generated records into the checker. That layer </w:delText>
        </w:r>
      </w:del>
      <w:r>
        <w:t xml:space="preserve">was built and </w:t>
      </w:r>
      <w:del w:id="1452" w:author="Arshad Akhtar Abbasia" w:date="2026-10-04T12:00:00Z">
        <w:r>
          <w:delText xml:space="preserve">executed, and </w:delText>
        </w:r>
      </w:del>
      <w:ins w:id="1453" w:author="Arshad Akhtar Abbasia" w:date="2026-10-04T12:00:00Z">
        <w:r>
          <w:t xml:space="preserve">executed; </w:t>
        </w:r>
      </w:ins>
      <w:r>
        <w:t xml:space="preserve">its result </w:t>
      </w:r>
      <w:del w:id="1454" w:author="Arshad Akhtar Abbasia" w:date="2026-10-04T12:00:00Z">
        <w:r>
          <w:delText xml:space="preserve">is reported here because it </w:delText>
        </w:r>
      </w:del>
      <w:r>
        <w:t xml:space="preserve">bears on how much the </w:t>
      </w:r>
      <w:del w:id="1455" w:author="Arshad Akhtar Abbasia" w:date="2026-10-04T12:00:00Z">
        <w:r>
          <w:delText xml:space="preserve">demonstration’s </w:delText>
        </w:r>
      </w:del>
      <w:r>
        <w:t xml:space="preserve">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w:t>
      </w:r>
      <w:ins w:id="1456" w:author="Arshad Akhtar Abbasia" w:date="2026-10-04T12:00:00Z">
        <w:r>
          <w:t xml:space="preserve">43 bytes to 891 with the committed subset and to 1,006 with the full cohort, whose run was recorded before the constructed payloads were revised on 3 October 2026 and shows </w:t>
        </w:r>
      </w:ins>
      <w:r>
        <w:t xml:space="preserve">35 bytes </w:t>
      </w:r>
      <w:del w:id="1457" w:author="Arshad Akhtar Abbasia" w:date="2026-10-04T12:00:00Z">
        <w:r>
          <w:delText xml:space="preserve">to 1,006. </w:delText>
        </w:r>
      </w:del>
      <w:ins w:id="1458" w:author="Arshad Akhtar Abbasia" w:date="2026-10-04T12:00:00Z">
        <w:r>
          <w:t xml:space="preserve">on the constructed side (Appendix A, A.17). </w:t>
        </w:r>
      </w:ins>
      <w:r>
        <w:t xml:space="preserve">All two hundred commitments change, confirming that the payloads genuinely differ.</w:t>
      </w:r>
    </w:p>
    <w:p>
      <w:pPr>
        <w:pStyle w:val="BodyText"/>
      </w:pPr>
      <w:r>
        <w:t xml:space="preserve">Table </w:t>
      </w:r>
      <w:del w:id="1459" w:author="Arshad Akhtar Abbasia" w:date="2026-10-04T12:00:00Z">
        <w:r>
          <w:delText xml:space="preserve">5.4. </w:delText>
        </w:r>
      </w:del>
      <w:ins w:id="1460" w:author="Arshad Akhtar Abbasia" w:date="2026-10-04T12:00:00Z">
        <w:r>
          <w:t xml:space="preserve">5.7. </w:t>
        </w:r>
      </w:ins>
      <w:r>
        <w:t xml:space="preserve">Constructed against Synthea-generated payloads (same seed, same timings)</w:t>
      </w:r>
    </w:p>
    <w:p>
      <w:pPr>
        <w:pStyle w:val="BodyText"/>
        <w:rPr>
          <w:ins w:id="1461" w:author="Arshad Akhtar Abbasia" w:date="2026-10-04T12:00:00Z"/>
        </w:rPr>
      </w:pPr>
      <w:ins w:id="1462" w:author="Arshad Akhtar Abbasia" w:date="2026-10-04T12:00:00Z">
        <w:r>
          <w:t xml:space="preserve">Measure Constructed Synthea ---------------------------------------------- ------------- ----------- Semantics I: records with violation 90 90 Semantics I: total violations 95 95 Corollary 1.2 witnesses (no erasure request) 39 39 Records invalidated 138 138 Semantics II: records with violation 0 0 Semantics II: total violations 0 0 Commitments differing between runs — 200 / 200</w:t>
        </w:r>
      </w:ins>
    </w:p>
    <w:p>
      <w:pPr>
        <w:pStyle w:val="BodyText"/>
        <w:rPr>
          <w:ins w:id="1463" w:author="Arshad Akhtar Abbasia" w:date="2026-10-04T12:00:00Z"/>
        </w:rPr>
      </w:pPr>
      <w:ins w:id="1464" w:author="Arshad Akhtar Abbasia" w:date="2026-10-04T12:00:00Z">
        <w:r>
          <w:t xml:space="preserve">Every reported figure is identical while every commitment differs. This is the expected result: no constraint in the TRF Model reads the content of a payload, so the results are functions of timing and accessibility alone, and the comparison tests that claim against inputs that demonstrably changed.</w:t>
        </w:r>
      </w:ins>
    </w:p>
    <w:p>
      <w:pPr>
        <w:pStyle w:val="BodyText"/>
        <w:rPr>
          <w:ins w:id="1465" w:author="Arshad Akhtar Abbasia" w:date="2026-10-04T12:00:00Z"/>
        </w:rPr>
      </w:pPr>
      <w:ins w:id="1466" w:author="Arshad Akhtar Abbasia" w:date="2026-10-04T12:00:00Z">
        <w:r>
          <w:t xml:space="preserve">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so neither the size of the cohort nor the frequency with which payloads repeat affects any reported figure.</w:t>
        </w:r>
      </w:ins>
    </w:p>
    <w:p>
      <w:pPr>
        <w:pStyle w:val="BodyText"/>
        <w:rPr>
          <w:ins w:id="1467" w:author="Arshad Akhtar Abbasia" w:date="2026-10-04T12:00:00Z"/>
        </w:rPr>
      </w:pPr>
      <w:ins w:id="1468" w:author="Arshad Akhtar Abbasia" w:date="2026-10-04T12:00:00Z">
        <w:r>
          <w:t xml:space="preserve">The generated records carry US Core profiles, not the Norwegian basisprofiler; Chapter 3, Section 3.5 states why that cannot affect any figure here, and the invariance above confirms it.</w:t>
        </w:r>
      </w:ins>
    </w:p>
    <w:p>
      <w:pPr>
        <w:pStyle w:val="BodyText"/>
        <w:rPr>
          <w:del w:id="1469" w:author="Arshad Akhtar Abbasia" w:date="2026-10-04T12:00:00Z"/>
        </w:rPr>
      </w:pPr>
      <w:del w:id="1470" w:author="Arshad Akhtar Abbasia" w:date="2026-10-04T12:00:00Z">
        <w:r>
          <w:delText xml:space="preserve">------------------------------------------------------------------------------ Measure                                              Constructed   Synthea ---------------------------------------------------- ------------- ----------- Semantics I: records with violation                  90            90</w:delText>
        </w:r>
      </w:del>
    </w:p>
    <w:p>
      <w:pPr>
        <w:pStyle w:val="BodyText"/>
        <w:rPr>
          <w:del w:id="1471" w:author="Arshad Akhtar Abbasia" w:date="2026-10-04T12:00:00Z"/>
        </w:rPr>
      </w:pPr>
      <w:del w:id="1472" w:author="Arshad Akhtar Abbasia" w:date="2026-10-04T12:00:00Z">
        <w:r>
          <w:delText xml:space="preserve">Semantics I: total violations                        95            95</w:delText>
        </w:r>
      </w:del>
    </w:p>
    <w:p>
      <w:pPr>
        <w:pStyle w:val="BodyText"/>
        <w:rPr>
          <w:del w:id="1473" w:author="Arshad Akhtar Abbasia" w:date="2026-10-04T12:00:00Z"/>
        </w:rPr>
      </w:pPr>
      <w:del w:id="1474" w:author="Arshad Akhtar Abbasia" w:date="2026-10-04T12:00:00Z">
        <w:r>
          <w:delText xml:space="preserve">Corollary 1.2 witnesses (no erasure request)         39            39</w:delText>
        </w:r>
      </w:del>
    </w:p>
    <w:p>
      <w:pPr>
        <w:pStyle w:val="BodyText"/>
        <w:rPr>
          <w:del w:id="1475" w:author="Arshad Akhtar Abbasia" w:date="2026-10-04T12:00:00Z"/>
        </w:rPr>
      </w:pPr>
      <w:del w:id="1476" w:author="Arshad Akhtar Abbasia" w:date="2026-10-04T12:00:00Z">
        <w:r>
          <w:delText xml:space="preserve">Records invalidated                                  138           138</w:delText>
        </w:r>
      </w:del>
    </w:p>
    <w:p>
      <w:pPr>
        <w:pStyle w:val="BodyText"/>
        <w:rPr>
          <w:del w:id="1477" w:author="Arshad Akhtar Abbasia" w:date="2026-10-04T12:00:00Z"/>
        </w:rPr>
      </w:pPr>
      <w:del w:id="1478" w:author="Arshad Akhtar Abbasia" w:date="2026-10-04T12:00:00Z">
        <w:r>
          <w:delText xml:space="preserve">Semantics II: records with violation                 0             0</w:delText>
        </w:r>
      </w:del>
    </w:p>
    <w:p>
      <w:pPr>
        <w:pStyle w:val="BodyText"/>
        <w:rPr>
          <w:del w:id="1479" w:author="Arshad Akhtar Abbasia" w:date="2026-10-04T12:00:00Z"/>
        </w:rPr>
      </w:pPr>
      <w:del w:id="1480" w:author="Arshad Akhtar Abbasia" w:date="2026-10-04T12:00:00Z">
        <w:r>
          <w:delText xml:space="preserve">Semantics II: total violations                       0             0</w:delText>
        </w:r>
      </w:del>
    </w:p>
    <w:p>
      <w:pPr>
        <w:pStyle w:val="BodyText"/>
        <w:rPr>
          <w:del w:id="1481" w:author="Arshad Akhtar Abbasia" w:date="2026-10-04T12:00:00Z"/>
        </w:rPr>
      </w:pPr>
      <w:del w:id="1482" w:author="Arshad Akhtar Abbasia" w:date="2026-10-04T12:00:00Z">
        <w:r>
          <w:delText xml:space="preserve">Commitments differing between runs                   —             200 / 200 ------------------------------------------------------------------------------</w:delText>
        </w:r>
      </w:del>
    </w:p>
    <w:p>
      <w:pPr>
        <w:pStyle w:val="BodyText"/>
        <w:rPr>
          <w:del w:id="1483" w:author="Arshad Akhtar Abbasia" w:date="2026-10-04T12:00:00Z"/>
        </w:rPr>
      </w:pPr>
      <w:del w:id="1484" w:author="Arshad Akhtar Abbasia" w:date="2026-10-04T12:00:00Z">
        <w:r>
          <w:delText xml:space="preserve">Every reported figure is identical while every commitment differs. This is the expected result and the model would be defective if it were otherwise: no constraint in the TRF Model reads the content of a payload, so the results are functions of timing and accessibility alone. The value of running the comparison rather than asserting the invariance is that a reader can see the claim tested against a case where the inputs demonstrably changed.</w:delText>
        </w:r>
      </w:del>
    </w:p>
    <w:p>
      <w:pPr>
        <w:pStyle w:val="BodyText"/>
        <w:rPr>
          <w:del w:id="1485" w:author="Arshad Akhtar Abbasia" w:date="2026-10-04T12:00:00Z"/>
        </w:rPr>
      </w:pPr>
      <w:del w:id="1486" w:author="Arshad Akhtar Abbasia" w:date="2026-10-04T12:00:00Z">
        <w:r>
          <w:delText xml:space="preserve">The invariance was tested a second time against a different cohort size, because a result that held only at one cohort size would be weaker than it appears. 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Neither the size of the cohort nor the frequency with which payloads repeat affects any reported figure, which is the strongest form in which the payload-independence claim can be made from execution.</w:delText>
        </w:r>
      </w:del>
    </w:p>
    <w:p>
      <w:pPr>
        <w:pStyle w:val="BodyText"/>
        <w:rPr>
          <w:del w:id="1487" w:author="Arshad Akhtar Abbasia" w:date="2026-10-04T12:00:00Z"/>
        </w:rPr>
      </w:pPr>
      <w:del w:id="1488" w:author="Arshad Akhtar Abbasia" w:date="2026-10-04T12:00:00Z">
        <w:r>
          <w:delText xml:space="preserve">One limitation of the generated cohort is carried forward. Synthea’s default export conforms to US Core profiles with United States demographics and care patterns, not to the Norwegian basisprofiler (HL7 Norway, 2025). The FHIR version matches Norway’s, the resource structure is genuine, and the invariance result above establishes that the mismatch cannot affect any figure in this chapter. But no claim of Norwegian clinical representativeness is made for the records. The thesis’s Norwegian grounding rests on the infrastructure analysis of Chapter 4, Section 4.11 rather than on the synthetic population.</w:delText>
        </w:r>
      </w:del>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del w:id="1489" w:author="Arshad Akhtar Abbasia" w:date="2026-10-04T12:00:00Z">
        <w:r>
          <w:delText xml:space="preserve">The artefact is publicly available, which converts the reproducibility claim from an assertion into something a reader can test while reading. </w:delText>
        </w:r>
      </w:del>
      <w:r>
        <w:t xml:space="preserve">The source repository and a hosted demonstration are listed in Appendix A. The hosted application executes the same unmodified </w:t>
      </w:r>
      <w:del w:id="1490" w:author="Arshad Akhtar Abbasia" w:date="2026-10-04T12:00:00Z">
        <w:r>
          <w:delText xml:space="preserve">source and verifies, </w:delText>
        </w:r>
      </w:del>
      <w:ins w:id="1491" w:author="Arshad Akhtar Abbasia" w:date="2026-10-04T12:00:00Z">
        <w:r>
          <w:t xml:space="preserve">source, checks </w:t>
        </w:r>
      </w:ins>
      <w:r>
        <w:t xml:space="preserve">at </w:t>
      </w:r>
      <w:del w:id="1492" w:author="Arshad Akhtar Abbasia" w:date="2026-10-04T12:00:00Z">
        <w:r>
          <w:delText xml:space="preserve">the point of execution, </w:delText>
        </w:r>
      </w:del>
      <w:ins w:id="1493" w:author="Arshad Akhtar Abbasia" w:date="2026-10-04T12:00:00Z">
        <w:r>
          <w:t xml:space="preserve">execution </w:t>
        </w:r>
      </w:ins>
      <w:r>
        <w:t xml:space="preserve">that its run reproduces the figures </w:t>
      </w:r>
      <w:del w:id="1494" w:author="Arshad Akhtar Abbasia" w:date="2026-10-04T12:00:00Z">
        <w:r>
          <w:delText xml:space="preserve">reported </w:delText>
        </w:r>
      </w:del>
      <w:r>
        <w:t xml:space="preserve">in this </w:t>
      </w:r>
      <w:del w:id="1495" w:author="Arshad Akhtar Abbasia" w:date="2026-10-04T12:00:00Z">
        <w:r>
          <w:delText xml:space="preserve">chapter; it reports </w:delText>
        </w:r>
      </w:del>
      <w:ins w:id="1496" w:author="Arshad Akhtar Abbasia" w:date="2026-10-04T12:00:00Z">
        <w:r>
          <w:t xml:space="preserve">chapter, and shows </w:t>
        </w:r>
      </w:ins>
      <w:r>
        <w:t xml:space="preserve">a failure notice rather than results if it does not. No claim </w:t>
      </w:r>
      <w:del w:id="1497" w:author="Arshad Akhtar Abbasia" w:date="2026-10-04T12:00:00Z">
        <w:r>
          <w:delText xml:space="preserve">in this thesis </w:delText>
        </w:r>
      </w:del>
      <w:r>
        <w:t xml:space="preserve">depends on the </w:t>
      </w:r>
      <w:del w:id="1498" w:author="Arshad Akhtar Abbasia" w:date="2026-10-04T12:00:00Z">
        <w:r>
          <w:delText xml:space="preserve">hosted application </w:delText>
        </w:r>
      </w:del>
      <w:ins w:id="1499" w:author="Arshad Akhtar Abbasia" w:date="2026-10-04T12:00:00Z">
        <w:r>
          <w:t xml:space="preserve">hosting </w:t>
        </w:r>
      </w:ins>
      <w:r>
        <w:t xml:space="preserve">remaining </w:t>
      </w:r>
      <w:del w:id="1500" w:author="Arshad Akhtar Abbasia" w:date="2026-10-04T12:00:00Z">
        <w:r>
          <w:delText xml:space="preserve">available, and </w:delText>
        </w:r>
      </w:del>
      <w:ins w:id="1501" w:author="Arshad Akhtar Abbasia" w:date="2026-10-04T12:00:00Z">
        <w:r>
          <w:t xml:space="preserve">available; </w:t>
        </w:r>
      </w:ins>
      <w:r>
        <w:t xml:space="preserve">the </w:t>
      </w:r>
      <w:del w:id="1502" w:author="Arshad Akhtar Abbasia" w:date="2026-10-04T12:00:00Z">
        <w:r>
          <w:delText xml:space="preserve">repository, not the hosting, </w:delText>
        </w:r>
      </w:del>
      <w:ins w:id="1503" w:author="Arshad Akhtar Abbasia" w:date="2026-10-04T12:00:00Z">
        <w:r>
          <w:t xml:space="preserve">repository </w:t>
        </w:r>
      </w:ins>
      <w:r>
        <w:t xml:space="preserve">is the </w:t>
      </w:r>
      <w:del w:id="1504" w:author="Arshad Akhtar Abbasia" w:date="2026-10-04T12:00:00Z">
        <w:r>
          <w:delText xml:space="preserve">artefact.</w:delText>
        </w:r>
      </w:del>
      <w:ins w:id="1505" w:author="Arshad Akhtar Abbasia" w:date="2026-10-04T12:00:00Z">
        <w:r>
          <w:t xml:space="preserve">artefact. The demonstration thus supports the claim Chapter 1 made for it: the artefact behaves as specified, and Propositions 1 and 2 are checkable by a reader who declines to take the proofs on trust. Chapter 6 takes up what follows from them.</w:t>
        </w:r>
      </w:ins>
    </w:p>
    <w:p>
      <w:pPr>
        <w:pStyle w:val="BodyText"/>
        <w:rPr>
          <w:del w:id="1506" w:author="Arshad Akhtar Abbasia" w:date="2026-10-04T12:00:00Z"/>
        </w:rPr>
      </w:pPr>
      <w:del w:id="1507" w:author="Arshad Akhtar Abbasia" w:date="2026-10-04T12:00:00Z">
        <w:r>
          <w:delText xml:space="preserve">The demonstration therefore supports precisely the claim Chapter 1 made for it: the artefact behaves as specified, and the specification’s central results are checkable by a reader who declines to take the proofs on trust.</w:delText>
        </w:r>
      </w:del>
    </w:p>
    <w:p>
      <w:pPr>
        <w:pStyle w:val="Heading1"/>
      </w:pPr>
      <w:ins w:id="1508" w:author="Arshad Akhtar Abbasia" w:date="2026-10-04T12:00:00Z">
        <w:r>
          <w:t xml:space="preserve">Chapter 6. </w:t>
        </w:r>
      </w:ins>
      <w:r>
        <w:t xml:space="preserve">Discussion</w:t>
      </w:r>
    </w:p>
    <w:p>
      <w:pPr>
        <w:pStyle w:val="Heading2"/>
      </w:pPr>
      <w:ins w:id="1509" w:author="Arshad Akhtar Abbasia" w:date="2026-10-04T12:00:00Z">
        <w:r>
          <w:t xml:space="preserve">6.1 </w:t>
        </w:r>
      </w:ins>
      <w:r>
        <w:t xml:space="preserve">What the Thesis Establishes</w:t>
      </w:r>
    </w:p>
    <w:p>
      <w:pPr>
        <w:pStyle w:val="BodyText"/>
        <w:rPr>
          <w:del w:id="1510" w:author="Arshad Akhtar Abbasia" w:date="2026-10-04T12:00:00Z"/>
        </w:rPr>
      </w:pPr>
      <w:del w:id="1511" w:author="Arshad Akhtar Abbasia" w:date="2026-10-04T12:00:00Z">
        <w:r>
          <w:delText xml:space="preserve">Before the limitations, the claim. Stating it precisely is what makes the limitations affordable.</w:delText>
        </w:r>
      </w:del>
    </w:p>
    <w:p>
      <w:pPr>
        <w:pStyle w:val="BodyText"/>
        <w:rPr>
          <w:del w:id="1512" w:author="Arshad Akhtar Abbasia" w:date="2026-10-04T12:00:00Z"/>
        </w:rPr>
      </w:pPr>
      <w:del w:id="1513" w:author="Arshad Akhtar Abbasia" w:date="2026-10-04T12:00:00Z">
        <w:r>
          <w:delText xml:space="preserve">The thesis establishes that the European Health Data Space Regulation contains, within a single chapter, two provisions that cannot both be satisfied by a Secure Processing Environment under ordinary operating conditions. Article 73(1)(e) requires identifiable logs of access to and activity in the environment to be kept for at least one year. Article 68(12) requires personal data to be deleted from that environment within six months of the expiry of the data permit. Identifiable access logs are personal data. Where the remaining permit duration at the time a log is written is six months or less, the two requirements overlap, and no state of the environment satisfies both.</w:delText>
        </w:r>
      </w:del>
    </w:p>
    <w:p>
      <w:pPr>
        <w:pStyle w:val="BodyText"/>
        <w:rPr>
          <w:del w:id="1514" w:author="Arshad Akhtar Abbasia" w:date="2026-10-04T12:00:00Z"/>
        </w:rPr>
      </w:pPr>
      <w:del w:id="1515" w:author="Arshad Akhtar Abbasia" w:date="2026-10-04T12:00:00Z">
        <w:r>
          <w:delText xml:space="preserve">That claim rests on one contestable interpretive step, stated here rather than buried: Article 68(12) governs the data within the secure processing environment, and the thesis reads that as reaching the identifiable access logs the environment generates rather than only the dataset supplied under the permit. Chapter 4, Section 4.6 sets out the grounds on both sides and identifies exactly which results depend on the reading: the answer being this claim alone. Given that step, the claim requires no data subject to exercise any right, no deployment baseline external to the Regulation, and no synthesis across instruments of different legal weight. Chapter 5 produced thirty-nine concrete witnesses of it in a population of one hundred Secure Processing Environment records, and the same conditions produced ninety infeasible records across the full population of two hundred when the cross-border audit floor is included.</w:delText>
        </w:r>
      </w:del>
    </w:p>
    <w:p>
      <w:pPr>
        <w:pStyle w:val="BodyText"/>
      </w:pPr>
      <w:r>
        <w:t xml:space="preserve">The thesis </w:t>
      </w:r>
      <w:del w:id="1516" w:author="Arshad Akhtar Abbasia" w:date="2026-10-04T12:00:00Z">
        <w:r>
          <w:delText xml:space="preserve">further </w:delText>
        </w:r>
      </w:del>
      <w:r>
        <w:t xml:space="preserve">establishes that </w:t>
      </w:r>
      <w:del w:id="1517" w:author="Arshad Akhtar Abbasia" w:date="2026-10-04T12:00:00Z">
        <w:r>
          <w:delText xml:space="preserve">this infeasibility </w:delText>
        </w:r>
      </w:del>
      <w:ins w:id="1518" w:author="Arshad Akhtar Abbasia" w:date="2026-10-04T12:00:00Z">
        <w:r>
          <w:t xml:space="preserve">the conflict between audit-retention floors and the obligations to erase </w:t>
        </w:r>
      </w:ins>
      <w:r>
        <w:t xml:space="preserve">is not a property of the obligations but of an assumption about what satisfies them. Under </w:t>
      </w:r>
      <w:del w:id="1519" w:author="Arshad Akhtar Abbasia" w:date="2026-10-04T12:00:00Z">
        <w:r>
          <w:delText xml:space="preserve">the semantics implicit in audit systems designed before the right to erasure existed, </w:delText>
        </w:r>
      </w:del>
      <w:ins w:id="1520" w:author="Arshad Akhtar Abbasia" w:date="2026-10-04T12:00:00Z">
        <w:r>
          <w:t xml:space="preserve">plaintext-verifiability semantics, </w:t>
        </w:r>
      </w:ins>
      <w:r>
        <w:t xml:space="preserve">a record is verifiable while its payload is readable, </w:t>
      </w:r>
      <w:ins w:id="1521" w:author="Arshad Akhtar Abbasia" w:date="2026-10-04T12:00:00Z">
        <w:r>
          <w:t xml:space="preserve">and </w:t>
        </w:r>
      </w:ins>
      <w:r>
        <w:t xml:space="preserve">the constraint system has no </w:t>
      </w:r>
      <w:del w:id="1522" w:author="Arshad Akhtar Abbasia" w:date="2026-10-04T12:00:00Z">
        <w:r>
          <w:delText xml:space="preserve">solution. </w:delText>
        </w:r>
      </w:del>
      <w:ins w:id="1523" w:author="Arshad Akhtar Abbasia" w:date="2026-10-04T12:00:00Z">
        <w:r>
          <w:t xml:space="preserve">solution for any record whose erasure deadline falls inside its retention window. </w:t>
        </w:r>
      </w:ins>
      <w:r>
        <w:t xml:space="preserve">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w:t>
      </w:r>
      <w:del w:id="1524" w:author="Arshad Akhtar Abbasia" w:date="2026-10-04T12:00:00Z">
        <w:r>
          <w:delText xml:space="preserve">an </w:delText>
        </w:r>
      </w:del>
      <w:ins w:id="1525" w:author="Arshad Akhtar Abbasia" w:date="2026-10-04T12:00:00Z">
        <w:r>
          <w:t xml:space="preserve">a </w:t>
        </w:r>
      </w:ins>
      <w:r>
        <w:t xml:space="preserve">separately written exhaustive search confirms that under the first semantics no assignment of payload accessibility whatsoever could succeed.</w:t>
      </w:r>
    </w:p>
    <w:p>
      <w:pPr>
        <w:pStyle w:val="BodyText"/>
        <w:rPr>
          <w:ins w:id="1526" w:author="Arshad Akhtar Abbasia" w:date="2026-10-04T12:00:00Z"/>
        </w:rPr>
      </w:pPr>
      <w:ins w:id="1527" w:author="Arshad Akhtar Abbasia" w:date="2026-10-04T12:00:00Z">
        <w:r>
          <w:t xml:space="preserve">The request-driven form of the conflict cannot be escaped by moving the record. A deletion ceiling anchored to a location yields to relocation, but the right to erasure attaches to whichever controller holds the data (Chapter 4, Section 4.10, Proposition 4). Cryptographic invalidation is therefore necessary where a data subject’s request meets a retention floor, and in the cross-border pathway that is every request arriving inside the floor, because the patient-discovery transaction puts the patient’s identifying query into the audit record by design.</w:t>
        </w:r>
      </w:ins>
    </w:p>
    <w:p>
      <w:pPr>
        <w:pStyle w:val="BodyText"/>
        <w:rPr>
          <w:ins w:id="1528" w:author="Arshad Akhtar Abbasia" w:date="2026-10-04T12:00:00Z"/>
        </w:rPr>
      </w:pPr>
      <w:ins w:id="1529" w:author="Arshad Akhtar Abbasia" w:date="2026-10-04T12:00:00Z">
        <w:r>
          <w:t xml:space="preserve">The sharpest instance is narrower, and rests on one contestable interpretive step. Article 73(1)(e) requires identifiable logs of access to and activity in a Secure Processing Environment to be kept for at least one year. Article 68(12) requires “the electronic health data within the secure processing environment” 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Chapter 4, Section 4.6 sets out the grounds on both sides. Chapter 5 produced thirty-nine witnesses of this collision in the model, in a population of one hundred Secure Processing Environment records; across the full population of two hundred, cross-border records included, ninety records were infeasible under Semantics I, most of them through erasure requests (Chapter 5, Table 5.3). Proposition 3 states the general condition: a ceiling no longer than the floor, anchored to an event other than the one the floor runs from.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ins>
    </w:p>
    <w:p>
      <w:pPr>
        <w:pStyle w:val="BodyText"/>
      </w:pPr>
      <w:r>
        <w:t xml:space="preserve">Finally, the thesis specifies the mechanism that the feasibility proof exhibits: per-record </w:t>
      </w:r>
      <w:del w:id="1530" w:author="Arshad Akhtar Abbasia" w:date="2026-10-04T12:00:00Z">
        <w:r>
          <w:delText xml:space="preserve">keys, </w:delText>
        </w:r>
      </w:del>
      <w:ins w:id="1531" w:author="Arshad Akhtar Abbasia" w:date="2026-10-04T12:00:00Z">
        <w:r>
          <w:t xml:space="preserve">keys under a key-encrypting key, </w:t>
        </w:r>
      </w:ins>
      <w:r>
        <w:t xml:space="preserve">hiding commitments, </w:t>
      </w:r>
      <w:ins w:id="1532" w:author="Arshad Akhtar Abbasia" w:date="2026-10-04T12:00:00Z">
        <w:r>
          <w:t xml:space="preserve">deletion of the ciphertext with the key, removal of the subject link at the ceiling, </w:t>
        </w:r>
      </w:ins>
      <w:r>
        <w:t xml:space="preserve">invalidation entries carrying month, legal ground, and authorising actor, </w:t>
      </w:r>
      <w:ins w:id="1533" w:author="Arshad Akhtar Abbasia" w:date="2026-10-04T12:00:00Z">
        <w:r>
          <w:t xml:space="preserve">a tamper-evident log built never to hold what erasure reaches, </w:t>
        </w:r>
      </w:ins>
      <w:r>
        <w:t xml:space="preserve">and a terminal transition at floor expiry that discharges the storage-limitation obligation on the metadata itself. </w:t>
      </w:r>
      <w:del w:id="1534" w:author="Arshad Akhtar Abbasia" w:date="2026-10-04T12:00:00Z">
        <w:r>
          <w:delText xml:space="preserve">Two clarifications </w:delText>
        </w:r>
      </w:del>
      <w:ins w:id="1535" w:author="Arshad Akhtar Abbasia" w:date="2026-10-04T12:00:00Z">
        <w:r>
          <w:t xml:space="preserve">The artefact executes all </w:t>
        </w:r>
      </w:ins>
      <w:r>
        <w:t xml:space="preserve">of </w:t>
      </w:r>
      <w:del w:id="1536" w:author="Arshad Akhtar Abbasia" w:date="2026-10-04T12:00:00Z">
        <w:r>
          <w:delText xml:space="preserve">status belong here. The </w:delText>
        </w:r>
      </w:del>
      <w:ins w:id="1537" w:author="Arshad Akhtar Abbasia" w:date="2026-10-04T12:00:00Z">
        <w:r>
          <w:t xml:space="preserve">these but the </w:t>
        </w:r>
      </w:ins>
      <w:r>
        <w:t xml:space="preserve">terminal </w:t>
      </w:r>
      <w:del w:id="1538" w:author="Arshad Akhtar Abbasia" w:date="2026-10-04T12:00:00Z">
        <w:r>
          <w:delText xml:space="preserve">transition of </w:delText>
        </w:r>
      </w:del>
      <w:ins w:id="1539" w:author="Arshad Akhtar Abbasia" w:date="2026-10-04T12:00:00Z">
        <w:r>
          <w:t xml:space="preserve">transition, which </w:t>
        </w:r>
      </w:ins>
      <w:r>
        <w:t xml:space="preserve">Section 4.8 </w:t>
      </w:r>
      <w:del w:id="1540" w:author="Arshad Akhtar Abbasia" w:date="2026-10-04T12:00:00Z">
        <w:r>
          <w:delText xml:space="preserve">is likewise specified but </w:delText>
        </w:r>
      </w:del>
      <w:ins w:id="1541" w:author="Arshad Akhtar Abbasia" w:date="2026-10-04T12:00:00Z">
        <w:r>
          <w:t xml:space="preserve">specifies and the checker does </w:t>
        </w:r>
      </w:ins>
      <w:r>
        <w:t xml:space="preserve">not </w:t>
      </w:r>
      <w:del w:id="1542" w:author="Arshad Akhtar Abbasia" w:date="2026-10-04T12:00:00Z">
        <w:r>
          <w:delText xml:space="preserve">implemented in </w:delText>
        </w:r>
      </w:del>
      <w:ins w:id="1543" w:author="Arshad Akhtar Abbasia" w:date="2026-10-04T12:00:00Z">
        <w:r>
          <w:t xml:space="preserve">implement; nor does it implement </w:t>
        </w:r>
      </w:ins>
      <w:r>
        <w:t xml:space="preserve">the </w:t>
      </w:r>
      <w:del w:id="1544" w:author="Arshad Akhtar Abbasia" w:date="2026-10-04T12:00:00Z">
        <w:r>
          <w:delText xml:space="preserve">checker. </w:delText>
        </w:r>
      </w:del>
      <w:ins w:id="1545" w:author="Arshad Akhtar Abbasia" w:date="2026-10-04T12:00:00Z">
        <w:r>
          <w:t xml:space="preserve">per-entry nonce that keeps surviving leaf hashes from confirming guesses (Chapter 4, Section 4.9). </w:t>
        </w:r>
      </w:ins>
      <w:r>
        <w:t xml:space="preserve">The specification also provides for accumulator-based validity witnesses, which are an efficiency and verifiability layer rather than a component of either </w:t>
      </w:r>
      <w:del w:id="1546" w:author="Arshad Akhtar Abbasia" w:date="2026-10-04T12:00:00Z">
        <w:r>
          <w:delText xml:space="preserve">theorem, </w:delText>
        </w:r>
      </w:del>
      <w:ins w:id="1547" w:author="Arshad Akhtar Abbasia" w:date="2026-10-04T12:00:00Z">
        <w:r>
          <w:t xml:space="preserve">proposition, </w:t>
        </w:r>
      </w:ins>
      <w:r>
        <w:t xml:space="preserve">since </w:t>
      </w:r>
      <w:del w:id="1548" w:author="Arshad Akhtar Abbasia" w:date="2026-10-04T12:00:00Z">
        <w:r>
          <w:delText xml:space="preserve">Theorem </w:delText>
        </w:r>
      </w:del>
      <w:ins w:id="1549" w:author="Arshad Akhtar Abbasia" w:date="2026-10-04T12:00:00Z">
        <w:r>
          <w:t xml:space="preserve">Proposition </w:t>
        </w:r>
      </w:ins>
      <w:r>
        <w:t xml:space="preserve">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p>
      <w:pPr>
        <w:pStyle w:val="Heading2"/>
      </w:pPr>
      <w:ins w:id="1550" w:author="Arshad Akhtar Abbasia" w:date="2026-10-04T12:00:00Z">
        <w:r>
          <w:t xml:space="preserve">6.2 </w:t>
        </w:r>
      </w:ins>
      <w:r>
        <w:t xml:space="preserve">The Authority Problem</w:t>
      </w:r>
    </w:p>
    <w:p>
      <w:pPr>
        <w:pStyle w:val="BodyText"/>
      </w:pPr>
      <w:r>
        <w:t xml:space="preserve">The most serious objection to this thesis is not </w:t>
      </w:r>
      <w:del w:id="1551" w:author="Arshad Akhtar Abbasia" w:date="2026-10-04T12:00:00Z">
        <w:r>
          <w:delText xml:space="preserve">technical, and it has not been raised by any reviewer of the work. </w:delText>
        </w:r>
      </w:del>
      <w:ins w:id="1552" w:author="Arshad Akhtar Abbasia" w:date="2026-10-04T12:00:00Z">
        <w:r>
          <w:t xml:space="preserve">technical. </w:t>
        </w:r>
      </w:ins>
      <w:r>
        <w:t xml:space="preserve">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w:t>
      </w:r>
      <w:del w:id="1553" w:author="Arshad Akhtar Abbasia" w:date="2026-10-04T12:00:00Z">
        <w:r>
          <w:delText xml:space="preserve">does, and the argument is a good one. </w:delText>
        </w:r>
      </w:del>
      <w:ins w:id="1554" w:author="Arshad Akhtar Abbasia" w:date="2026-10-04T12:00:00Z">
        <w:r>
          <w:t xml:space="preserve">does. </w:t>
        </w:r>
      </w:ins>
      <w:r>
        <w:t xml:space="preserve">Article 17(3)(b) protects only processing that is necessary 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del w:id="1555" w:author="Arshad Akhtar Abbasia" w:date="2026-10-04T12:00:00Z">
        <w:r>
          <w:delText xml:space="preserve">The consequence must be stated without softening. </w:delText>
        </w:r>
      </w:del>
      <w:r>
        <w:t xml:space="preserve">If a supervisory authority takes the view that Article 73(1)(e)’s requirement of “identifiable logs” entails logs whose subject matter remains readable, then </w:t>
      </w:r>
      <w:del w:id="1556" w:author="Arshad Akhtar Abbasia" w:date="2026-10-04T12:00:00Z">
        <w:r>
          <w:delText xml:space="preserve">Theorem </w:delText>
        </w:r>
      </w:del>
      <w:ins w:id="1557" w:author="Arshad Akhtar Abbasia" w:date="2026-10-04T12:00:00Z">
        <w:r>
          <w:t xml:space="preserve">Proposition </w:t>
        </w:r>
      </w:ins>
      <w:r>
        <w:t xml:space="preserve">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 dissolvable in principle 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rPr>
          <w:ins w:id="1558" w:author="Arshad Akhtar Abbasia" w:date="2026-10-04T12:00:00Z"/>
        </w:rPr>
      </w:pPr>
      <w:ins w:id="1559" w:author="Arshad Akhtar Abbasia" w:date="2026-10-04T12:00:00Z">
        <w:r>
          <w:t xml:space="preserve">First, the alternative readings are worse. If verifiability requires readability, then on the broad reading the only way to honour both Article 73(1)(e) and Article 68(12) is to move the logs out of the environment at permit closure (Chapter 4, Section 4.10, Rival 6): the subject fields then sit with a second controller for the rest of the floor, and the erasure right is untouched (Proposition 4). For cross-border records there is no such route at all. A supervisory authority is unlikely to prefer that outcome to a reading under which every obligation is honoured where the data are.</w:t>
        </w:r>
      </w:ins>
    </w:p>
    <w:p>
      <w:pPr>
        <w:pStyle w:val="BodyText"/>
        <w:rPr>
          <w:del w:id="1560" w:author="Arshad Akhtar Abbasia" w:date="2026-10-04T12:00:00Z"/>
        </w:rPr>
      </w:pPr>
      <w:del w:id="1561" w:author="Arshad Akhtar Abbasia" w:date="2026-10-04T12:00:00Z">
        <w:r>
          <w:delText xml:space="preserve">First, the alternative readings are worse. If verifiability requires readability, then Article 73(1)(e) and Article 68(12) are in irreconcilable conflict and one must simply be disapplied: an outcome a supervisory authority is unlikely to prefer to a reading under which both can be honoured.</w:delText>
        </w:r>
      </w:del>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 documented threat model 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w:t>
      </w:r>
      <w:del w:id="1562" w:author="Arshad Akhtar Abbasia" w:date="2026-10-04T12:00:00Z">
        <w:r>
          <w:delText xml:space="preserve">side.</w:delText>
        </w:r>
      </w:del>
      <w:ins w:id="1563" w:author="Arshad Akhtar Abbasia" w:date="2026-10-04T12:00:00Z">
        <w:r>
          <w:t xml:space="preserve">side. The Joint Action’s specification points the same way from the infrastructure side. It requires deletion at permit expiry “while ensuring compliance with applicable legal obligations and traceability or reproducibility requirements” and leaves the deletion and retention policy to “balance these obligations” (TEHDAS2, 2026, Table 5.2, OPR-6, p. 43), and it records that further guidance is needed on how accountability and anonymisation obligations intersect (Annex 7, p. 96). A specification that asks for a balance it does not define has not adopted plaintext verifiability; Table 4.1 sets out one balance requirement by requirement.</w:t>
        </w:r>
      </w:ins>
    </w:p>
    <w:p>
      <w:pPr>
        <w:pStyle w:val="BodyText"/>
      </w:pPr>
      <w:r>
        <w:t xml:space="preserve">Third, the question is decidable by asking. Chapter 7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w:t>
      </w:r>
      <w:del w:id="1564" w:author="Arshad Akhtar Abbasia" w:date="2026-10-04T12:00:00Z">
        <w:r>
          <w:delText xml:space="preserve">adopts </w:delText>
        </w:r>
      </w:del>
      <w:ins w:id="1565" w:author="Arshad Akhtar Abbasia" w:date="2026-10-04T12:00:00Z">
        <w:r>
          <w:t xml:space="preserve">states Corollary 1.2 conditionally rather than adopting </w:t>
        </w:r>
      </w:ins>
      <w:r>
        <w:t xml:space="preserve">the broad reading </w:t>
      </w:r>
      <w:ins w:id="1566" w:author="Arshad Akhtar Abbasia" w:date="2026-10-04T12:00:00Z">
        <w:r>
          <w:t xml:space="preserve">or the narrow one, </w:t>
        </w:r>
      </w:ins>
      <w:r>
        <w:t xml:space="preserve">on </w:t>
      </w:r>
      <w:del w:id="1567" w:author="Arshad Akhtar Abbasia" w:date="2026-10-04T12:00:00Z">
        <w:r>
          <w:delText xml:space="preserve">textual grounds. The provision is framed by location rather than provenance, and </w:delText>
        </w:r>
      </w:del>
      <w:r>
        <w:t xml:space="preserve">the </w:t>
      </w:r>
      <w:del w:id="1568" w:author="Arshad Akhtar Abbasia" w:date="2026-10-04T12:00:00Z">
        <w:r>
          <w:delText xml:space="preserve">Regulation uses the narrower “made available under the data permit” formulation freely elsewhere when it means it. The thesis concedes, however, that the provision’s placement within the data-permit article supports the narrower construction. </w:delText>
        </w:r>
      </w:del>
      <w:ins w:id="1569" w:author="Arshad Akhtar Abbasia" w:date="2026-10-04T12:00:00Z">
        <w:r>
          <w:t xml:space="preserve">grounds set out in Chapter 4, Section 4.6. </w:t>
        </w:r>
      </w:ins>
      <w:r>
        <w:t xml:space="preserve">What makes this tolerable rather than fatal is that the dependency is confined: Corollary 1.2 stands or falls with it, and nothing else in the thesis does. The same request, addressed to the authorities responsible for EHDS incorporation, could reasonably carry this one alongside it.</w:t>
      </w:r>
    </w:p>
    <w:p>
      <w:pPr>
        <w:pStyle w:val="Heading2"/>
      </w:pPr>
      <w:ins w:id="1570" w:author="Arshad Akhtar Abbasia" w:date="2026-10-04T12:00:00Z">
        <w:r>
          <w:t xml:space="preserve">6.3 </w:t>
        </w:r>
      </w:ins>
      <w:r>
        <w:t xml:space="preserve">Key Destruction and the Limits of Assurance</w:t>
      </w:r>
    </w:p>
    <w:p>
      <w:pPr>
        <w:pStyle w:val="BodyText"/>
      </w:pPr>
      <w:r>
        <w:t xml:space="preserve">The second objection is the one the thesis has carried since Chapter 2, and it is the </w:t>
      </w:r>
      <w:del w:id="1571" w:author="Arshad Akhtar Abbasia" w:date="2026-10-04T12:00:00Z">
        <w:r>
          <w:delText xml:space="preserve">honest </w:delText>
        </w:r>
      </w:del>
      <w:r>
        <w:t xml:space="preserve">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rPr>
          <w:ins w:id="1572" w:author="Arshad Akhtar Abbasia" w:date="2026-10-04T12:00:00Z"/>
        </w:rPr>
      </w:pPr>
      <w:ins w:id="1573" w:author="Arshad Akhtar Abbasia" w:date="2026-10-04T12:00:00Z">
        <w:r>
          <w:t xml:space="preserve">The thesis’s response is to be precise about what the invalidation entry is. It is an attested record of destruction, not a proof of it. The entry records that a named actor destroyed a named key at a named month on a named legal ground, and binds that claim into an append-only Merkle log alongside a commitment to the destroyed key’s identifier, so that the claim, once made, cannot be altered or withdrawn without detection (Chapter 4, Section 4.8). Key-management guidance treats such a record as the normal trace of a destroyed key (Barker, 2020). An auditor can establish that the claim was made, by whom, and when; an auditor cannot establish that the claim is true. The difference between attestation and proof is the boundary of this contribution. Two things narrow it without closing it. Hardware security modules validated against FIPS 140-3 (National Institute of Standards and Technology, 2019) place destruction inside a tested boundary, though validation attests the design of the module, not any particular destruction. And the optional module of the artefact replaces the simulated key with real AES-256-GCM envelope encryption: after the 138 scheduled destructions, exactly those records refuse to decrypt (Chapter 5, Section 5.8), which shows that unreadability follows from the destruction, not that the destruction took place.</w:t>
        </w:r>
      </w:ins>
    </w:p>
    <w:p>
      <w:pPr>
        <w:pStyle w:val="BodyText"/>
        <w:rPr>
          <w:del w:id="1574" w:author="Arshad Akhtar Abbasia" w:date="2026-10-04T12:00:00Z"/>
        </w:rPr>
      </w:pPr>
      <w:del w:id="1575" w:author="Arshad Akhtar Abbasia" w:date="2026-10-04T12:00:00Z">
        <w:r>
          <w:delText xml:space="preserve">The thesis’s response is to be precise about what the invalidation entry is. It is an attested record of destruction, not a proof of it. The entry records that a named actor destroyed a named key at a named month on a named legal ground, and binds that claim into an append-only audit trail alongside a commitment to the destroyed key’s identifier. An auditor can establish that the claim was made, by whom, and when; an auditor cannot establish that the claim is true. The difference between attestation and proof is the boundary of this contribution.</w:delText>
        </w:r>
      </w:del>
    </w:p>
    <w:p>
      <w:pPr>
        <w:pStyle w:val="BodyText"/>
      </w:pPr>
      <w:r>
        <w:t xml:space="preserve">That boundary is where an active research programme </w:t>
      </w:r>
      <w:del w:id="1576" w:author="Arshad Akhtar Abbasia" w:date="2026-10-04T12:00:00Z">
        <w:r>
          <w:delText xml:space="preserve">sits, and naming it locates the thesis honestly within the field rather than overstating its reach. </w:delText>
        </w:r>
      </w:del>
      <w:ins w:id="1577" w:author="Arshad Akhtar Abbasia" w:date="2026-10-04T12:00:00Z">
        <w:r>
          <w:t xml:space="preserve">sits. </w:t>
        </w:r>
      </w:ins>
      <w:r>
        <w:t xml:space="preserve">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 public verifiability,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 what was destroyed. The mechanism does not solve the assurance problem. It does improve on every available alternative with respect to it.</w:t>
      </w:r>
    </w:p>
    <w:p>
      <w:pPr>
        <w:pStyle w:val="Heading2"/>
      </w:pPr>
      <w:ins w:id="1578" w:author="Arshad Akhtar Abbasia" w:date="2026-10-04T12:00:00Z">
        <w:r>
          <w:t xml:space="preserve">6.4 </w:t>
        </w:r>
      </w:ins>
      <w:r>
        <w:t xml:space="preserve">The Cost Objection</w:t>
      </w:r>
    </w:p>
    <w:p>
      <w:pPr>
        <w:pStyle w:val="BodyText"/>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 who may read data; they do not cause data to cease to be readable. Against Article 68(12), which requires that </w:t>
      </w:r>
      <w:del w:id="1579" w:author="Arshad Akhtar Abbasia" w:date="2026-10-04T12:00:00Z">
        <w:r>
          <w:delText xml:space="preserve">personal </w:delText>
        </w:r>
      </w:del>
      <w:ins w:id="1580" w:author="Arshad Akhtar Abbasia" w:date="2026-10-04T12:00:00Z">
        <w:r>
          <w:t xml:space="preserve">electronic health </w:t>
        </w:r>
      </w:ins>
      <w:r>
        <w:t xml:space="preserve">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p>
      <w:pPr>
        <w:pStyle w:val="Heading2"/>
      </w:pPr>
      <w:ins w:id="1581" w:author="Arshad Akhtar Abbasia" w:date="2026-10-04T12:00:00Z">
        <w:r>
          <w:t xml:space="preserve">6.5 </w:t>
        </w:r>
      </w:ins>
      <w:r>
        <w:t xml:space="preserve">Scalability</w:t>
      </w:r>
    </w:p>
    <w:p>
      <w:pPr>
        <w:pStyle w:val="BodyText"/>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w:t>
      </w:r>
      <w:del w:id="1582" w:author="Arshad Akhtar Abbasia" w:date="2026-10-04T12:00:00Z">
        <w:r>
          <w:delText xml:space="preserve">volumes. </w:delText>
        </w:r>
      </w:del>
      <w:ins w:id="1583" w:author="Arshad Akhtar Abbasia" w:date="2026-10-04T12:00:00Z">
        <w:r>
          <w:t xml:space="preserve">volumes, and the audit log adds a fourth whose verification grows only logarithmically: an inclusion proof for one entry in a log of n entries needs about log₂n hashes, some thirty for a billion entries, which is why the same construction carries the web’s certificate logs (Laurie, Langley, &amp; Kasper, 2013). </w:t>
        </w:r>
      </w:ins>
      <w:r>
        <w:t xml:space="preserve">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w:t>
      </w:r>
      <w:del w:id="1584" w:author="Arshad Akhtar Abbasia" w:date="2026-10-04T12:00:00Z">
        <w:r>
          <w:delText xml:space="preserve">theorem: </w:delText>
        </w:r>
      </w:del>
      <w:ins w:id="1585" w:author="Arshad Akhtar Abbasia" w:date="2026-10-04T12:00:00Z">
        <w:r>
          <w:t xml:space="preserve">proposition: </w:t>
        </w:r>
      </w:ins>
      <w:r>
        <w:t xml:space="preserve">an implementation that finds witness maintenance too costly at its volume can establish validity by scanning the invalidation registry, losing succinctness and retaining </w:t>
      </w:r>
      <w:del w:id="1586" w:author="Arshad Akhtar Abbasia" w:date="2026-10-04T12:00:00Z">
        <w:r>
          <w:delText xml:space="preserve">correctness.</w:delText>
        </w:r>
      </w:del>
      <w:ins w:id="1587" w:author="Arshad Akhtar Abbasia" w:date="2026-10-04T12:00:00Z">
        <w:r>
          <w:t xml:space="preserve">correctness. The Merkle log already makes the presence of an invalidation entry succinct to check; what the accumulator would add is a succinct proof that a record has not been invalidated.</w:t>
        </w:r>
      </w:ins>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p>
      <w:pPr>
        <w:pStyle w:val="Heading2"/>
      </w:pPr>
      <w:ins w:id="1588" w:author="Arshad Akhtar Abbasia" w:date="2026-10-04T12:00:00Z">
        <w:r>
          <w:t xml:space="preserve">6.6 </w:t>
        </w:r>
      </w:ins>
      <w:r>
        <w:t xml:space="preserve">Evaluation Design and the Role of Stakeholder Assessment</w:t>
      </w:r>
    </w:p>
    <w:p>
      <w:pPr>
        <w:pStyle w:val="BodyText"/>
      </w:pPr>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p>
      <w:pPr>
        <w:pStyle w:val="Heading2"/>
      </w:pPr>
      <w:ins w:id="1589" w:author="Arshad Akhtar Abbasia" w:date="2026-10-04T12:00:00Z">
        <w:r>
          <w:t xml:space="preserve">6.7 </w:t>
        </w:r>
      </w:ins>
      <w:r>
        <w:t xml:space="preserve">Synthetic Data and the Limits of the Demonstration</w:t>
      </w:r>
    </w:p>
    <w:p>
      <w:pPr>
        <w:pStyle w:val="BodyText"/>
        <w:rPr>
          <w:ins w:id="1590" w:author="Arshad Akhtar Abbasia" w:date="2026-10-04T12:00:00Z"/>
        </w:rPr>
      </w:pPr>
      <w:ins w:id="1591" w:author="Arshad Akhtar Abbasia" w:date="2026-10-04T12:00:00Z">
        <w:r>
          <w:t xml:space="preserve">Substituting real FHIR R4 resources for constructed payload strings changed all two hundred commitments and no reported figure (Chapter 5, Section 5.8, Table 5.7), as it must, since no constraint in the TRF Model reads payload content.</w:t>
        </w:r>
      </w:ins>
    </w:p>
    <w:p>
      <w:pPr>
        <w:pStyle w:val="BodyText"/>
        <w:rPr>
          <w:ins w:id="1592" w:author="Arshad Akhtar Abbasia" w:date="2026-10-04T12:00:00Z"/>
        </w:rPr>
      </w:pPr>
      <w:ins w:id="1593" w:author="Arshad Akhtar Abbasia" w:date="2026-10-04T12:00:00Z">
        <w:r>
          <w:t xml:space="preserve">The two limitations of the generated cohort, US Core rather than Norwegian profiles and the validity bounds found by Chen, Chun, Patel, Chiang and James (2019), are stated in Chapter 3, Section 3.5; both lie in dimensions the thesis does not use, because its claims concern the behaviour of audit records under constraint, not clinical content.</w:t>
        </w:r>
      </w:ins>
    </w:p>
    <w:p>
      <w:pPr>
        <w:pStyle w:val="BodyText"/>
        <w:rPr>
          <w:del w:id="1594" w:author="Arshad Akhtar Abbasia" w:date="2026-10-04T12:00:00Z"/>
        </w:rPr>
      </w:pPr>
      <w:del w:id="1595" w:author="Arshad Akhtar Abbasia" w:date="2026-10-04T12:00:00Z">
        <w:r>
          <w:delText xml:space="preserve">Chapter 3 specified a two-layer sandbox: a feasibility checker carrying the load-bearing claim, and a realism layer feeding it Synthea-generated FHIR records. Both were built and both were run, and the result of running the second is more informative than its mere existence.</w:delText>
        </w:r>
      </w:del>
    </w:p>
    <w:p>
      <w:pPr>
        <w:pStyle w:val="BodyText"/>
        <w:rPr>
          <w:del w:id="1596" w:author="Arshad Akhtar Abbasia" w:date="2026-10-04T12:00:00Z"/>
        </w:rPr>
      </w:pPr>
      <w:del w:id="1597" w:author="Arshad Akhtar Abbasia" w:date="2026-10-04T12:00:00Z">
        <w:r>
          <w:delText xml:space="preserve">Substituting real FHIR R4 resources for constructed payload strings changed every commitment in the population, all two hundred, and changed no reported figure whatsoever. Mean payload size rose from thirty-five bytes to one thousand and six. Violations, witnesses, invalidation counts, and grounds were identical. This is the expected outcome and the model would be defective otherwise, since no constraint in the TRF Model reads payload content; the value of running the comparison rather than asserting the invariance is that the claim was tested against a case where the inputs demonstrably moved.</w:delText>
        </w:r>
      </w:del>
    </w:p>
    <w:p>
      <w:pPr>
        <w:pStyle w:val="BodyText"/>
        <w:rPr>
          <w:del w:id="1598" w:author="Arshad Akhtar Abbasia" w:date="2026-10-04T12:00:00Z"/>
        </w:rPr>
      </w:pPr>
      <w:del w:id="1599" w:author="Arshad Akhtar Abbasia" w:date="2026-10-04T12:00:00Z">
        <w:r>
          <w:delText xml:space="preserve">Two limitations of the generated cohort are carried forward rather than resolved.</w:delText>
        </w:r>
      </w:del>
    </w:p>
    <w:p>
      <w:pPr>
        <w:pStyle w:val="BodyText"/>
        <w:rPr>
          <w:del w:id="1600" w:author="Arshad Akhtar Abbasia" w:date="2026-10-04T12:00:00Z"/>
        </w:rPr>
      </w:pPr>
      <w:del w:id="1601" w:author="Arshad Akhtar Abbasia" w:date="2026-10-04T12:00:00Z">
        <w:r>
          <w:delText xml:space="preserve">Synthea’s default export conforms to the US Core implementation guide, with United States demographic, geographic, and care-pattern parameters. The FHIR version matches the version the Norwegian basisprofiler constrain, and the resource structure is genuine, but the profiles are not Norwegian and no claim of Norwegian clinical representativeness is made for the records. The invariance result establishes that this cannot affect any figure, and the thesis’s Norwegian grounding rests on the infrastructure analysis of Chapter 4, Section 4.11 rather than on the synthetic population. Had the thesis made epidemiological or clinical claims, this limitation would be disqualifying; because its claims concern the behaviour of audit records under constraint, it is not.</w:delText>
        </w:r>
      </w:del>
    </w:p>
    <w:p>
      <w:pPr>
        <w:pStyle w:val="BodyText"/>
        <w:rPr>
          <w:del w:id="1602" w:author="Arshad Akhtar Abbasia" w:date="2026-10-04T12:00:00Z"/>
        </w:rPr>
      </w:pPr>
      <w:del w:id="1603" w:author="Arshad Akhtar Abbasia" w:date="2026-10-04T12:00:00Z">
        <w:r>
          <w:delText xml:space="preserve">Synthea’s validity has itself been assessed. Chen and colleagues found the generator reliable in modelling demographics and the probability of services being offered, and limited in modelling heterogeneous outcomes following intervention and regional variation in care quality (Chen, Chun, Patel, Chiang, &amp; James, 2019). The same reasoning applies: the limitations are in dimensions this thesis does not use.</w:delText>
        </w:r>
      </w:del>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check and the exhaustive cross-check reduce the probability that an error in the proofs has gone unnoticed; they do not eliminate it.</w:t>
      </w:r>
    </w:p>
    <w:p>
      <w:pPr>
        <w:pStyle w:val="Heading2"/>
      </w:pPr>
      <w:ins w:id="1604" w:author="Arshad Akhtar Abbasia" w:date="2026-10-04T12:00:00Z">
        <w:r>
          <w:t xml:space="preserve">6.8 </w:t>
        </w:r>
      </w:ins>
      <w:r>
        <w:t xml:space="preserve">Implications for Practice and Policy</w:t>
      </w:r>
    </w:p>
    <w:p>
      <w:pPr>
        <w:pStyle w:val="BodyText"/>
      </w:pPr>
      <w:r>
        <w:t xml:space="preserve">The timing argument is the strongest claim to practical relevance this thesis </w:t>
      </w:r>
      <w:del w:id="1605" w:author="Arshad Akhtar Abbasia" w:date="2026-10-04T12:00:00Z">
        <w:r>
          <w:delText xml:space="preserve">makes, and it is worth stating with the calendar in front of it.</w:delText>
        </w:r>
      </w:del>
      <w:ins w:id="1606" w:author="Arshad Akhtar Abbasia" w:date="2026-10-04T12:00:00Z">
        <w:r>
          <w:t xml:space="preserve">makes.</w:t>
        </w:r>
      </w:ins>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t>
      </w:r>
      <w:del w:id="1607" w:author="Arshad Akhtar Abbasia" w:date="2026-10-04T12:00:00Z">
        <w:r>
          <w:delText xml:space="preserve">were finalised </w:delText>
        </w:r>
      </w:del>
      <w:ins w:id="1608" w:author="Arshad Akhtar Abbasia" w:date="2026-10-04T12:00:00Z">
        <w:r>
          <w:t xml:space="preserve">went </w:t>
        </w:r>
      </w:ins>
      <w:r>
        <w:t xml:space="preserve">through </w:t>
      </w:r>
      <w:ins w:id="1609" w:author="Arshad Akhtar Abbasia" w:date="2026-10-04T12:00:00Z">
        <w:r>
          <w:t xml:space="preserve">a public hearing in </w:t>
        </w:r>
      </w:ins>
      <w:r>
        <w:t xml:space="preserve">the SPUHiN process </w:t>
      </w:r>
      <w:del w:id="1610" w:author="Arshad Akhtar Abbasia" w:date="2026-10-04T12:00:00Z">
        <w:r>
          <w:delText xml:space="preserve">after a public hearing running </w:delText>
        </w:r>
      </w:del>
      <w:r>
        <w:t xml:space="preserve">from July to October 2025, and are positioned explicitly as a national reference basis pending the Union implementing act (SPUHiN, 2025). The </w:t>
      </w:r>
      <w:del w:id="1611" w:author="Arshad Akhtar Abbasia" w:date="2026-10-04T12:00:00Z">
        <w:r>
          <w:delText xml:space="preserve">finalised </w:delText>
        </w:r>
      </w:del>
      <w:r>
        <w:t xml:space="preserve">compliance checklists, </w:t>
      </w:r>
      <w:del w:id="1612" w:author="Arshad Akhtar Abbasia" w:date="2026-10-04T12:00:00Z">
        <w:r>
          <w:delText xml:space="preserve">as </w:delText>
        </w:r>
      </w:del>
      <w:ins w:id="1613" w:author="Arshad Akhtar Abbasia" w:date="2026-10-04T12:00:00Z">
        <w:r>
          <w:t xml:space="preserve">in the hearing version </w:t>
        </w:r>
      </w:ins>
      <w:r>
        <w:t xml:space="preserve">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w:t>
      </w:r>
      <w:del w:id="1614" w:author="Arshad Akhtar Abbasia" w:date="2026-10-04T12:00:00Z">
        <w:r>
          <w:delText xml:space="preserve">This </w:delText>
        </w:r>
      </w:del>
      <w:ins w:id="1615" w:author="Arshad Akhtar Abbasia" w:date="2026-10-04T12:00:00Z">
        <w:r>
          <w:t xml:space="preserve">The absence </w:t>
        </w:r>
      </w:ins>
      <w:r>
        <w:t xml:space="preserve">is </w:t>
      </w:r>
      <w:del w:id="1616" w:author="Arshad Akhtar Abbasia" w:date="2026-10-04T12:00:00Z">
        <w:r>
          <w:delText xml:space="preserve">an absence </w:delText>
        </w:r>
      </w:del>
      <w:r>
        <w:t xml:space="preserve">observed in the </w:t>
      </w:r>
      <w:del w:id="1617" w:author="Arshad Akhtar Abbasia" w:date="2026-10-04T12:00:00Z">
        <w:r>
          <w:delText xml:space="preserve">published checklists rather than </w:delText>
        </w:r>
      </w:del>
      <w:ins w:id="1618" w:author="Arshad Akhtar Abbasia" w:date="2026-10-04T12:00:00Z">
        <w:r>
          <w:t xml:space="preserve">hearing version of the checklists, not </w:t>
        </w:r>
      </w:ins>
      <w:r>
        <w:t xml:space="preserve">established against the </w:t>
      </w:r>
      <w:del w:id="1619" w:author="Arshad Akhtar Abbasia" w:date="2026-10-04T12:00:00Z">
        <w:r>
          <w:delText xml:space="preserve">full deliverable, which remains on the verification register; the claim is stated at that strength deliberately.</w:delText>
        </w:r>
      </w:del>
      <w:ins w:id="1620" w:author="Arshad Akhtar Abbasia" w:date="2026-10-04T12:00:00Z">
        <w:r>
          <w:t xml:space="preserve">deliverable as submitted.</w:t>
        </w:r>
      </w:ins>
    </w:p>
    <w:p>
      <w:pPr>
        <w:pStyle w:val="BodyText"/>
      </w:pPr>
      <w:r>
        <w:t xml:space="preserve">The </w:t>
      </w:r>
      <w:del w:id="1621" w:author="Arshad Akhtar Abbasia" w:date="2026-10-04T12:00:00Z">
        <w:r>
          <w:delText xml:space="preserve">corrected picture </w:delText>
        </w:r>
      </w:del>
      <w:ins w:id="1622" w:author="Arshad Akhtar Abbasia" w:date="2026-10-04T12:00:00Z">
        <w:r>
          <w:t xml:space="preserve">state </w:t>
        </w:r>
      </w:ins>
      <w:r>
        <w:t xml:space="preserve">of Norwegian cross-border operations reinforces </w:t>
      </w:r>
      <w:del w:id="1623" w:author="Arshad Akhtar Abbasia" w:date="2026-10-04T12:00:00Z">
        <w:r>
          <w:delText xml:space="preserve">rather than weakens </w:delText>
        </w:r>
      </w:del>
      <w:r>
        <w:t xml:space="preserve">this. Norway’s National Contact Point is in live pilot </w:t>
      </w:r>
      <w:del w:id="1624" w:author="Arshad Akhtar Abbasia" w:date="2026-10-04T12:00:00Z">
        <w:r>
          <w:delText xml:space="preserve">operation at the Bodø and Stjørdal emergency clinics, connected to Portugal, Czechia, and Finland, with the Directorate’s own portfolio reporting noting that </w:delText>
        </w:r>
      </w:del>
      <w:ins w:id="1625" w:author="Arshad Akhtar Abbasia" w:date="2026-10-04T12:00:00Z">
        <w:r>
          <w:t xml:space="preserve">operation, but </w:t>
        </w:r>
      </w:ins>
      <w:r>
        <w:t xml:space="preserve">no relevant patients had yet presented </w:t>
      </w:r>
      <w:del w:id="1626" w:author="Arshad Akhtar Abbasia" w:date="2026-10-04T12:00:00Z">
        <w:r>
          <w:delText xml:space="preserve">for </w:delText>
        </w:r>
      </w:del>
      <w:ins w:id="1627" w:author="Arshad Akhtar Abbasia" w:date="2026-10-04T12:00:00Z">
        <w:r>
          <w:t xml:space="preserve">when </w:t>
        </w:r>
      </w:ins>
      <w:r>
        <w:t xml:space="preserve">the </w:t>
      </w:r>
      <w:del w:id="1628" w:author="Arshad Akhtar Abbasia" w:date="2026-10-04T12:00:00Z">
        <w:r>
          <w:delText xml:space="preserve">solution to be used in practice </w:delText>
        </w:r>
      </w:del>
      <w:ins w:id="1629" w:author="Arshad Akhtar Abbasia" w:date="2026-10-04T12:00:00Z">
        <w:r>
          <w:t xml:space="preserve">Directorate last reported </w:t>
        </w:r>
      </w:ins>
      <w:r>
        <w:t xml:space="preserve">(Helsedirektoratet, </w:t>
      </w:r>
      <w:del w:id="1630" w:author="Arshad Akhtar Abbasia" w:date="2026-10-04T12:00:00Z">
        <w:r>
          <w:delText xml:space="preserve">2026). </w:delText>
        </w:r>
      </w:del>
      <w:ins w:id="1631" w:author="Arshad Akhtar Abbasia" w:date="2026-10-04T12:00:00Z">
        <w:r>
          <w:t xml:space="preserve">2026), as Chapter 2, Section 2.2 sets out. </w:t>
        </w:r>
      </w:ins>
      <w:r>
        <w:t xml:space="preserve">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w:t>
      </w:r>
      <w:ins w:id="1632" w:author="Arshad Akhtar Abbasia" w:date="2026-10-04T12:00:00Z">
        <w:r>
          <w:t xml:space="preserve">Proposition 3 also gives the acts a drafting test: any further ceiling no longer than a floor and anchored to a different event will collide for some records, and only the records’ histories will show which. </w:t>
        </w:r>
      </w:ins>
      <w:r>
        <w:t xml:space="preserve">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 what was invalidated, when, on what legal ground, and by whom as a first-class audit event costs little and converts an unexplained absence into an accountable one.</w:t>
      </w:r>
    </w:p>
    <w:p>
      <w:pPr>
        <w:pStyle w:val="BodyText"/>
        <w:rPr>
          <w:ins w:id="1633" w:author="Arshad Akhtar Abbasia" w:date="2026-10-04T12:00:00Z"/>
        </w:rPr>
      </w:pPr>
      <w:ins w:id="1634" w:author="Arshad Akhtar Abbasia" w:date="2026-10-04T12:00:00Z">
        <w:r>
          <w:t xml:space="preserve">For TEHDAS2 and its successors, whose Secure Processing Environment specification of 2026 defines minimum capabilities and the interoperability baseline for federating environments, the collision is named but not resolved: the specification asks for a balance between deletion and traceability and flags the intersection of accountability and anonymisation as needing guidance (Section 6.2). Table 4.1 is written in the specification’s own requirement identifiers so that it can be read as a proposal against them.</w:t>
        </w:r>
      </w:ins>
    </w:p>
    <w:p>
      <w:pPr>
        <w:pStyle w:val="BodyText"/>
        <w:rPr>
          <w:del w:id="1635" w:author="Arshad Akhtar Abbasia" w:date="2026-10-04T12:00:00Z"/>
        </w:rPr>
      </w:pPr>
      <w:del w:id="1636" w:author="Arshad Akhtar Abbasia" w:date="2026-10-04T12:00:00Z">
        <w:r>
          <w:delText xml:space="preserve">For TEHDAS2 and its successors, whose Secure Processing Environment specifications published during 2026 define minimum capabilities and the interoperability baseline for federating environments, the collision is presently unaddressed in guidance that treats deletion at permit closure as an operational service.</w:delText>
        </w:r>
      </w:del>
    </w:p>
    <w:p>
      <w:pPr>
        <w:pStyle w:val="BodyText"/>
      </w:pPr>
      <w:del w:id="1637" w:author="Arshad Akhtar Abbasia" w:date="2026-10-04T12:00:00Z">
        <w:r>
          <w:delText xml:space="preserve">A word of restraint is owed here. </w:delText>
        </w:r>
      </w:del>
      <w:r>
        <w:t xml:space="preserve">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p>
      <w:pPr>
        <w:pStyle w:val="Heading2"/>
      </w:pPr>
      <w:ins w:id="1638" w:author="Arshad Akhtar Abbasia" w:date="2026-10-04T12:00:00Z">
        <w:r>
          <w:t xml:space="preserve">6.9 </w:t>
        </w:r>
      </w:ins>
      <w:r>
        <w:t xml:space="preserve">Theoretical Implications</w:t>
      </w:r>
    </w:p>
    <w:p>
      <w:pPr>
        <w:pStyle w:val="BodyText"/>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w:t>
      </w:r>
      <w:del w:id="1639" w:author="Arshad Akhtar Abbasia" w:date="2026-10-04T12:00:00Z">
        <w:r>
          <w:delText xml:space="preserve">2022); </w:delText>
        </w:r>
      </w:del>
      <w:ins w:id="1640" w:author="Arshad Akhtar Abbasia" w:date="2026-10-04T12:00:00Z">
        <w:r>
          <w:t xml:space="preserve">2023); </w:t>
        </w:r>
      </w:ins>
      <w:r>
        <w:t xml:space="preserve">its application here is what is new, and the applicability of the formulation beyond health data is an open question the thesis does not settle. The structure (one or more floors, a subject-triggered right, a ceiling) is not obviously specific to health. Section </w:t>
      </w:r>
      <w:del w:id="1641" w:author="Arshad Akhtar Abbasia" w:date="2026-10-04T12:00:00Z">
        <w:r>
          <w:delText xml:space="preserve">6.9a </w:delText>
        </w:r>
      </w:del>
      <w:ins w:id="1642" w:author="Arshad Akhtar Abbasia" w:date="2026-10-04T12:00:00Z">
        <w:r>
          <w:t xml:space="preserve">6.10 </w:t>
        </w:r>
      </w:ins>
      <w:r>
        <w:t xml:space="preserve">tests that expectation against a statute outside health and returns a negative result which revises it: what matters is not that a floor and a ceiling coexist but where the ceiling is </w:t>
      </w:r>
      <w:del w:id="1643" w:author="Arshad Akhtar Abbasia" w:date="2026-10-04T12:00:00Z">
        <w:r>
          <w:delText xml:space="preserve">anchored. Financial record-keeping under MiFID II remains a candidate instance on that revised test, flagged for future analysis rather than established: the practitioner literature reviewed in Chapter 2 treats that setting as a floor-against-right conflict, and whether any ceiling analogous to Article 68(12) operates there is a question this thesis has not investigated.</w:delText>
        </w:r>
      </w:del>
      <w:ins w:id="1644" w:author="Arshad Akhtar Abbasia" w:date="2026-10-04T12:00:00Z">
        <w:r>
          <w:t xml:space="preserve">anchored.</w:t>
        </w:r>
      </w:ins>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p>
      <w:pPr>
        <w:pStyle w:val="Heading2"/>
      </w:pPr>
      <w:del w:id="1645" w:author="Arshad Akhtar Abbasia" w:date="2026-10-04T12:00:00Z">
        <w:r>
          <w:delText xml:space="preserve">6.9a </w:delText>
        </w:r>
      </w:del>
      <w:ins w:id="1646" w:author="Arshad Akhtar Abbasia" w:date="2026-10-04T12:00:00Z">
        <w:r>
          <w:t xml:space="preserve">6.10 </w:t>
        </w:r>
      </w:ins>
      <w:r>
        <w:t xml:space="preserve">Where the Ceiling Is Anchored: a Cross-Sector Test</w:t>
      </w:r>
    </w:p>
    <w:p>
      <w:pPr>
        <w:pStyle w:val="BodyText"/>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 Opplysninger om bruk av systemet skal registreres og lagres i minst 1 år og slettes senest etter 3 år (Politiregisterloven,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 none arose without an erasure request. Under Semantics II there were no violations at all, and every record was invalidated at its scheduled month. The module that produces this is listed in full at Appendix A, Section </w:t>
      </w:r>
      <w:del w:id="1647" w:author="Arshad Akhtar Abbasia" w:date="2026-10-04T12:00:00Z">
        <w:r>
          <w:delText xml:space="preserve">A.9c, </w:delText>
        </w:r>
      </w:del>
      <w:ins w:id="1648" w:author="Arshad Akhtar Abbasia" w:date="2026-10-04T12:00:00Z">
        <w:r>
          <w:t xml:space="preserve">A.13, </w:t>
        </w:r>
      </w:ins>
      <w:r>
        <w:t xml:space="preserve">and its console output at Section </w:t>
      </w:r>
      <w:del w:id="1649" w:author="Arshad Akhtar Abbasia" w:date="2026-10-04T12:00:00Z">
        <w:r>
          <w:delText xml:space="preserve">A.14.</w:delText>
        </w:r>
      </w:del>
      <w:ins w:id="1650" w:author="Arshad Akhtar Abbasia" w:date="2026-10-04T12:00:00Z">
        <w:r>
          <w:t xml:space="preserve">A.20.</w:t>
        </w:r>
      </w:ins>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w:t>
      </w:r>
      <w:del w:id="1651" w:author="Arshad Akhtar Abbasia" w:date="2026-10-04T12:00:00Z">
        <w:r>
          <w:delText xml:space="preserve">origin </w:delText>
        </w:r>
      </w:del>
      <w:ins w:id="1652" w:author="Arshad Akhtar Abbasia" w:date="2026-10-04T12:00:00Z">
        <w:r>
          <w:t xml:space="preserve">origin, the later longer than the earlier, </w:t>
        </w:r>
      </w:ins>
      <w:r>
        <w:t xml:space="preserve">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rPr>
          <w:ins w:id="1653" w:author="Arshad Akhtar Abbasia" w:date="2026-10-04T12:00:00Z"/>
        </w:rPr>
      </w:pPr>
      <w:ins w:id="1654" w:author="Arshad Akhtar Abbasia" w:date="2026-10-04T12:00:00Z">
        <w:r>
          <w:t xml:space="preserve">Article 68(12) behaves differently for a structural reason as well as a numerical one: its ceiling is shorter than the floor, which any collision requires, and it is anchored where the shortfall cannot be seen.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Proposition 1 characterises, Corollary 1.2 is the case where it happens with no erasure request present at all, and Chapter 4, Section 4.6 states the general condition as Proposition 3: floor and ceiling collide for a record exactly when the ceiling’s end falls inside the floor, which needs a ceiling no longer than the floor and, under an external anchor, depends on each record’s history.</w:t>
        </w:r>
      </w:ins>
    </w:p>
    <w:p>
      <w:pPr>
        <w:pStyle w:val="BodyText"/>
        <w:rPr>
          <w:del w:id="1655" w:author="Arshad Akhtar Abbasia" w:date="2026-10-04T12:00:00Z"/>
        </w:rPr>
      </w:pPr>
      <w:del w:id="1656" w:author="Arshad Akhtar Abbasia" w:date="2026-10-04T12:00:00Z">
        <w:r>
          <w:delText xml:space="preserve">Article 68(12) behaves differently for a structural reason rather than a numerical one.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Theorem 1 characterises, and Corollary 1.2 is the case where it happens with no erasure request present at all.</w:delText>
        </w:r>
      </w:del>
    </w:p>
    <w:p>
      <w:pPr>
        <w:pStyle w:val="BodyText"/>
      </w:pPr>
      <w:r>
        <w:t xml:space="preserve">This sharpens the contribution and narrows it at the same time. It suggests that the diagnostic question for any candidate instance is not whether a floor and a ceiling both exist, which is common, but whether </w:t>
      </w:r>
      <w:del w:id="1657" w:author="Arshad Akhtar Abbasia" w:date="2026-10-04T12:00:00Z">
        <w:r>
          <w:delText xml:space="preserve">they are </w:delText>
        </w:r>
      </w:del>
      <w:ins w:id="1658" w:author="Arshad Akhtar Abbasia" w:date="2026-10-04T12:00:00Z">
        <w:r>
          <w:t xml:space="preserve">a ceiling no longer than the floor is </w:t>
        </w:r>
      </w:ins>
      <w:r>
        <w:t xml:space="preserve">anchored to </w:t>
      </w:r>
      <w:del w:id="1659" w:author="Arshad Akhtar Abbasia" w:date="2026-10-04T12:00:00Z">
        <w:r>
          <w:delText xml:space="preserve">the same </w:delText>
        </w:r>
      </w:del>
      <w:ins w:id="1660" w:author="Arshad Akhtar Abbasia" w:date="2026-10-04T12:00:00Z">
        <w:r>
          <w:t xml:space="preserve">a different </w:t>
        </w:r>
      </w:ins>
      <w:r>
        <w:t xml:space="preserve">event, which is </w:t>
      </w:r>
      <w:del w:id="1661" w:author="Arshad Akhtar Abbasia" w:date="2026-10-04T12:00:00Z">
        <w:r>
          <w:delText xml:space="preserve">not. </w:delText>
        </w:r>
      </w:del>
      <w:ins w:id="1662" w:author="Arshad Akhtar Abbasia" w:date="2026-10-04T12:00:00Z">
        <w:r>
          <w:t xml:space="preserve">not (Chapter 4, Proposition 3). </w:t>
        </w:r>
      </w:ins>
      <w:r>
        <w:t xml:space="preserve">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w:t>
      </w:r>
      <w:ins w:id="1663" w:author="Arshad Akhtar Abbasia" w:date="2026-10-04T12:00:00Z">
        <w:r>
          <w:t xml:space="preserve">longer </w:t>
        </w:r>
      </w:ins>
      <w:r>
        <w:t xml:space="preserve">ceiling from a single origin does not produce it.</w:t>
      </w:r>
    </w:p>
    <w:p>
      <w:pPr>
        <w:pStyle w:val="Heading2"/>
      </w:pPr>
      <w:ins w:id="1664" w:author="Arshad Akhtar Abbasia" w:date="2026-10-04T12:00:00Z">
        <w:r>
          <w:t xml:space="preserve">6.11 </w:t>
        </w:r>
      </w:ins>
      <w:r>
        <w:t xml:space="preserve">Boundaries as Contribution</w:t>
      </w:r>
    </w:p>
    <w:p>
      <w:pPr>
        <w:pStyle w:val="BodyText"/>
        <w:rPr>
          <w:del w:id="1665" w:author="Arshad Akhtar Abbasia" w:date="2026-10-04T12:00:00Z"/>
        </w:rPr>
      </w:pPr>
      <w:del w:id="1666" w:author="Arshad Akhtar Abbasia" w:date="2026-10-04T12:00:00Z">
        <w:r>
          <w:delText xml:space="preserve">An unusual amount of this thesis consists of statements about what it does not do. That is a deliberate methodological position and not an apology, and it is worth defending explicitly because an examiner may read it either way.</w:delText>
        </w:r>
      </w:del>
    </w:p>
    <w:p>
      <w:pPr>
        <w:pStyle w:val="BodyText"/>
        <w:rPr>
          <w:del w:id="1667" w:author="Arshad Akhtar Abbasia" w:date="2026-10-04T12:00:00Z"/>
        </w:rPr>
      </w:pPr>
      <w:del w:id="1668" w:author="Arshad Akhtar Abbasia" w:date="2026-10-04T12:00:00Z">
        <w:r>
          <w:delText xml:space="preserve">The first version of this project, abandoned in May 2026, made broader claims than it could support, as the Declaration of Originality records. The breadth of those claims was what made them fragile: a claim to have done six things fails if any one of them fails.</w:delText>
        </w:r>
      </w:del>
    </w:p>
    <w:p>
      <w:pPr>
        <w:pStyle w:val="BodyText"/>
      </w:pPr>
      <w:r>
        <w:t xml:space="preserve">The </w:t>
      </w:r>
      <w:del w:id="1669" w:author="Arshad Akhtar Abbasia" w:date="2026-10-04T12:00:00Z">
        <w:r>
          <w:delText xml:space="preserve">rebuilt </w:delText>
        </w:r>
      </w:del>
      <w:r>
        <w:t xml:space="preserve">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w:t>
      </w:r>
      <w:del w:id="1670" w:author="Arshad Akhtar Abbasia" w:date="2026-10-04T12:00:00Z">
        <w:r>
          <w:delText xml:space="preserve">rather than omitted. </w:delText>
        </w:r>
      </w:del>
      <w:ins w:id="1671" w:author="Arshad Akhtar Abbasia" w:date="2026-10-04T12:00:00Z">
        <w:r>
          <w:t xml:space="preserve">(Chapter 2, Section 2.4; Chapter 4, Section 4.10). </w:t>
        </w:r>
      </w:ins>
      <w:r>
        <w:t xml:space="preserve">The interpretive move at the centre of the thesis is an argument without authority behind </w:t>
      </w:r>
      <w:del w:id="1672" w:author="Arshad Akhtar Abbasia" w:date="2026-10-04T12:00:00Z">
        <w:r>
          <w:delText xml:space="preserve">it.</w:delText>
        </w:r>
      </w:del>
      <w:ins w:id="1673" w:author="Arshad Akhtar Abbasia" w:date="2026-10-04T12:00:00Z">
        <w:r>
          <w:t xml:space="preserve">it. None of these was claimed, so none of them reduces what was: a contribution that states its boundaries can be checked at them.</w:t>
        </w:r>
      </w:ins>
    </w:p>
    <w:p>
      <w:pPr>
        <w:pStyle w:val="BodyText"/>
        <w:rPr>
          <w:del w:id="1674" w:author="Arshad Akhtar Abbasia" w:date="2026-10-04T12:00:00Z"/>
        </w:rPr>
      </w:pPr>
      <w:del w:id="1675" w:author="Arshad Akhtar Abbasia" w:date="2026-10-04T12:00:00Z">
        <w:r>
          <w:delText xml:space="preserve">Each of those concessions costs nothing, because none of them was ever claimed. That is the practical value of a narrow claim, and it is the methodological lesson of the rebuild: a contribution that states its boundaries can be checked at those boundaries and found sound, whereas a contribution that does not can only be found wanting.</w:delText>
        </w:r>
      </w:del>
    </w:p>
    <w:p>
      <w:pPr>
        <w:pStyle w:val="Heading2"/>
      </w:pPr>
      <w:ins w:id="1676" w:author="Arshad Akhtar Abbasia" w:date="2026-10-04T12:00:00Z">
        <w:r>
          <w:t xml:space="preserve">6.12 </w:t>
        </w:r>
      </w:ins>
      <w:r>
        <w:t xml:space="preserve">Summary</w:t>
      </w:r>
    </w:p>
    <w:p>
      <w:pPr>
        <w:pStyle w:val="BodyText"/>
        <w:rPr>
          <w:ins w:id="1677" w:author="Arshad Akhtar Abbasia" w:date="2026-10-04T12:00:00Z"/>
        </w:rPr>
      </w:pPr>
      <w:ins w:id="1678" w:author="Arshad Akhtar Abbasia" w:date="2026-10-04T12:00:00Z">
        <w:r>
          <w:t xml:space="preserve">The thesis establishes that audit-retention floors, the right to erasure and the deletion ceiling conflict only under an assumption about verifiability, and not because of the obligations themselves; that, on the broad reading of Article 68(12) and for logs kept at patient-record granularity, the conflict arises inside the European Health Data Space Regulation with no data subject acting; that a ceiling collides with a floor exactly when Proposition 3 says, and that relocation escapes the ceiling but not the right (Proposition 4). It exhibits the mechanism that dissolves the conflict and demonstrates Propositions 1 and 2 executably with an independent cross-check.</w:t>
        </w:r>
      </w:ins>
    </w:p>
    <w:p>
      <w:pPr>
        <w:pStyle w:val="BodyText"/>
        <w:rPr>
          <w:del w:id="1679" w:author="Arshad Akhtar Abbasia" w:date="2026-10-04T12:00:00Z"/>
        </w:rPr>
      </w:pPr>
      <w:del w:id="1680" w:author="Arshad Akhtar Abbasia" w:date="2026-10-04T12:00:00Z">
        <w:r>
          <w:delText xml:space="preserve">The thesis establishes a collision internal to the European Health Data Space Regulation, proves that it follows from an assumption about verifiability rather than from the obligations themselves, exhibits the mechanism that dissolves it, and demonstrates both results executably with an independent cross-check.</w:delText>
        </w:r>
      </w:del>
    </w:p>
    <w:p>
      <w:pPr>
        <w:pStyle w:val="BodyText"/>
      </w:pPr>
      <w:r>
        <w:t xml:space="preserve">Its principal vulnerability is that the interpretive move at its centre has no regulatory authority behind it, and resolving that is the most valuable next step available. Its </w:t>
      </w:r>
      <w:del w:id="1681" w:author="Arshad Akhtar Abbasia" w:date="2026-10-04T12:00:00Z">
        <w:r>
          <w:delText xml:space="preserve">honest </w:delText>
        </w:r>
      </w:del>
      <w:r>
        <w:t xml:space="preserve">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Chapter 7 draws the conclusions and states the work that follows.</w:t>
      </w:r>
    </w:p>
    <w:p>
      <w:pPr>
        <w:pStyle w:val="Heading1"/>
      </w:pPr>
      <w:ins w:id="1682" w:author="Arshad Akhtar Abbasia" w:date="2026-10-04T12:00:00Z">
        <w:r>
          <w:t xml:space="preserve">Chapter 7. </w:t>
        </w:r>
      </w:ins>
      <w:r>
        <w:t xml:space="preserve">Conclusion</w:t>
      </w:r>
    </w:p>
    <w:p>
      <w:pPr>
        <w:pStyle w:val="Heading2"/>
      </w:pPr>
      <w:ins w:id="1683" w:author="Arshad Akhtar Abbasia" w:date="2026-10-04T12:00:00Z">
        <w:r>
          <w:t xml:space="preserve">7.1 </w:t>
        </w:r>
      </w:ins>
      <w:r>
        <w:t xml:space="preserve">The Problem and the Answer</w:t>
      </w:r>
    </w:p>
    <w:p>
      <w:pPr>
        <w:pStyle w:val="BodyText"/>
      </w:pPr>
      <w:r>
        <w:t xml:space="preserve">This thesis began from a conflict that the European Health Data Space Regulation does not resolve. Cross-border health data exchange generates audit records subject to retention floors: ten years </w:t>
      </w:r>
      <w:ins w:id="1684" w:author="Arshad Akhtar Abbasia" w:date="2026-10-04T12:00:00Z">
        <w:r>
          <w:t xml:space="preserve">as reported </w:t>
        </w:r>
      </w:ins>
      <w:r>
        <w:t xml:space="preserve">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w:t>
      </w:r>
      <w:del w:id="1685" w:author="Arshad Akhtar Abbasia" w:date="2026-10-04T12:00:00Z">
        <w:r>
          <w:delText xml:space="preserve">no </w:delText>
        </w:r>
      </w:del>
      <w:ins w:id="1686" w:author="Arshad Akhtar Abbasia" w:date="2026-10-04T12:00:00Z">
        <w:r>
          <w:t xml:space="preserve">the Joint Action’s specification names their interaction as needing further </w:t>
        </w:r>
      </w:ins>
      <w:r>
        <w:t xml:space="preserve">guidance </w:t>
      </w:r>
      <w:del w:id="1687" w:author="Arshad Akhtar Abbasia" w:date="2026-10-04T12:00:00Z">
        <w:r>
          <w:delText xml:space="preserve">addresses their interaction, </w:delText>
        </w:r>
      </w:del>
      <w:ins w:id="1688" w:author="Arshad Akhtar Abbasia" w:date="2026-10-04T12:00:00Z">
        <w:r>
          <w:t xml:space="preserve">(TEHDAS2, 2026, Annex 7, p. 96), </w:t>
        </w:r>
      </w:ins>
      <w:r>
        <w:t xml:space="preserve">and the </w:t>
      </w:r>
      <w:del w:id="1689" w:author="Arshad Akhtar Abbasia" w:date="2026-10-04T12:00:00Z">
        <w:r>
          <w:delText xml:space="preserve">technical specifications </w:delText>
        </w:r>
      </w:del>
      <w:ins w:id="1690" w:author="Arshad Akhtar Abbasia" w:date="2026-10-04T12:00:00Z">
        <w:r>
          <w:t xml:space="preserve">implementing acts </w:t>
        </w:r>
      </w:ins>
      <w:r>
        <w:t xml:space="preserve">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 verifiability an explicit parameter rather than an unexamined assumption.</w:t>
      </w:r>
    </w:p>
    <w:p>
      <w:pPr>
        <w:pStyle w:val="BodyText"/>
      </w:pPr>
      <w:r>
        <w:t xml:space="preserve">It proved </w:t>
      </w:r>
      <w:del w:id="1691" w:author="Arshad Akhtar Abbasia" w:date="2026-10-04T12:00:00Z">
        <w:r>
          <w:delText xml:space="preserve">two </w:delText>
        </w:r>
      </w:del>
      <w:ins w:id="1692" w:author="Arshad Akhtar Abbasia" w:date="2026-10-04T12:00:00Z">
        <w:r>
          <w:t xml:space="preserve">four </w:t>
        </w:r>
      </w:ins>
      <w:r>
        <w:t xml:space="preserve">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w:t>
      </w:r>
      <w:del w:id="1693" w:author="Arshad Akhtar Abbasia" w:date="2026-10-04T12:00:00Z">
        <w:r>
          <w:delText xml:space="preserve">parameter.</w:delText>
        </w:r>
      </w:del>
      <w:ins w:id="1694" w:author="Arshad Akhtar Abbasia" w:date="2026-10-04T12:00:00Z">
        <w:r>
          <w:t xml:space="preserve">parameter. A deletion ceiling collides with a retention floor exactly when it is no longer than the floor, and its anchor decides whether the collision can be read from the text or only from each record’s history; Article 68(12), anchored to permit expiry, is of the second kind. And moving a record out of the regulated environment meets the ceiling but not the right to erasure.</w:t>
        </w:r>
      </w:ins>
    </w:p>
    <w:p>
      <w:pPr>
        <w:pStyle w:val="BodyText"/>
      </w:pPr>
      <w:r>
        <w:t xml:space="preserve">It specified the mechanism that the second proof exhibits. Crypto-Erasure by Invalidation retains </w:t>
      </w:r>
      <w:del w:id="1695" w:author="Arshad Akhtar Abbasia" w:date="2026-10-04T12:00:00Z">
        <w:r>
          <w:delText xml:space="preserve">event metadata </w:delText>
        </w:r>
      </w:del>
      <w:ins w:id="1696" w:author="Arshad Akhtar Abbasia" w:date="2026-10-04T12:00:00Z">
        <w:r>
          <w:t xml:space="preserve">the accessor fields of each record </w:t>
        </w:r>
      </w:ins>
      <w:r>
        <w:t xml:space="preserve">and a hiding commitment, and destroys the per-record payload </w:t>
      </w:r>
      <w:del w:id="1697" w:author="Arshad Akhtar Abbasia" w:date="2026-10-04T12:00:00Z">
        <w:r>
          <w:delText xml:space="preserve">key </w:delText>
        </w:r>
      </w:del>
      <w:ins w:id="1698" w:author="Arshad Akhtar Abbasia" w:date="2026-10-04T12:00:00Z">
        <w:r>
          <w:t xml:space="preserve">key, with the salt and the ciphertext, </w:t>
        </w:r>
      </w:ins>
      <w:r>
        <w:t xml:space="preserve">at the earlier of the erasure deadline and the deletion </w:t>
      </w:r>
      <w:ins w:id="1699" w:author="Arshad Akhtar Abbasia" w:date="2026-10-04T12:00:00Z">
        <w:r>
          <w:t xml:space="preserve">ceiling; for logs kept at patient-record granularity it removes the subject link at the </w:t>
        </w:r>
      </w:ins>
      <w:r>
        <w:t xml:space="preserve">ceiling. It appends </w:t>
      </w:r>
      <w:del w:id="1700" w:author="Arshad Akhtar Abbasia" w:date="2026-10-04T12:00:00Z">
        <w:r>
          <w:delText xml:space="preserve">the </w:delText>
        </w:r>
      </w:del>
      <w:ins w:id="1701" w:author="Arshad Akhtar Abbasia" w:date="2026-10-04T12:00:00Z">
        <w:r>
          <w:t xml:space="preserve">each </w:t>
        </w:r>
      </w:ins>
      <w:r>
        <w:t xml:space="preserve">invalidation to </w:t>
      </w:r>
      <w:del w:id="1702" w:author="Arshad Akhtar Abbasia" w:date="2026-10-04T12:00:00Z">
        <w:r>
          <w:delText xml:space="preserve">the </w:delText>
        </w:r>
      </w:del>
      <w:ins w:id="1703" w:author="Arshad Akhtar Abbasia" w:date="2026-10-04T12:00:00Z">
        <w:r>
          <w:t xml:space="preserve">a tamper-evident </w:t>
        </w:r>
      </w:ins>
      <w:r>
        <w:t xml:space="preserve">audit </w:t>
      </w:r>
      <w:del w:id="1704" w:author="Arshad Akhtar Abbasia" w:date="2026-10-04T12:00:00Z">
        <w:r>
          <w:delText xml:space="preserve">trail </w:delText>
        </w:r>
      </w:del>
      <w:ins w:id="1705" w:author="Arshad Akhtar Abbasia" w:date="2026-10-04T12:00:00Z">
        <w:r>
          <w:t xml:space="preserve">log </w:t>
        </w:r>
      </w:ins>
      <w:r>
        <w:t xml:space="preserve">as a first-class event carrying its month, legal ground, and authorising </w:t>
      </w:r>
      <w:del w:id="1706" w:author="Arshad Akhtar Abbasia" w:date="2026-10-04T12:00:00Z">
        <w:r>
          <w:delText xml:space="preserve">actor. </w:delText>
        </w:r>
      </w:del>
      <w:ins w:id="1707" w:author="Arshad Akhtar Abbasia" w:date="2026-10-04T12:00:00Z">
        <w:r>
          <w:t xml:space="preserve">actor, in a log whose entries never hold what erasure reaches. </w:t>
        </w:r>
      </w:ins>
      <w:r>
        <w:t xml:space="preserve">At floor expiry it performs a terminal transition that destroys the identifying metadata and leaves a non-identifiable statistical residue.</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w:t>
      </w:r>
      <w:del w:id="1708" w:author="Arshad Akhtar Abbasia" w:date="2026-10-04T12:00:00Z">
        <w:r>
          <w:delText xml:space="preserve">states and that predates the right to erasure.</w:delText>
        </w:r>
      </w:del>
      <w:ins w:id="1709" w:author="Arshad Akhtar Abbasia" w:date="2026-10-04T12:00:00Z">
        <w:r>
          <w:t xml:space="preserve">states.</w:t>
        </w:r>
      </w:ins>
    </w:p>
    <w:p>
      <w:pPr>
        <w:pStyle w:val="Heading2"/>
      </w:pPr>
      <w:ins w:id="1710" w:author="Arshad Akhtar Abbasia" w:date="2026-10-04T12:00:00Z">
        <w:r>
          <w:t xml:space="preserve">7.2 </w:t>
        </w:r>
      </w:ins>
      <w:r>
        <w:t xml:space="preserve">Contributions</w:t>
      </w:r>
    </w:p>
    <w:p>
      <w:pPr>
        <w:pStyle w:val="BodyText"/>
      </w:pPr>
      <w:r>
        <w:t xml:space="preserve">Four contributions are claimed, each bounded.</w:t>
      </w:r>
    </w:p>
    <w:p>
      <w:pPr>
        <w:pStyle w:val="BodyText"/>
      </w:pPr>
      <w:r>
        <w:t xml:space="preserve">A formal characterisation of the tri-lateral retention conflict. The general method of treating legal compliance as a satisfiability problem is established (Feng, Marsso, Sabetzadeh, &amp; Chechik, </w:t>
      </w:r>
      <w:del w:id="1711" w:author="Arshad Akhtar Abbasia" w:date="2026-10-04T12:00:00Z">
        <w:r>
          <w:delText xml:space="preserve">2022) </w:delText>
        </w:r>
      </w:del>
      <w:ins w:id="1712" w:author="Arshad Akhtar Abbasia" w:date="2026-10-04T12:00:00Z">
        <w:r>
          <w:t xml:space="preserve">2023) </w:t>
        </w:r>
      </w:ins>
      <w:r>
        <w:t xml:space="preserve">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del w:id="1713" w:author="Arshad Akhtar Abbasia" w:date="2026-10-04T12:00:00Z">
        <w:r>
          <w:delText xml:space="preserve">Two feasibility </w:delText>
        </w:r>
      </w:del>
      <w:ins w:id="1714" w:author="Arshad Akhtar Abbasia" w:date="2026-10-04T12:00:00Z">
        <w:r>
          <w:t xml:space="preserve">Feasibility </w:t>
        </w:r>
      </w:ins>
      <w:r>
        <w:t xml:space="preserve">results with an executable witness. </w:t>
      </w:r>
      <w:del w:id="1715" w:author="Arshad Akhtar Abbasia" w:date="2026-10-04T12:00:00Z">
        <w:r>
          <w:delText xml:space="preserve">Theorem </w:delText>
        </w:r>
      </w:del>
      <w:ins w:id="1716" w:author="Arshad Akhtar Abbasia" w:date="2026-10-04T12:00:00Z">
        <w:r>
          <w:t xml:space="preserve">Proposition </w:t>
        </w:r>
      </w:ins>
      <w:r>
        <w:t xml:space="preserve">1 establishes infeasibility under </w:t>
      </w:r>
      <w:del w:id="1717" w:author="Arshad Akhtar Abbasia" w:date="2026-10-04T12:00:00Z">
        <w:r>
          <w:delText xml:space="preserve">the status-quo </w:delText>
        </w:r>
      </w:del>
      <w:ins w:id="1718" w:author="Arshad Akhtar Abbasia" w:date="2026-10-04T12:00:00Z">
        <w:r>
          <w:t xml:space="preserve">plaintext-verifiability </w:t>
        </w:r>
      </w:ins>
      <w:r>
        <w:t xml:space="preserve">semantics; </w:t>
      </w:r>
      <w:del w:id="1719" w:author="Arshad Akhtar Abbasia" w:date="2026-10-04T12:00:00Z">
        <w:r>
          <w:delText xml:space="preserve">Theorem </w:delText>
        </w:r>
      </w:del>
      <w:ins w:id="1720" w:author="Arshad Akhtar Abbasia" w:date="2026-10-04T12:00:00Z">
        <w:r>
          <w:t xml:space="preserve">Proposition </w:t>
        </w:r>
      </w:ins>
      <w:r>
        <w:t xml:space="preserve">2 establishes satisfiability under the alternative and exhibits the trajectory that achieves it. </w:t>
      </w:r>
      <w:ins w:id="1721" w:author="Arshad Akhtar Abbasia" w:date="2026-10-04T12:00:00Z">
        <w:r>
          <w:t xml:space="preserve">Proposition 3 gives the condition under which a ceiling and a floor collide, which the cross-sector test of Chapter 6, Section 6.10 confirmed on a statute outside health; Proposition 4 shows why relocation answers the ceiling and not the right. </w:t>
        </w:r>
      </w:ins>
      <w:r>
        <w:t xml:space="preserve">Both were demonstrated over two hundred records, producing ninety infeasible records and ninety-five violations under the first semantics and none under the second, with </w:t>
      </w:r>
      <w:del w:id="1722" w:author="Arshad Akhtar Abbasia" w:date="2026-10-04T12:00:00Z">
        <w:r>
          <w:delText xml:space="preserve">an </w:delText>
        </w:r>
      </w:del>
      <w:ins w:id="1723" w:author="Arshad Akhtar Abbasia" w:date="2026-10-04T12:00:00Z">
        <w:r>
          <w:t xml:space="preserve">a </w:t>
        </w:r>
      </w:ins>
      <w:r>
        <w:t xml:space="preserve">separately written exhaustive search confirming that under the first semantics no assignment of payload accessibility whatsoever succeeds. The proofs are informal and the demonstration covers generated instances; neither is presented as more.</w:t>
      </w:r>
    </w:p>
    <w:p>
      <w:pPr>
        <w:pStyle w:val="BodyText"/>
      </w:pPr>
      <w:r>
        <w:t xml:space="preserve">A mechanism specification with its residue analysed. 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t>
      </w:r>
      <w:del w:id="1724" w:author="Arshad Akhtar Abbasia" w:date="2026-10-04T12:00:00Z">
        <w:r>
          <w:delText xml:space="preserve">whom. </w:delText>
        </w:r>
      </w:del>
      <w:ins w:id="1725" w:author="Arshad Akhtar Abbasia" w:date="2026-10-04T12:00:00Z">
        <w:r>
          <w:t xml:space="preserve">whom, and can check each of those entries against the root of a Merkle log (Chapter 5, Section 5.7). The key hierarchy is executed with real AES-256-GCM in an optional module of the artefact. </w:t>
        </w:r>
      </w:ins>
      <w:r>
        <w:t xml:space="preserve">The residue it leaves is characterised </w:t>
      </w:r>
      <w:del w:id="1726" w:author="Arshad Akhtar Abbasia" w:date="2026-10-04T12:00:00Z">
        <w:r>
          <w:delText xml:space="preserve">honestly </w:delText>
        </w:r>
      </w:del>
      <w:r>
        <w:t xml:space="preserve">as pseudonymised rather than anonymous by the Norwegian threshold, and designed to the corridor that the European Data Protection Board’s finalised Guidelines 02/2025 establish.</w:t>
      </w:r>
    </w:p>
    <w:p>
      <w:pPr>
        <w:pStyle w:val="BodyText"/>
        <w:rPr>
          <w:ins w:id="1727" w:author="Arshad Akhtar Abbasia" w:date="2026-10-04T12:00:00Z"/>
        </w:rPr>
      </w:pPr>
      <w:ins w:id="1728" w:author="Arshad Akhtar Abbasia" w:date="2026-10-04T12:00:00Z">
        <w:r>
          <w:t xml:space="preserve">An integration analysis against verified Norwegian infrastructure. 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 Table 4.1 traces the mechanism to each requirement of the regulation and of the Joint Action’s specification it touches, and places it in the activity-monitoring component of the specification’s reference architecture.</w:t>
        </w:r>
      </w:ins>
    </w:p>
    <w:p>
      <w:pPr>
        <w:pStyle w:val="BodyText"/>
        <w:rPr>
          <w:del w:id="1729" w:author="Arshad Akhtar Abbasia" w:date="2026-10-04T12:00:00Z"/>
        </w:rPr>
      </w:pPr>
      <w:del w:id="1730" w:author="Arshad Akhtar Abbasia" w:date="2026-10-04T12:00:00Z">
        <w:r>
          <w:delText xml:space="preserve">An integration analysis against verified Norwegian infrastructure. The mechanism is placed at the two narrowest points at which it achieves its purpose: the audit-repository step of the MyHealth@EU transmission flow, and the access-logging boundary of a Secure Processing Environment. It requires of the substrate nothing that the finalised national criteria do not already demand. That constraint was derived from the documented fragmentation of Norwegian practice rather than assumed.</w:delText>
        </w:r>
      </w:del>
    </w:p>
    <w:p>
      <w:pPr>
        <w:pStyle w:val="Heading2"/>
      </w:pPr>
      <w:ins w:id="1731" w:author="Arshad Akhtar Abbasia" w:date="2026-10-04T12:00:00Z">
        <w:r>
          <w:t xml:space="preserve">7.3 </w:t>
        </w:r>
      </w:ins>
      <w:r>
        <w:t xml:space="preserve">What the Thesis Does Not Establish</w:t>
      </w:r>
    </w:p>
    <w:p>
      <w:pPr>
        <w:pStyle w:val="BodyText"/>
        <w:rPr>
          <w:ins w:id="1732" w:author="Arshad Akhtar Abbasia" w:date="2026-10-04T12:00:00Z"/>
        </w:rPr>
      </w:pPr>
      <w:ins w:id="1733" w:author="Arshad Akhtar Abbasia" w:date="2026-10-04T12:00:00Z">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w:t>
        </w:r>
      </w:ins>
    </w:p>
    <w:p>
      <w:pPr>
        <w:pStyle w:val="BodyText"/>
        <w:rPr>
          <w:del w:id="1734" w:author="Arshad Akhtar Abbasia" w:date="2026-10-04T12:00:00Z"/>
        </w:rPr>
      </w:pPr>
      <w:del w:id="1735" w:author="Arshad Akhtar Abbasia" w:date="2026-10-04T12:00:00Z">
        <w:r>
          <w:delTex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 because each was priced into the claim before the claim was made and a conclusion that re-enumerates them adds length rather than candour.</w:delText>
        </w:r>
      </w:del>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w:t>
      </w:r>
      <w:del w:id="1736" w:author="Arshad Akhtar Abbasia" w:date="2026-10-04T12:00:00Z">
        <w:r>
          <w:delText xml:space="preserve">is the honest statement of </w:delText>
        </w:r>
      </w:del>
      <w:ins w:id="1737" w:author="Arshad Akhtar Abbasia" w:date="2026-10-04T12:00:00Z">
        <w:r>
          <w:t xml:space="preserve">states </w:t>
        </w:r>
      </w:ins>
      <w:r>
        <w:t xml:space="preserve">where this thesis is weakest.</w:t>
      </w:r>
    </w:p>
    <w:p>
      <w:pPr>
        <w:pStyle w:val="Heading2"/>
      </w:pPr>
      <w:ins w:id="1738" w:author="Arshad Akhtar Abbasia" w:date="2026-10-04T12:00:00Z">
        <w:r>
          <w:t xml:space="preserve">7.4 </w:t>
        </w:r>
      </w:ins>
      <w:r>
        <w:t xml:space="preserve">The Two Open Questions of Authority</w:t>
      </w:r>
    </w:p>
    <w:p>
      <w:pPr>
        <w:pStyle w:val="BodyText"/>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 “identifiable logs” in Article 73(1)(e) as requiring logs whose subject matter remains readable, </w:t>
      </w:r>
      <w:del w:id="1739" w:author="Arshad Akhtar Abbasia" w:date="2026-10-04T12:00:00Z">
        <w:r>
          <w:delText xml:space="preserve">Theorem </w:delText>
        </w:r>
      </w:del>
      <w:ins w:id="1740" w:author="Arshad Akhtar Abbasia" w:date="2026-10-04T12:00:00Z">
        <w:r>
          <w:t xml:space="preserve">Proposition </w:t>
        </w:r>
      </w:ins>
      <w:r>
        <w:t xml:space="preserve">2 remains true of the model and inert in practice.</w:t>
      </w:r>
    </w:p>
    <w:p>
      <w:pPr>
        <w:pStyle w:val="BodyText"/>
        <w:rPr>
          <w:ins w:id="1741" w:author="Arshad Akhtar Abbasia" w:date="2026-10-04T12:00:00Z"/>
        </w:rPr>
      </w:pPr>
      <w:ins w:id="1742" w:author="Arshad Akhtar Abbasia" w:date="2026-10-04T12:00:00Z">
        <w:r>
          <w:t xml:space="preserve">The second concerns scope: whether Article 68(12), which requires “the electronic health data within the secure processing environment” to be deleted within six months of permit expiry, reaches, on the broad reading, access logs kept at patient-record granularity (Chapter 4, Section 4.6). Corollary 1.2 stands or falls with this question, and nothing else in the thesis does. A related question remains open on either reading: whether auditing “all processing operations” after the ceiling needs the subject link, or only the accessor fields that the Joint Action’s specification requires every log to carry.</w:t>
        </w:r>
      </w:ins>
    </w:p>
    <w:p>
      <w:pPr>
        <w:pStyle w:val="BodyText"/>
        <w:rPr>
          <w:del w:id="1743" w:author="Arshad Akhtar Abbasia" w:date="2026-10-04T12:00:00Z"/>
        </w:rPr>
      </w:pPr>
      <w:del w:id="1744" w:author="Arshad Akhtar Abbasia" w:date="2026-10-04T12:00:00Z">
        <w:r>
          <w:delText xml:space="preserve">The second concerns scope. Article 68(12) governs the data within the secure processing environment. The thesis reads that as reaching the identifiable access logs the environment generates, on the grounds that the provision is framed by location rather than provenance and that the Regulation uses the narrower “made available under the data permit” formulation elsewhere when it means it. The competing construction, supported by the provision’s placement within the data-permit article, confines it to the permitted dataset. Chapter 4, Section 4.6 shows that Corollary 1.2 stands or falls with this question and that nothing else in the thesis does.</w:delText>
        </w:r>
      </w:del>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t>
      </w:r>
      <w:del w:id="1745" w:author="Arshad Akhtar Abbasia" w:date="2026-10-04T12:00:00Z">
        <w:r>
          <w:delText xml:space="preserve">and </w:delText>
        </w:r>
      </w:del>
      <w:r>
        <w:t xml:space="preserve">whether Article 68(12) reaches access </w:t>
      </w:r>
      <w:del w:id="1746" w:author="Arshad Akhtar Abbasia" w:date="2026-10-04T12:00:00Z">
        <w:r>
          <w:delText xml:space="preserve">logs, </w:delText>
        </w:r>
      </w:del>
      <w:ins w:id="1747" w:author="Arshad Akhtar Abbasia" w:date="2026-10-04T12:00:00Z">
        <w:r>
          <w:t xml:space="preserve">logs kept at patient-record granularity, and whether the audit purpose of Article 73(1)(e) needs the subject link after the ceiling, </w:t>
        </w:r>
      </w:ins>
      <w:r>
        <w:t xml:space="preserve">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p>
      <w:pPr>
        <w:pStyle w:val="Heading2"/>
      </w:pPr>
      <w:ins w:id="1748" w:author="Arshad Akhtar Abbasia" w:date="2026-10-04T12:00:00Z">
        <w:r>
          <w:t xml:space="preserve">7.5 </w:t>
        </w:r>
      </w:ins>
      <w:r>
        <w:t xml:space="preserve">Future Work</w:t>
      </w:r>
    </w:p>
    <w:p>
      <w:pPr>
        <w:pStyle w:val="BodyText"/>
      </w:pPr>
      <w:r>
        <w:t xml:space="preserve">Four lines follow, the first immediate and the remainder in ascending order of difficulty.</w:t>
      </w:r>
    </w:p>
    <w:p>
      <w:pPr>
        <w:pStyle w:val="BodyText"/>
      </w:pPr>
      <w:r>
        <w:t xml:space="preserve">Execution of the expert evaluation. 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t xml:space="preserve">Selective disclosure of invalidation completeness. The mechanism creates a problem it does not solve. When a data subject exercises Article 17, every record relating to them is invalidated, and an auditor should be able to confirm that all 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w:t>
      </w:r>
      <w:del w:id="1749" w:author="Arshad Akhtar Abbasia" w:date="2026-10-04T12:00:00Z">
        <w:r>
          <w:delText xml:space="preserve">decorative. </w:delText>
        </w:r>
      </w:del>
      <w:ins w:id="1750" w:author="Arshad Akhtar Abbasia" w:date="2026-10-04T12:00:00Z">
        <w:r>
          <w:t xml:space="preserve">decorative, and the audit log of Chapter 4, Section 4.8 gives the problem a concrete form. If each leaf also carried a hiding commitment to its record’s subject link, a circuit taking the published root as its public input could prove that every leaf committed to a given subject is matched by an invalidation leaf, while revealing neither the leaves nor their number. Pairing-based arguments give proofs of constant size (Groth, 2016), and universal-setup systems avoid a trusted setup per circuit (Gabizon, Williamson, &amp; Ciobotaru, 2019); which suits a regulator who must verify without trusting the controller is a design question for that work. </w:t>
        </w:r>
      </w:ins>
      <w:r>
        <w:t xml:space="preserve">The project name carried by this work originates in an earlier design that assumed zero-knowledge machinery would enforce the retention conflict; the analysis showed it unnecessary there, and shows it unavoidable here.</w:t>
      </w:r>
    </w:p>
    <w:p>
      <w:pPr>
        <w:pStyle w:val="BodyText"/>
      </w:pPr>
      <w:r>
        <w:t xml:space="preserve">Public verifiability of deletion certificates. 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t xml:space="preserve">Generalisation beyond health data. The structure the model captures (one or more retention floors, a subject-triggered erasure right, and a deletion ceiling) is not obviously specific to </w:t>
      </w:r>
      <w:del w:id="1751" w:author="Arshad Akhtar Abbasia" w:date="2026-10-04T12:00:00Z">
        <w:r>
          <w:delText xml:space="preserve">health. Whether other regulated sectors present genuine tri-lateral instances, as distinct </w:delText>
        </w:r>
      </w:del>
      <w:ins w:id="1752" w:author="Arshad Akhtar Abbasia" w:date="2026-10-04T12:00:00Z">
        <w:r>
          <w:t xml:space="preserve">health, and Chapter 6, Section 6.10 ran one test outside it: Norwegian police register law pairs a floor with a longer ceiling </w:t>
        </w:r>
      </w:ins>
      <w:r>
        <w:t xml:space="preserve">from the </w:t>
      </w:r>
      <w:del w:id="1753" w:author="Arshad Akhtar Abbasia" w:date="2026-10-04T12:00:00Z">
        <w:r>
          <w:delText xml:space="preserve">bi-lateral floor-against-right conflicts documented in </w:delText>
        </w:r>
      </w:del>
      <w:ins w:id="1754" w:author="Arshad Akhtar Abbasia" w:date="2026-10-04T12:00:00Z">
        <w:r>
          <w:t xml:space="preserve">same event and, as Proposition 3 predicts, produces no collision without an erasure request. Proposition 3 turns the search for other instances into a test that can be applied to a statute’s text: look for a ceiling no longer than a floor and anchored to a different event. Applying it across regulated sectors, </w:t>
        </w:r>
      </w:ins>
      <w:r>
        <w:t xml:space="preserve">financial </w:t>
      </w:r>
      <w:del w:id="1755" w:author="Arshad Akhtar Abbasia" w:date="2026-10-04T12:00:00Z">
        <w:r>
          <w:delText xml:space="preserve">record-keeping, is a question this thesis has flagged rather than investigated. Establishing that the formulation transfers, or that it does not, </w:delText>
        </w:r>
      </w:del>
      <w:ins w:id="1756" w:author="Arshad Akhtar Abbasia" w:date="2026-10-04T12:00:00Z">
        <w:r>
          <w:t xml:space="preserve">record-keeping first, </w:t>
        </w:r>
      </w:ins>
      <w:r>
        <w:t xml:space="preserve">would determine whether the contribution is a result about one regulation or a method for a class of them.</w:t>
      </w:r>
    </w:p>
    <w:p>
      <w:pPr>
        <w:pStyle w:val="Heading2"/>
      </w:pPr>
      <w:ins w:id="1757" w:author="Arshad Akhtar Abbasia" w:date="2026-10-04T12:00:00Z">
        <w:r>
          <w:t xml:space="preserve">7.6 </w:t>
        </w:r>
      </w:ins>
      <w:r>
        <w:t xml:space="preserve">Closing</w:t>
      </w:r>
    </w:p>
    <w:p>
      <w:pPr>
        <w:pStyle w:val="BodyText"/>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w:t>
      </w:r>
      <w:del w:id="1758" w:author="Arshad Akhtar Abbasia" w:date="2026-10-04T12:00:00Z">
        <w:r>
          <w:delText xml:space="preserve">finalised after </w:delText>
        </w:r>
      </w:del>
      <w:ins w:id="1759" w:author="Arshad Akhtar Abbasia" w:date="2026-10-04T12:00:00Z">
        <w:r>
          <w:t xml:space="preserve">put to </w:t>
        </w:r>
      </w:ins>
      <w:r>
        <w:t xml:space="preserve">public </w:t>
      </w:r>
      <w:del w:id="1760" w:author="Arshad Akhtar Abbasia" w:date="2026-10-04T12:00:00Z">
        <w:r>
          <w:delText xml:space="preserve">hearing, </w:delText>
        </w:r>
      </w:del>
      <w:ins w:id="1761" w:author="Arshad Akhtar Abbasia" w:date="2026-10-04T12:00:00Z">
        <w:r>
          <w:t xml:space="preserve">hearing in 2025, </w:t>
        </w:r>
      </w:ins>
      <w:r>
        <w:t xml:space="preserve">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w:t>
      </w:r>
      <w:del w:id="1762" w:author="Arshad Akhtar Abbasia" w:date="2026-10-04T12:00:00Z">
        <w:r>
          <w:delText xml:space="preserve">Every limitation was stated before it was found. </w:delText>
        </w:r>
      </w:del>
      <w:r>
        <w:t xml:space="preserve">The two places where the argument outruns its authority are </w:t>
      </w:r>
      <w:del w:id="1763" w:author="Arshad Akhtar Abbasia" w:date="2026-10-04T12:00:00Z">
        <w:r>
          <w:delText xml:space="preserve">named rather than concealed, </w:delText>
        </w:r>
      </w:del>
      <w:ins w:id="1764" w:author="Arshad Akhtar Abbasia" w:date="2026-10-04T12:00:00Z">
        <w:r>
          <w:t xml:space="preserve">named, </w:t>
        </w:r>
      </w:ins>
      <w:r>
        <w:t xml:space="preserve">and the means of settling them is a letter rather than a research </w:t>
      </w:r>
      <w:del w:id="1765" w:author="Arshad Akhtar Abbasia" w:date="2026-10-04T12:00:00Z">
        <w:r>
          <w:delText xml:space="preserve">programme.</w:delText>
        </w:r>
      </w:del>
      <w:ins w:id="1766" w:author="Arshad Akhtar Abbasia" w:date="2026-10-04T12:00:00Z">
        <w:r>
          <w:t xml:space="preserve">programme. What remains is to ask the questions the thesis cannot answer itself.</w:t>
        </w:r>
      </w:ins>
    </w:p>
    <w:p>
      <w:pPr>
        <w:pStyle w:val="BodyText"/>
        <w:rPr>
          <w:del w:id="1767" w:author="Arshad Akhtar Abbasia" w:date="2026-10-04T12:00:00Z"/>
        </w:rPr>
      </w:pPr>
      <w:del w:id="1768" w:author="Arshad Akhtar Abbasia" w:date="2026-10-04T12:00:00Z">
        <w:r>
          <w:delText xml:space="preserve">That is the thesis. What remains is to ask the questions it cannot answer itself.</w:delText>
        </w:r>
      </w:del>
    </w:p>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2026-10-03T22:37:26Z</dcterms:created>
  <dcterms:modified xsi:type="dcterms:W3CDTF">2026-10-03T22:37:26Z</dcterms:modified>
</cp:coreProperties>
</file>

<file path=docProps/custom.xml><?xml version="1.0" encoding="utf-8"?>
<Properties xmlns="http://schemas.openxmlformats.org/officeDocument/2006/custom-properties" xmlns:vt="http://schemas.openxmlformats.org/officeDocument/2006/docPropsVTypes"/>
</file>