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(Theorem 1). Under accountability-preserving semantics they are jointly satisfiable for every arrival pattern of erasure requests and permit expiries and for every retention floor (Theorem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Theorem 1 establishes infeasibility under the semantics implicit in current audit practice. Theorem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finalised national criteria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Theorem 1 and corollaries; Theorem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recommendations have since been consolidated into final form, including separate compliance checklists for SPE providers and SPE user organisations, positioned as a national reference basis pending the EU implementing act (SPUHiN, 2025). The finalised criteria contain governance and functional requirements but no mechanism reconciling the retention and erasure regimes: the gap addressed here therefore survives against the final national document, not merely a draft.</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theorems,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finalised national SPE criteria from the SPUHiN process, whose published checklists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and imports a solution structure that logistics has operated for decades into a domain that has not yet recognised the equivalence.</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theorems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theorems;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theorems.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recommendations were consolidated into final form as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finalised checklists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the finalised criteria do not contain, at any grade, is a requirement or mechanism addressing the reconciliation of audit-retention obligations with erasure and deletion obligations on the records the SPE generates. The gap identified by this thesis therefore survives contact with the final national document, not merely its draft: Norway now possesses finalised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finalised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ten-year retention floor for that audit log under the eHDSI security framework is the digital equivalent of mandatory customs record-keeping obligations under physical trade law. The right to erasure under General Data Protection Regulation Article 17 is the digital equivalent of the destruction-of-records requirements that apply to perishable or sensitive physical goods. The conflict between these regimes is the same kind of conflict that physical logistics has long managed through ledger-based reconciliation systems, certified destruction protocols, and chain-of-custody documentation.</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final</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finalised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finalised Norwegian SPE criteria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finalised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finalised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theorems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theorems,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Theorem 1 states that under plaintext-verifiability semantics the constraint system is infeasible whenever an erasure request or a permit expiry falls within a record’s retention window, which, over a ten-year window, is the ordinary case rather than the exception.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Theorem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theorems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theorems.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Theorem 1 can find in its output the specific record, month, and constraint at which plaintext semantics fails; a reader who doubts Theorem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theorems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theorems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finalised Norwegian Secure Processing Environment criteria,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theorems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Theorem 1 requires only that some valid request fall inside a retention window, and Corollary 1.2 involves no erasure request at all. The abstraction therefore inflates the frequencies reported in Chapter 5 and leaves the theorems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theorems,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retains verbatim an anchor statement asserting that the mechanism gives auditors full confidence that data was lawfully deleted, which is stronger than the thesis’s own claim; a paired item captures the distinction between attestation and proof, and disagreement with the anchor would be an accurate response rather than an instrument failure.</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Theorem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Theorem 1 establishes that under the semantics implicit in current practice the constraint system is infeasible. Theorem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theorems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theorems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theorems.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theorems below establish what follows from each.</w:t>
      </w:r>
    </w:p>
    <w:bookmarkEnd w:id="70"/>
    <w:bookmarkStart w:id="71" w:name="X3fed01e8b6f7a8983fb9fd535908c9690537113"/>
    <w:p>
      <w:pPr>
        <w:pStyle w:val="Heading2"/>
      </w:pPr>
      <w:r>
        <w:t xml:space="preserve">4.6 Theorem 1: Infeasibility under Plaintext Verifiability</w:t>
      </w:r>
    </w:p>
    <w:p>
      <w:pPr>
        <w:pStyle w:val="BlockText"/>
      </w:pPr>
      <w:r>
        <w:rPr>
          <w:iCs/>
          <w:i/>
        </w:rPr>
        <w:t xml:space="preserve">Theorem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Infeasibility is therefore not an edge case arising from unusual timing; it is the generic case, avoided only if no data subject exercises Article 17 in respect of any record for essentially the whole of its retention life.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But the architecture of the results is deliberately such that little turns on which reading prevails, and that should be made explicit. Under the narrow reading, Corollary 1.2 lapses, and with it the claim that infeasibility arises without any data-subject action. Theorem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Theorem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Theorem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bookmarkEnd w:id="71"/>
    <w:bookmarkStart w:id="72" w:name="X0a550daa55f0887cccca91fadd747ef3e5833f9"/>
    <w:p>
      <w:pPr>
        <w:pStyle w:val="Heading2"/>
      </w:pPr>
      <w:r>
        <w:t xml:space="preserve">4.7 Theorem 2: Feasibility under Accountability-Preserving Verifiability</w:t>
      </w:r>
    </w:p>
    <w:p>
      <w:pPr>
        <w:pStyle w:val="BlockText"/>
      </w:pPr>
      <w:r>
        <w:rPr>
          <w:iCs/>
          <w:i/>
        </w:rPr>
        <w:t xml:space="preserve">Theorem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An objection should be anticipated rather than left for a reader to formulate: that Theorem 2 proves little, because Semantics II was defined in full knowledge of the trajectory that satisfies it. The objection has force and the response is to concede its premise and deny its conclusion. The mathematical content of Theorem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Theorem 1 carries the load that Theorem 2 does not: it establishes that</w:t>
      </w:r>
      <w:r>
        <w:t xml:space="preserve"> </w:t>
      </w:r>
      <w:r>
        <w:rPr>
          <w:iCs/>
          <w:i/>
        </w:rPr>
        <w:t xml:space="preserve">some</w:t>
      </w:r>
      <w:r>
        <w:t xml:space="preserve"> </w:t>
      </w:r>
      <w:r>
        <w:t xml:space="preserve">departure is unavoidable, because the status quo admits no solution at all. Theorem 2 then shows that a principled and minimal departure suffices. The legal defensibility of Semantics II is argued in Section 4.2 and its want of authority is confronted in Chapter 6, Section 6.2; it is not established by the theorem, and no reader should take the theorem as establishing it.</w:t>
      </w:r>
    </w:p>
    <w:p>
      <w:pPr>
        <w:pStyle w:val="BodyText"/>
      </w:pPr>
      <w:r>
        <w:rPr>
          <w:iCs/>
          <w:i/>
        </w:rPr>
        <w:t xml:space="preserve">What the theorem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Theorem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Theorem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Theorem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theorems: Theorem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3"/>
    <w:bookmarkStart w:id="74" w:name="residue-analysis"/>
    <w:p>
      <w:pPr>
        <w:pStyle w:val="Heading2"/>
      </w:pPr>
      <w:r>
        <w:t xml:space="preserve">4.9 Residue Analysis</w:t>
      </w:r>
    </w:p>
    <w:p>
      <w:pPr>
        <w:pStyle w:val="FirstParagraph"/>
      </w:pPr>
      <w:r>
        <w:t xml:space="preserve">Theorem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Six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version of the specification inspected requires logs to identify the actor and states no requirement for patient-level logging (TEHDAS2, 2026). Minimisation does not remove from the scope of Article 17 the payload the standard requires, which is the case Proposition L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L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Theorem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Theorem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finalised Norwegian criteria for Secure Processing Environments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generically so in the cross-border case and, critically, without any erasure request at all in the Secure Processing Environment case,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finalised national criteria do not already require.</w:t>
      </w:r>
    </w:p>
    <w:p>
      <w:pPr>
        <w:pStyle w:val="BodyText"/>
      </w:pPr>
      <w:r>
        <w:t xml:space="preserve">Chapter 5 demonstrates both theorems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theorems of Chapter 4 hold on the instances examined. It does not verify them in the proof-assistant sense, it does not measure performance, and it does not deploy anything. Theorem 1 predicts that under plaintext-verifiability semantics the constraint system fails whenever an erasure deadline or a deletion-ceiling deadline falls inside a record’s retention window. Theorem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363 lines including documentation and the independent cross-check, of which 276 are non-blank, non-comment lines and the constraint-evaluation logic proper occupies approximately ninety. It depends only on the Python standard library:</w:t>
      </w:r>
      <w:r>
        <w:t xml:space="preserve"> </w:t>
      </w:r>
      <w:r>
        <w:rPr>
          <w:rStyle w:val="VerbatimChar"/>
        </w:rPr>
        <w:t xml:space="preserve">hashlib</w:t>
      </w:r>
      <w:r>
        <w:t xml:space="preserve"> </w:t>
      </w:r>
      <w:r>
        <w:t xml:space="preserve">for commitments,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Constraint evaluation under both semantics, plus the independent exhaustive cross-check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Five-tab viewer over the artefact; never a source of results</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containing the actor identifier, the national contact point, the patient pseudonym, the document category, the legal basis, and the outcome; a payload;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Theorem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theorem excludes. The checker therefore reproduces the theorem’s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Theorem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Theorem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Theorem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Theorem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theorems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Theorem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Theorem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Theorem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lockText"/>
      </w:pPr>
      <w:r>
        <w:t xml:space="preserve">metadata intact : True — actor=HP-026, ncp=NO, outcome=success</w:t>
      </w:r>
      <w:r>
        <w:t xml:space="preserve"> </w:t>
      </w:r>
      <w:r>
        <w:t xml:space="preserve">commitment c(a) : 11087780fd192c8fdaa237081ee0bb11…</w:t>
      </w:r>
      <w:r>
        <w:t xml:space="preserve"> </w:t>
      </w:r>
      <w:r>
        <w:t xml:space="preserve">payload key k(a) : None ← destroyed</w:t>
      </w:r>
      <w:r>
        <w:t xml:space="preserve"> </w:t>
      </w:r>
      <w:r>
        <w:t xml:space="preserve">invalidation ι(a) : month=16, ground=EHDS Art 68(12)</w:t>
      </w:r>
      <w:r>
        <w:t xml:space="preserve"> </w:t>
      </w:r>
      <w: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health professional, at which contact point, with what outcome.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theorems hold on all two hundred generated instances. Theorem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theorems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Theorem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35 bytes to 1,006.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L).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and the same conditions produced ninety infeasible records across the full population of two hundred when the cross-border audit floor is included.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theorem, since Theorem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Theorem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either reading. The provision is framed by location rather than provenance, which supports the broad reading; its object is electronic health data, which confines that reading to logs kept at patient-record granularity; and its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theorem: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were finalised through the SPUHiN process after a public hearing running from July to October 2025, and are positioned explicitly as a national reference basis pending the Union implementing act (SPUHiN, 2025). The finalised compliance checklists, as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rather than a numerical one.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Theorem 1 characterises, and Corollary 1.2 is the case where it happens with no erasure request present at all.</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Theorem 1 establishes infeasibility under the status-quo semantics; Theorem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finalised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Theorem 2 remains true of the model and inert in practice.</w:t>
      </w:r>
    </w:p>
    <w:p>
      <w:pPr>
        <w:pStyle w:val="BodyText"/>
      </w:pPr>
      <w:r>
        <w:t xml:space="preserve">The second concerns scope.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On the broad reading, which takes the provision’s scope from its location, it reaches access logs kept at patient-record granularity, whose subject fields are data concerning health. The competing construction, supported by the provision’s placement within the data-permit article, confines it to the permitted dataset. Chapter 4, Section 4.6 shows that Corollary 1.2 stands or falls with this question and that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finalised after public hearing,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Theorems 1 and 2, including the independent exhaustive cross-check</w:t>
            </w:r>
          </w:p>
        </w:tc>
        <w:tc>
          <w:tcPr/>
          <w:p>
            <w:pPr>
              <w:pStyle w:val="Compact"/>
              <w:jc w:val="left"/>
            </w:pPr>
            <w:r>
              <w:t xml:space="preserve">363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526</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Theorem 1.</w:t>
      </w:r>
    </w:p>
    <w:p>
      <w:pPr>
        <w:numPr>
          <w:ilvl w:val="0"/>
          <w:numId w:val="1006"/>
        </w:numPr>
        <w:pStyle w:val="Compact"/>
      </w:pPr>
      <w:r>
        <w:rPr>
          <w:rStyle w:val="VerbatimChar"/>
        </w:rPr>
        <w:t xml:space="preserve">check_semantics_II()</w:t>
      </w:r>
      <w:r>
        <w:t xml:space="preserve"> </w:t>
      </w:r>
      <w:r>
        <w:t xml:space="preserve">applies the constructive trajectory from the proof of Theorem 2 (destroy the payload key and the commitment salt at</w:t>
      </w:r>
      <w:r>
        <w:t xml:space="preserve"> </w:t>
      </w:r>
      <w:r>
        <w:rPr>
          <w:rStyle w:val="VerbatimChar"/>
        </w:rPr>
        <w:t xml:space="preserve">min(t_r + δ, t_π + 6)</w:t>
      </w:r>
      <w:r>
        <w:t xml:space="preserve">, append a grounded invalidation entry, retain metadata and commitment) and then verifies all three constraints.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Salts are derived deterministically from the record identifier so that runs reproduce exactly. That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35 bytes to 1,006.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Reference commitment, record 100</w:t>
            </w:r>
          </w:p>
        </w:tc>
        <w:tc>
          <w:tcPr/>
          <w:p>
            <w:pPr>
              <w:pStyle w:val="Compact"/>
              <w:jc w:val="left"/>
            </w:pPr>
            <w:r>
              <w:rPr>
                <w:rStyle w:val="VerbatimChar"/>
              </w:rPr>
              <w:t xml:space="preserve">11087780fd192c8f…</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is unchanged across the salt-handling refactor documented in the thesis change log, which is the intended behaviour.</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theorems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Theorem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363.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Theorem 1 (infeasibility under plaintext-verifiability</w:t>
      </w:r>
      <w:r>
        <w:br/>
      </w:r>
      <w:r>
        <w:rPr>
          <w:rStyle w:val="CommentTok"/>
        </w:rPr>
        <w:t xml:space="preserve">semantics) and Theorem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w:t>
      </w:r>
      <w:r>
        <w:br/>
      </w:r>
      <w:r>
        <w:rPr>
          <w:rStyle w:val="CommentTok"/>
        </w:rPr>
        <w:t xml:space="preserve">Deterministic: fixed seed, identical output on every run.</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accountability content, no clinical payload</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"SPE-AccessLog"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ntrolFlowTok"/>
        </w:rPr>
        <w:t xml:space="preserve">if</w:t>
      </w:r>
      <w:r>
        <w:rPr>
          <w:rStyle w:val="NormalTok"/>
        </w:rPr>
        <w:t xml:space="preserve"> </w:t>
      </w:r>
      <w:r>
        <w:rPr>
          <w:rStyle w:val="VariableTok"/>
        </w:rPr>
        <w:t xml:space="preserve">False</w:t>
      </w:r>
      <w:r>
        <w:rPr>
          <w:rStyle w:val="NormalTok"/>
        </w:rPr>
        <w:t xml:space="preserve"> </w:t>
      </w:r>
      <w:r>
        <w:rPr>
          <w:rStyle w:val="ControlFlowTok"/>
        </w:rPr>
        <w:t xml:space="preserve">else</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Theorem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§4.8)</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V_II(rec, t):</w:t>
      </w:r>
      <w:r>
        <w:br/>
      </w:r>
      <w:r>
        <w:rPr>
          <w:rStyle w:val="NormalTok"/>
        </w:rPr>
        <w:t xml:space="preserve">    </w:t>
      </w:r>
      <w:r>
        <w:rPr>
          <w:rStyle w:val="CommentTok"/>
        </w:rPr>
        <w:t xml:space="preserve">"""(i) metadata intact, (ii) commitment present,</w:t>
      </w:r>
      <w:r>
        <w:br/>
      </w:r>
      <w:r>
        <w:rPr>
          <w:rStyle w:val="CommentTok"/>
        </w:rPr>
        <w:t xml:space="preserve">       (iii) any loss of accessibility is itself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rec.m:</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"metadata missing"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f"&lt;FHIR:Bundle patient-summary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f"&lt;FHIR:AuditEvent spe-access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Theorem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Theorem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metadata intact      : </w:t>
      </w:r>
      <w:r>
        <w:rPr>
          <w:rStyle w:val="SpecialCharTok"/>
        </w:rPr>
        <w:t xml:space="preserve">{</w:t>
      </w:r>
      <w:r>
        <w:rPr>
          <w:rStyle w:val="BuiltInTok"/>
        </w:rPr>
        <w:t xml:space="preserve">bool</w:t>
      </w:r>
      <w:r>
        <w:rPr>
          <w:rStyle w:val="NormalTok"/>
        </w:rPr>
        <w:t xml:space="preserve">(demo.m)</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theorems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526.</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Theorems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f"metadata intact      : True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Theorem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st.json(json.loads(real[</w:t>
      </w:r>
      <w:r>
        <w:rPr>
          <w:rStyle w:val="DecValTok"/>
        </w:rPr>
        <w:t xml:space="preserve">0</w:t>
      </w:r>
      <w:r>
        <w:rPr>
          <w:rStyle w:val="NormalTok"/>
        </w:rPr>
        <w:t xml:space="preserve">].payload))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constructed=35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with one already known to overstate what</w:t>
      </w:r>
      <w:r>
        <w:t xml:space="preserve"> </w:t>
      </w:r>
      <w:r>
        <w:t xml:space="preserve">the thesis claims: item A1 asserts that the mechanism gives auditors</w:t>
      </w:r>
      <w:r>
        <w:t xml:space="preserve"> </w:t>
      </w:r>
      <w:r>
        <w:rPr>
          <w:iCs/>
          <w:i/>
        </w:rPr>
        <w:t xml:space="preserve">full confidence</w:t>
      </w:r>
      <w:r>
        <w:t xml:space="preserve">,</w:t>
      </w:r>
      <w:r>
        <w:t xml:space="preserve"> </w:t>
      </w:r>
      <w:r>
        <w:t xml:space="preserve">which Chapter 6, Section 6.3 explicitly does not claim. It is retained verbatim because it</w:t>
      </w:r>
      <w:r>
        <w:t xml:space="preserve"> </w:t>
      </w:r>
      <w:r>
        <w:t xml:space="preserve">was proposed as the anchor and because silently correcting a supervisor’s wording would</w:t>
      </w:r>
      <w:r>
        <w:t xml:space="preserve"> </w:t>
      </w:r>
      <w:r>
        <w:t xml:space="preserve">misrepresent the record. A pilot is the proper place to resolve it.</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rPr>
                <w:iCs/>
                <w:i/>
              </w:rPr>
              <w:t xml:space="preserve">The cryptographic proof gives auditors full confidence that data was lawfully deleted at the required timestamp.</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 A1. The anchor statement asserts that the mechanism gives auditors</w:t>
      </w:r>
      <w:r>
        <w:t xml:space="preserve"> </w:t>
      </w:r>
      <w:r>
        <w:rPr>
          <w:iCs/>
          <w:i/>
        </w:rPr>
        <w:t xml:space="preserve">full confidence</w:t>
      </w:r>
      <w:r>
        <w:t xml:space="preserve">, which the thesis itself does not claim: Chapter 6, Section 6.3 states that the invalidation entry is an attestation rather than a proof. The item is retained verbatim because it was proposed as the anchor and because disagreement with it would be an accurate response rather than a failure of the instrument. Item A2 exists to capture that distinction directly, and analysis would read A1 and A2 together rather than A1 alone.</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2026-10-03T15:05:09Z</dcterms:created>
  <dcterms:modified xsi:type="dcterms:W3CDTF">2026-10-03T15:05:09Z</dcterms:modified>
</cp:coreProperties>
</file>

<file path=docProps/custom.xml><?xml version="1.0" encoding="utf-8"?>
<Properties xmlns="http://schemas.openxmlformats.org/officeDocument/2006/custom-properties" xmlns:vt="http://schemas.openxmlformats.org/officeDocument/2006/docPropsVTypes"/>
</file>