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78.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800" w:after="0"/>
        <w:jc w:val="center"/>
      </w:pPr>
      <w:r>
        <w:rPr>
          <w:b/>
          <w:color w:val="1F3864"/>
          <w:sz w:val="22"/>
          <w:szCs w:val="22"/>
        </w:rPr>
        <w:t xml:space="preserve">HØGSKOLEN I MOLDE</w:t>
      </w:r>
    </w:p>
    <w:p>
      <w:pPr>
        <w:spacing w:before="0" w:after="1400"/>
        <w:jc w:val="center"/>
      </w:pPr>
      <w:r>
        <w:rPr>
          <w:color w:val="555555"/>
          <w:sz w:val="20"/>
          <w:szCs w:val="20"/>
        </w:rPr>
        <w:t xml:space="preserve">Vitenskapelig høgskole i logistikk</w:t>
      </w:r>
    </w:p>
    <w:p>
      <w:pPr>
        <w:pBdr/>
        <w:spacing w:before="0" w:after="360"/>
        <w:jc w:val="center"/>
      </w:pPr>
      <w:r>
        <w:rPr>
          <w:rFonts w:ascii="Cambria" w:hAnsi="Cambria" w:cs="Cambria"/>
          <w:b/>
          <w:color w:val="1F3864"/>
          <w:sz w:val="40"/>
          <w:szCs w:val="40"/>
        </w:rPr>
        <w:t xml:space="preserve">Verifiable Crypto-Erasure for Cross-Border Health Data Audit Trails under the European Health Data Space</w:t>
      </w:r>
    </w:p>
    <w:p>
      <w:pPr>
        <w:spacing w:before="0" w:after="1200"/>
        <w:jc w:val="center"/>
      </w:pPr>
      <w:r>
        <w:rPr>
          <w:rFonts w:ascii="Cambria" w:hAnsi="Cambria" w:cs="Cambria"/>
          <w:i/>
          <w:color w:val="333333"/>
          <w:sz w:val="26"/>
          <w:szCs w:val="26"/>
        </w:rPr>
        <w:t xml:space="preserve">A Design Science Study of the Tri-Lateral Retention Feasibility Problem in the Norwegian Implementation Context</w:t>
      </w:r>
    </w:p>
    <w:p>
      <w:pPr>
        <w:spacing w:before="0" w:after="120"/>
        <w:jc w:val="center"/>
      </w:pPr>
      <w:r>
        <w:rPr>
          <w:b/>
          <w:sz w:val="28"/>
          <w:szCs w:val="28"/>
        </w:rPr>
        <w:t xml:space="preserve">Arshad Akhtar Abbasia</w:t>
      </w:r>
    </w:p>
    <w:p>
      <w:pPr>
        <w:spacing w:before="0" w:after="80"/>
        <w:jc w:val="center"/>
      </w:pPr>
      <w:r>
        <w:rPr>
          <w:sz w:val="22"/>
          <w:szCs w:val="22"/>
        </w:rPr>
        <w:t xml:space="preserve">Master of Science in Sustainable Energy Logistics</w:t>
      </w:r>
    </w:p>
    <w:p>
      <w:pPr>
        <w:spacing w:before="0" w:after="80"/>
        <w:jc w:val="center"/>
      </w:pPr>
      <w:r>
        <w:rPr>
          <w:sz w:val="22"/>
          <w:szCs w:val="22"/>
        </w:rPr>
        <w:t xml:space="preserve">Faculty of Logistics, Høgskolen i Molde, Vitenskapelig høgskole i logistikk</w:t>
      </w:r>
    </w:p>
    <w:p>
      <w:pPr>
        <w:spacing w:before="0" w:after="80"/>
        <w:jc w:val="center"/>
      </w:pPr>
      <w:r>
        <w:rPr>
          <w:sz w:val="22"/>
          <w:szCs w:val="22"/>
        </w:rPr>
        <w:t xml:space="preserve">Supervisor: Prof. João Ferreira</w:t>
      </w:r>
    </w:p>
    <w:p>
      <w:pPr>
        <w:spacing w:before="0" w:after="80"/>
        <w:jc w:val="center"/>
      </w:pPr>
      <w:r>
        <w:rPr>
          <w:sz w:val="22"/>
          <w:szCs w:val="22"/>
        </w:rPr>
        <w:t xml:space="preserve">Molde, November 2026</w:t>
      </w:r>
    </w:p>
    <w:p>
      <w:pPr>
        <w:spacing w:before="600" w:after="0"/>
        <w:jc w:val="center"/>
      </w:pPr>
      <w:r>
        <w:rPr>
          <w:color w:val="555555"/>
          <w:sz w:val="18"/>
          <w:szCs w:val="18"/>
        </w:rPr>
        <w:t xml:space="preserve">Artefact: github.com/Astheno-sphere/TRF  ·  Demonstration: trfhimolde.streamlit.app</w:t>
      </w:r>
    </w:p>
    <w:bookmarkStart w:id="20" w:name="abstract"/>
    <w:p>
      <w:pPr>
        <w:pStyle w:val="Heading1"/>
      </w:pPr>
      <w:bookmarkStart w:id="1010" w:name="h_Abstract"/>
      <w:r>
        <w:t xml:space="preserve">Abstract</w:t>
      </w:r>
      <w:bookmarkEnd w:id="1010"/>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Two further results locate the conflict: a ceiling collides with a floor only if it is no longer than the floor, and the event the ceiling is anchored to decides whether the collision is visible in the text or only in each record’s history (Proposition 3); moving a record out of the regulated environment satisfies the ceiling but not the right to erasure (Proposition 4). The witnessing mechanism, Crypto-Erasure by Invalidation, destroys a per-record payload key and, for Secure Processing Environment logs at the deletion ceiling, removes the record’s link to the patient, while retaining the accessor’s identity, event metadata, a hiding commitment and a logged invalidation entry in a tamper-evident log.</w:t>
      </w:r>
    </w:p>
    <w:p>
      <w:pPr>
        <w:pStyle w:val="BodyText"/>
      </w:pPr>
      <w:r>
        <w:t xml:space="preserve">Both results are checked in a Python sandbox over two hundred records with Synthea-generated FHIR R4 payloads. The counts depend on the generator parameters and are not estimates of real frequency; the sandbox validates the artefact’s implementation of the model and is not independent evidence for the propositions. The collision that needs no erasure request arises only on a contestable broad reading of Article 68(12), and only for logs kept at patient-record granularity.</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bookmarkEnd w:id="20"/>
    <w:bookmarkStart w:id="21" w:name="sammendrag"/>
    <w:p>
      <w:pPr>
        <w:pStyle w:val="Heading1"/>
      </w:pPr>
      <w:bookmarkStart w:id="1011" w:name="h_Sammendrag"/>
      <w:r>
        <w:t xml:space="preserve">Sammendrag</w:t>
      </w:r>
      <w:bookmarkEnd w:id="1011"/>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(proposisjon 1). Under semantikk som bevarer etterrettelighet, kan kravene tilfredsstilles samtidig for alle tidspunkter for slettebegjæringer og utløp av tillatelser og for alle lagringsminimum (proposisjon 2). To resultater til avgrenser konflikten: en øvre grense kolliderer med et lagringsminimum bare når den ikke er lengre enn minimumet, og hendelsen grensen regnes fra avgjør om kollisjonen kan ses i teksten eller bare i den enkelte postens historikk (proposisjon 3); å flytte en post ut av det regulerte miljøet oppfyller sletteplikten, men ikke retten til sletting (proposisjon 4). Mekanismen som viser dette, Crypto-Erasure by Invalidation, ødelegger nøkkelen til innholdet i hver enkelt post og fjerner, for tilgangslogger i sikre analyserom når sletteplikten inntreffer, postens kobling til pasienten, samtidig som identiteten til den som ga seg tilgang, hendelsesmetadata, en skjulende forpliktelse (commitment) og en logget ugyldiggjøringspost beholdes i en manipulasjonssikker logg.</w:t>
      </w:r>
    </w:p>
    <w:p>
      <w:pPr>
        <w:pStyle w:val="BodyText"/>
      </w:pPr>
      <w:r>
        <w:t xml:space="preserve">Begge resultatene kontrolleres i en Python-sandkasse med to hundre poster og syntetiske FHIR R4-data generert med Synthea. Antallene avhenger av parameterne i generatoren og er ikke anslag over reell hyppighet; sandkassen kontrollerer at artefakten implementerer modellen riktig og er ikke uavhengig belegg for proposisjonene. Kollisjonen som ikke krever noen slettebegjæring, oppstår bare under en omstridt, vid lesing av artikkel 68(12), og bare for logger som føres på nivå med den enkelte pasientjournal.</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bookmarkEnd w:id="21"/>
    <w:bookmarkStart w:id="22" w:name="statement-of-contribution"/>
    <w:p>
      <w:pPr>
        <w:pStyle w:val="Heading1"/>
      </w:pPr>
      <w:bookmarkStart w:id="1012" w:name="h_Statement_of_Contribution"/>
      <w:r>
        <w:t xml:space="preserve">Statement of Contribution</w:t>
      </w:r>
      <w:bookmarkEnd w:id="1012"/>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Feasibility results with an executable witness.</w:t>
      </w:r>
      <w:r>
        <w:t xml:space="preserve"> </w:t>
      </w:r>
      <w:r>
        <w:t xml:space="preserve">Proposition 1 establishes infeasibility under the semantics of an audit log that keeps its payload readable. Proposition 2 establishes satisfiability under an alternative and exhibits the trajectory achieving it. Both are proved informally and checked executably, with a separately written exhaustive cross-check and a bounded SMT check of Propositions 1–3. Proposition 3 states the exact condition under which a ceiling collides with a floor and shows that the ceiling’s anchor decides whether the collision can be read from the text; Proposition 4 shows why relocating a record, the rival that removes it from the environment, does not dissolve the conflict.</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with each record’s metadata partitioned into the accessor’s fields, which accountability requires and the mechanism retains, and the link to the patient, which it keeps on the cross-border path where the person’s access-information right needs it and removes from Secure Processing Environment logs at the ceiling, and with entries committed to a tamper-evident log whose inclusion proofs the demonstration checks.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w:t>
      </w:r>
      <w:hyperlink w:anchor="ch_6" w:history="1">
        <w:r>
          <w:rPr>
            <w:rStyle w:val="Hyperlink"/>
          </w:rPr>
          <w:t xml:space="preserve">Chapter 6</w:t>
        </w:r>
      </w:hyperlink>
      <w:r>
        <w:t xml:space="preserve"> and proposed for resolution in Chapter 7.</w:t>
      </w:r>
    </w:p>
    <w:bookmarkEnd w:id="22"/>
    <w:bookmarkStart w:id="23" w:name="declaration-of-originality"/>
    <w:p>
      <w:pPr>
        <w:pStyle w:val="Heading1"/>
      </w:pPr>
      <w:bookmarkStart w:id="1013" w:name="h_Declaration_of_Originality"/>
      <w:r>
        <w:t xml:space="preserve">Declaration of Originality</w:t>
      </w:r>
      <w:bookmarkEnd w:id="1013"/>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text says so. An earlier draft of this project, discarded in May 2026, contained citations to works that do not exist and a statement of ethics approval that was never obtained;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bookmarkEnd w:id="23"/>
    <w:bookmarkStart w:id="24" w:name="nomenclature-and-abbreviations"/>
    <w:p>
      <w:pPr>
        <w:pStyle w:val="Heading1"/>
      </w:pPr>
      <w:bookmarkStart w:id="1014" w:name="h_Nomenclature_and_Abbreviations"/>
      <w:r>
        <w:t xml:space="preserve">Nomenclature and Abbreviations</w:t>
      </w:r>
      <w:bookmarkEnd w:id="1014"/>
    </w:p>
    <w:p>
      <w:pPr>
        <w:pStyle w:val="FirstParagraph"/>
      </w:pPr>
      <w:r>
        <w:rPr>
          <w:iCs/>
          <w:i/>
        </w:rPr>
        <w:t xml:space="preserve">Model notation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Symbol</w:t>
            </w:r>
          </w:p>
        </w:tc>
        <w:tc>
          <w:tcPr>
            <w:tcBorders>
              <w:bottom w:val="single" w:sz="8" w:space="0" w:color="333333"/>
            </w:tcBorders>
            <w:shd w:val="clear" w:color="auto" w:fill="E8EDF4"/>
          </w:tcPr>
          <w:p>
            <w:pPr>
              <w:pStyle w:val="Compact"/>
              <w:jc w:val="left"/>
            </w:pPr>
            <w:r>
              <w:rPr>
                <w:b/>
                <w:sz w:val="20"/>
                <w:szCs w:val="20"/>
              </w:rPr>
              <w:t xml:space="preserve">Meaning</w:t>
            </w:r>
          </w:p>
        </w:tc>
      </w:tr>
      <w:tr>
        <w:trPr>
          <w:cantSplit/>
        </w:trPr>
        <w:tc>
          <w:tcPr/>
          <w:p>
            <w:pPr>
              <w:pStyle w:val="Compact"/>
              <w:jc w:val="left"/>
            </w:pPr>
            <w:r>
              <w:rPr>
                <w:iCs/>
                <w:i/>
                <w:sz w:val="20"/>
                <w:szCs w:val="20"/>
              </w:rPr>
              <w:t xml:space="preserve">a</w:t>
            </w:r>
          </w:p>
        </w:tc>
        <w:tc>
          <w:tcPr/>
          <w:p>
            <w:pPr>
              <w:pStyle w:val="Compact"/>
              <w:jc w:val="left"/>
            </w:pPr>
            <w:r>
              <w:rPr>
                <w:sz w:val="20"/>
                <w:szCs w:val="20"/>
              </w:rPr>
              <w:t xml:space="preserve">An audit record</w:t>
            </w:r>
          </w:p>
        </w:tc>
      </w:tr>
      <w:tr>
        <w:trPr>
          <w:cantSplit/>
        </w:trPr>
        <w:tc>
          <w:tcPr/>
          <w:p>
            <w:pPr>
              <w:pStyle w:val="Compact"/>
              <w:jc w:val="left"/>
            </w:pPr>
            <w:r>
              <w:rPr>
                <w:iCs/>
                <w:i/>
                <w:sz w:val="20"/>
                <w:szCs w:val="20"/>
              </w:rPr>
              <w:t xml:space="preserve">m</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Event metadata — actor, contact point, patient pseudonym, document category, legal basis, outcome</w:t>
            </w:r>
          </w:p>
        </w:tc>
      </w:tr>
      <w:tr>
        <w:trPr>
          <w:cantSplit/>
        </w:trPr>
        <w:tc>
          <w:tcPr/>
          <w:p>
            <w:pPr>
              <w:pStyle w:val="Compact"/>
              <w:jc w:val="left"/>
            </w:pPr>
            <w:r>
              <w:rPr>
                <w:iCs/>
                <w:i/>
                <w:sz w:val="20"/>
                <w:szCs w:val="20"/>
              </w:rPr>
              <w:t xml:space="preserve">p</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Personal-data payload of the record</w:t>
            </w:r>
          </w:p>
        </w:tc>
      </w:tr>
      <w:tr>
        <w:trPr>
          <w:cantSplit/>
        </w:trPr>
        <w:tc>
          <w:tcPr/>
          <w:p>
            <w:pPr>
              <w:pStyle w:val="Compact"/>
              <w:jc w:val="left"/>
            </w:pPr>
            <w:r>
              <w:rPr>
                <w:iCs/>
                <w:i/>
                <w:sz w:val="20"/>
                <w:szCs w:val="20"/>
              </w:rPr>
              <w:t xml:space="preserve">c</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Hiding commitment to the payload,</w:t>
            </w:r>
            <w:r>
              <w:rPr>
                <w:sz w:val="20"/>
                <w:szCs w:val="20"/>
              </w:rPr>
              <w:t xml:space="preserve"> </w:t>
            </w:r>
            <w:r>
              <w:rPr>
                <w:iCs/>
                <w:i/>
                <w:sz w:val="20"/>
                <w:szCs w:val="20"/>
              </w:rPr>
              <w:t xml:space="preserve">c</w:t>
            </w:r>
            <w:r>
              <w:rPr>
                <w:sz w:val="20"/>
                <w:szCs w:val="20"/>
              </w:rPr>
              <w:t xml:space="preserve"> </w:t>
            </w:r>
            <w:r>
              <w:rPr>
                <w:sz w:val="20"/>
                <w:szCs w:val="20"/>
              </w:rPr>
              <w:t xml:space="preserve">= Commit(</w:t>
            </w:r>
            <w:r>
              <w:rPr>
                <w:iCs/>
                <w:i/>
                <w:sz w:val="20"/>
                <w:szCs w:val="20"/>
              </w:rPr>
              <w:t xml:space="preserve">p</w:t>
            </w:r>
            <w:r>
              <w:rPr>
                <w:sz w:val="20"/>
                <w:szCs w:val="20"/>
              </w:rPr>
              <w:t xml:space="preserve">,</w:t>
            </w:r>
            <w:r>
              <w:rPr>
                <w:sz w:val="20"/>
                <w:szCs w:val="20"/>
              </w:rPr>
              <w:t xml:space="preserve"> </w:t>
            </w:r>
            <w:r>
              <w:rPr>
                <w:iCs/>
                <w:i/>
                <w:sz w:val="20"/>
                <w:szCs w:val="20"/>
              </w:rPr>
              <w:t xml:space="preserve">r</w:t>
            </w:r>
            <w:r>
              <w:rPr>
                <w:sz w:val="20"/>
                <w:szCs w:val="20"/>
              </w:rPr>
              <w:t xml:space="preserve">)</w:t>
            </w:r>
          </w:p>
        </w:tc>
      </w:tr>
      <w:tr>
        <w:trPr>
          <w:cantSplit/>
        </w:trPr>
        <w:tc>
          <w:tcPr/>
          <w:p>
            <w:pPr>
              <w:pStyle w:val="Compact"/>
              <w:jc w:val="left"/>
            </w:pPr>
            <w:r>
              <w:rPr>
                <w:iCs/>
                <w:i/>
                <w:sz w:val="20"/>
                <w:szCs w:val="20"/>
              </w:rPr>
              <w:t xml:space="preserve">r</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Per-record commitment salt</w:t>
            </w:r>
          </w:p>
        </w:tc>
      </w:tr>
      <w:tr>
        <w:trPr>
          <w:cantSplit/>
        </w:trPr>
        <w:tc>
          <w:tcPr/>
          <w:p>
            <w:pPr>
              <w:pStyle w:val="Compact"/>
              <w:jc w:val="left"/>
            </w:pPr>
            <w:r>
              <w:rPr>
                <w:iCs/>
                <w:i/>
                <w:sz w:val="20"/>
                <w:szCs w:val="20"/>
              </w:rPr>
              <w:t xml:space="preserve">k</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Payload key</w:t>
            </w:r>
          </w:p>
        </w:tc>
      </w:tr>
      <w:tr>
        <w:trPr>
          <w:cantSplit/>
        </w:trPr>
        <w:tc>
          <w:tcPr/>
          <w:p>
            <w:pPr>
              <w:pStyle w:val="Compact"/>
              <w:jc w:val="left"/>
            </w:pPr>
            <w:r>
              <w:rPr>
                <w:iCs/>
                <w:i/>
                <w:sz w:val="20"/>
                <w:szCs w:val="20"/>
              </w:rPr>
              <w:t xml:space="preserve">ι</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Invalidation entry — month, legal ground, authorising actor</w:t>
            </w:r>
          </w:p>
        </w:tc>
      </w:tr>
      <w:tr>
        <w:trPr>
          <w:cantSplit/>
        </w:trPr>
        <w:tc>
          <w:tcPr/>
          <w:p>
            <w:pPr>
              <w:pStyle w:val="Compact"/>
              <w:jc w:val="left"/>
            </w:pPr>
            <w:r>
              <w:rPr>
                <w:iCs/>
                <w:i/>
                <w:sz w:val="20"/>
                <w:szCs w:val="20"/>
              </w:rPr>
              <w:t xml:space="preserve">t</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Month in which the access event occurred</w:t>
            </w:r>
          </w:p>
        </w:tc>
      </w:tr>
      <w:tr>
        <w:trPr>
          <w:cantSplit/>
        </w:trPr>
        <w:tc>
          <w:tcPr/>
          <w:p>
            <w:pPr>
              <w:pStyle w:val="Compact"/>
              <w:jc w:val="left"/>
            </w:pPr>
            <w:r>
              <w:rPr>
                <w:iCs/>
                <w:i/>
                <w:sz w:val="20"/>
                <w:szCs w:val="20"/>
              </w:rPr>
              <w:t xml:space="preserve">F</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Retention floor, in months (120 cross-border; 12 for SPE access logs)</w:t>
            </w:r>
          </w:p>
        </w:tc>
      </w:tr>
      <w:tr>
        <w:trPr>
          <w:cantSplit/>
        </w:trPr>
        <w:tc>
          <w:tcPr/>
          <w:p>
            <w:pPr>
              <w:pStyle w:val="Compact"/>
              <w:jc w:val="left"/>
            </w:pPr>
            <w:r>
              <w:rPr>
                <w:iCs/>
                <w:i/>
                <w:sz w:val="20"/>
                <w:szCs w:val="20"/>
              </w:rPr>
              <w:t xml:space="preserve">σ</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Pathway: primary or secondary</w:t>
            </w:r>
          </w:p>
        </w:tc>
      </w:tr>
      <w:tr>
        <w:trPr>
          <w:cantSplit/>
        </w:trPr>
        <w:tc>
          <w:tcPr/>
          <w:p>
            <w:pPr>
              <w:pStyle w:val="Compact"/>
              <w:jc w:val="left"/>
            </w:pPr>
            <w:r>
              <w:rPr>
                <w:iCs/>
                <w:i/>
                <w:sz w:val="20"/>
                <w:szCs w:val="20"/>
              </w:rPr>
              <w:t xml:space="preserve">t</w:t>
            </w:r>
            <w:r>
              <w:rPr>
                <w:sz w:val="20"/>
                <w:szCs w:val="20"/>
              </w:rPr>
              <w:t xml:space="preserve">ᵣ(</w:t>
            </w:r>
            <w:r>
              <w:rPr>
                <w:iCs/>
                <w:i/>
                <w:sz w:val="20"/>
                <w:szCs w:val="20"/>
              </w:rPr>
              <w:t xml:space="preserve">a</w:t>
            </w:r>
            <w:r>
              <w:rPr>
                <w:sz w:val="20"/>
                <w:szCs w:val="20"/>
              </w:rPr>
              <w:t xml:space="preserve">)</w:t>
            </w:r>
          </w:p>
        </w:tc>
        <w:tc>
          <w:tcPr/>
          <w:p>
            <w:pPr>
              <w:pStyle w:val="Compact"/>
              <w:jc w:val="left"/>
            </w:pPr>
            <w:r>
              <w:rPr>
                <w:sz w:val="20"/>
                <w:szCs w:val="20"/>
              </w:rPr>
              <w:t xml:space="preserve">Month an erasure request arrives (∞ if none)</w:t>
            </w:r>
          </w:p>
        </w:tc>
      </w:tr>
      <w:tr>
        <w:trPr>
          <w:cantSplit/>
        </w:trPr>
        <w:tc>
          <w:tcPr/>
          <w:p>
            <w:pPr>
              <w:pStyle w:val="Compact"/>
              <w:jc w:val="left"/>
            </w:pPr>
            <w:r>
              <w:rPr>
                <w:iCs/>
                <w:i/>
                <w:sz w:val="20"/>
                <w:szCs w:val="20"/>
              </w:rPr>
              <w:t xml:space="preserve">t</w:t>
            </w:r>
            <w:r>
              <w:rPr>
                <w:sz w:val="20"/>
                <w:szCs w:val="20"/>
              </w:rPr>
              <w:t xml:space="preserve">π(</w:t>
            </w:r>
            <w:r>
              <w:rPr>
                <w:iCs/>
                <w:i/>
                <w:sz w:val="20"/>
                <w:szCs w:val="20"/>
              </w:rPr>
              <w:t xml:space="preserve">a</w:t>
            </w:r>
            <w:r>
              <w:rPr>
                <w:sz w:val="20"/>
                <w:szCs w:val="20"/>
              </w:rPr>
              <w:t xml:space="preserve">)</w:t>
            </w:r>
          </w:p>
        </w:tc>
        <w:tc>
          <w:tcPr/>
          <w:p>
            <w:pPr>
              <w:pStyle w:val="Compact"/>
              <w:jc w:val="left"/>
            </w:pPr>
            <w:r>
              <w:rPr>
                <w:sz w:val="20"/>
                <w:szCs w:val="20"/>
              </w:rPr>
              <w:t xml:space="preserve">Month a data permit expires (∞ if not applicable)</w:t>
            </w:r>
          </w:p>
        </w:tc>
      </w:tr>
      <w:tr>
        <w:trPr>
          <w:cantSplit/>
        </w:trPr>
        <w:tc>
          <w:tcPr/>
          <w:p>
            <w:pPr>
              <w:pStyle w:val="Compact"/>
              <w:jc w:val="left"/>
            </w:pPr>
            <w:r>
              <w:rPr>
                <w:iCs/>
                <w:i/>
                <w:sz w:val="20"/>
                <w:szCs w:val="20"/>
              </w:rPr>
              <w:t xml:space="preserve">t</w:t>
            </w:r>
            <w:r>
              <w:rPr>
                <w:sz w:val="20"/>
                <w:szCs w:val="20"/>
              </w:rPr>
              <w:t xml:space="preserve">ᴵ(</w:t>
            </w:r>
            <w:r>
              <w:rPr>
                <w:iCs/>
                <w:i/>
                <w:sz w:val="20"/>
                <w:szCs w:val="20"/>
              </w:rPr>
              <w:t xml:space="preserve">a</w:t>
            </w:r>
            <w:r>
              <w:rPr>
                <w:sz w:val="20"/>
                <w:szCs w:val="20"/>
              </w:rPr>
              <w:t xml:space="preserve">)</w:t>
            </w:r>
          </w:p>
        </w:tc>
        <w:tc>
          <w:tcPr/>
          <w:p>
            <w:pPr>
              <w:pStyle w:val="Compact"/>
              <w:jc w:val="left"/>
            </w:pPr>
            <w:r>
              <w:rPr>
                <w:sz w:val="20"/>
                <w:szCs w:val="20"/>
              </w:rPr>
              <w:t xml:space="preserve">Invalidation month, min(</w:t>
            </w:r>
            <w:r>
              <w:rPr>
                <w:iCs/>
                <w:i/>
                <w:sz w:val="20"/>
                <w:szCs w:val="20"/>
              </w:rPr>
              <w:t xml:space="preserve">t</w:t>
            </w:r>
            <w:r>
              <w:rPr>
                <w:sz w:val="20"/>
                <w:szCs w:val="20"/>
              </w:rPr>
              <w:t xml:space="preserve">ᵣ + δ,</w:t>
            </w:r>
            <w:r>
              <w:rPr>
                <w:sz w:val="20"/>
                <w:szCs w:val="20"/>
              </w:rPr>
              <w:t xml:space="preserve"> </w:t>
            </w:r>
            <w:r>
              <w:rPr>
                <w:iCs/>
                <w:i/>
                <w:sz w:val="20"/>
                <w:szCs w:val="20"/>
              </w:rPr>
              <w:t xml:space="preserve">t</w:t>
            </w:r>
            <w:r>
              <w:rPr>
                <w:sz w:val="20"/>
                <w:szCs w:val="20"/>
              </w:rPr>
              <w:t xml:space="preserve">π + 6)</w:t>
            </w:r>
          </w:p>
        </w:tc>
      </w:tr>
      <w:tr>
        <w:trPr>
          <w:cantSplit/>
        </w:trPr>
        <w:tc>
          <w:tcPr/>
          <w:p>
            <w:pPr>
              <w:pStyle w:val="Compact"/>
              <w:jc w:val="left"/>
            </w:pPr>
            <w:r>
              <w:rPr>
                <w:sz w:val="20"/>
                <w:szCs w:val="20"/>
              </w:rPr>
              <w:t xml:space="preserve">δ</w:t>
            </w:r>
          </w:p>
        </w:tc>
        <w:tc>
          <w:tcPr/>
          <w:p>
            <w:pPr>
              <w:pStyle w:val="Compact"/>
              <w:jc w:val="left"/>
            </w:pPr>
            <w:r>
              <w:rPr>
                <w:sz w:val="20"/>
                <w:szCs w:val="20"/>
              </w:rPr>
              <w:t xml:space="preserve">Erasure response period, in months (GDPR Art. 12(3))</w:t>
            </w:r>
          </w:p>
        </w:tc>
      </w:tr>
      <w:tr>
        <w:trPr>
          <w:cantSplit/>
        </w:trPr>
        <w:tc>
          <w:tcPr/>
          <w:p>
            <w:pPr>
              <w:pStyle w:val="Compact"/>
              <w:jc w:val="left"/>
            </w:pPr>
            <w:r>
              <w:rPr>
                <w:iCs/>
                <w:i/>
                <w:sz w:val="20"/>
                <w:szCs w:val="20"/>
              </w:rPr>
              <w:t xml:space="preserve">α</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Payload accessibility at month</w:t>
            </w:r>
            <w:r>
              <w:rPr>
                <w:sz w:val="20"/>
                <w:szCs w:val="20"/>
              </w:rPr>
              <w:t xml:space="preserve"> </w:t>
            </w:r>
            <w:r>
              <w:rPr>
                <w:iCs/>
                <w:i/>
                <w:sz w:val="20"/>
                <w:szCs w:val="20"/>
              </w:rPr>
              <w:t xml:space="preserve">t</w:t>
            </w:r>
            <w:r>
              <w:rPr>
                <w:sz w:val="20"/>
                <w:szCs w:val="20"/>
              </w:rPr>
              <w:t xml:space="preserve"> </w:t>
            </w:r>
            <w:r>
              <w:rPr>
                <w:sz w:val="20"/>
                <w:szCs w:val="20"/>
              </w:rPr>
              <w:t xml:space="preserve">— 1 if recoverable, 0 otherwise</w:t>
            </w:r>
          </w:p>
        </w:tc>
      </w:tr>
      <w:tr>
        <w:trPr>
          <w:cantSplit/>
        </w:trPr>
        <w:tc>
          <w:tcPr/>
          <w:p>
            <w:pPr>
              <w:pStyle w:val="Compact"/>
              <w:jc w:val="left"/>
            </w:pPr>
            <w:r>
              <w:rPr>
                <w:iCs/>
                <w:i/>
                <w:sz w:val="20"/>
                <w:szCs w:val="20"/>
              </w:rPr>
              <w:t xml:space="preserve">V</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Whether the record counts as verifiable at month</w:t>
            </w:r>
            <w:r>
              <w:rPr>
                <w:sz w:val="20"/>
                <w:szCs w:val="20"/>
              </w:rPr>
              <w:t xml:space="preserve"> </w:t>
            </w:r>
            <w:r>
              <w:rPr>
                <w:iCs/>
                <w:i/>
                <w:sz w:val="20"/>
                <w:szCs w:val="20"/>
              </w:rPr>
              <w:t xml:space="preserve">t</w:t>
            </w:r>
          </w:p>
        </w:tc>
      </w:tr>
      <w:tr>
        <w:trPr>
          <w:cantSplit/>
        </w:trPr>
        <w:tc>
          <w:tcPr/>
          <w:p>
            <w:pPr>
              <w:pStyle w:val="Compact"/>
              <w:jc w:val="left"/>
            </w:pPr>
            <w:r>
              <w:rPr>
                <w:iCs/>
                <w:i/>
                <w:sz w:val="20"/>
                <w:szCs w:val="20"/>
              </w:rPr>
              <w:t xml:space="preserve">V</w:t>
            </w:r>
            <w:r>
              <w:rPr>
                <w:sz w:val="20"/>
                <w:szCs w:val="20"/>
              </w:rPr>
              <w:t xml:space="preserve">ᴵ,</w:t>
            </w:r>
            <w:r>
              <w:rPr>
                <w:sz w:val="20"/>
                <w:szCs w:val="20"/>
              </w:rPr>
              <w:t xml:space="preserve"> </w:t>
            </w:r>
            <w:r>
              <w:rPr>
                <w:iCs/>
                <w:i/>
                <w:sz w:val="20"/>
                <w:szCs w:val="20"/>
              </w:rPr>
              <w:t xml:space="preserve">V</w:t>
            </w:r>
            <w:r>
              <w:rPr>
                <w:sz w:val="20"/>
                <w:szCs w:val="20"/>
              </w:rPr>
              <w:t xml:space="preserve">ᴵᴵ</w:t>
            </w:r>
          </w:p>
        </w:tc>
        <w:tc>
          <w:tcPr/>
          <w:p>
            <w:pPr>
              <w:pStyle w:val="Compact"/>
              <w:jc w:val="left"/>
            </w:pPr>
            <w:r>
              <w:rPr>
                <w:sz w:val="20"/>
                <w:szCs w:val="20"/>
              </w:rPr>
              <w:t xml:space="preserve">Verifiability under Semantics I (plaintext) and Semantics II (accountability-preserving)</w:t>
            </w:r>
          </w:p>
        </w:tc>
      </w:tr>
      <w:tr>
        <w:trPr>
          <w:cantSplit/>
        </w:trPr>
        <w:tc>
          <w:tcPr/>
          <w:p>
            <w:pPr>
              <w:pStyle w:val="Compact"/>
              <w:jc w:val="left"/>
            </w:pPr>
            <w:r>
              <w:rPr>
                <w:sz w:val="20"/>
                <w:szCs w:val="20"/>
              </w:rPr>
              <w:t xml:space="preserve">C1, C2, C3</w:t>
            </w:r>
          </w:p>
        </w:tc>
        <w:tc>
          <w:tcPr/>
          <w:p>
            <w:pPr>
              <w:pStyle w:val="Compact"/>
              <w:jc w:val="left"/>
            </w:pPr>
            <w:r>
              <w:rPr>
                <w:sz w:val="20"/>
                <w:szCs w:val="20"/>
              </w:rPr>
              <w:t xml:space="preserve">Retention floor, erasure right, and deletion ceiling constraints</w:t>
            </w:r>
          </w:p>
        </w:tc>
      </w:tr>
    </w:tbl>
    <w:p>
      <w:pPr>
        <w:pStyle w:val="BodyText"/>
        <w:spacing w:before="240" w:after="160" w:line="360" w:lineRule="auto"/>
      </w:pPr>
      <w:r>
        <w:rPr>
          <w:iCs/>
          <w:i/>
        </w:rPr>
        <w:t xml:space="preserve">Abbreviations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Term</w:t>
            </w:r>
          </w:p>
        </w:tc>
        <w:tc>
          <w:tcPr>
            <w:tcBorders>
              <w:bottom w:val="single" w:sz="8" w:space="0" w:color="333333"/>
            </w:tcBorders>
            <w:shd w:val="clear" w:color="auto" w:fill="E8EDF4"/>
          </w:tcPr>
          <w:p>
            <w:pPr>
              <w:pStyle w:val="Compact"/>
              <w:jc w:val="left"/>
            </w:pPr>
            <w:r>
              <w:rPr>
                <w:b/>
                <w:sz w:val="20"/>
                <w:szCs w:val="20"/>
              </w:rPr>
              <w:t xml:space="preserve">Expansion</w:t>
            </w:r>
          </w:p>
        </w:tc>
      </w:tr>
      <w:tr>
        <w:trPr>
          <w:cantSplit/>
        </w:trPr>
        <w:tc>
          <w:tcPr/>
          <w:p>
            <w:pPr>
              <w:pStyle w:val="Compact"/>
              <w:jc w:val="left"/>
            </w:pPr>
            <w:r>
              <w:rPr>
                <w:sz w:val="20"/>
                <w:szCs w:val="20"/>
              </w:rPr>
              <w:t xml:space="preserve">ATNA</w:t>
            </w:r>
          </w:p>
        </w:tc>
        <w:tc>
          <w:tcPr/>
          <w:p>
            <w:pPr>
              <w:pStyle w:val="Compact"/>
              <w:jc w:val="left"/>
            </w:pPr>
            <w:r>
              <w:rPr>
                <w:sz w:val="20"/>
                <w:szCs w:val="20"/>
              </w:rPr>
              <w:t xml:space="preserve">Audit Trail and Node Authentication (IHE integration profile)</w:t>
            </w:r>
          </w:p>
        </w:tc>
      </w:tr>
      <w:tr>
        <w:trPr>
          <w:cantSplit/>
        </w:trPr>
        <w:tc>
          <w:tcPr/>
          <w:p>
            <w:pPr>
              <w:pStyle w:val="Compact"/>
              <w:jc w:val="left"/>
            </w:pPr>
            <w:r>
              <w:rPr>
                <w:sz w:val="20"/>
                <w:szCs w:val="20"/>
              </w:rPr>
              <w:t xml:space="preserve">CEF</w:t>
            </w:r>
          </w:p>
        </w:tc>
        <w:tc>
          <w:tcPr/>
          <w:p>
            <w:pPr>
              <w:pStyle w:val="Compact"/>
              <w:jc w:val="left"/>
            </w:pPr>
            <w:r>
              <w:rPr>
                <w:sz w:val="20"/>
                <w:szCs w:val="20"/>
              </w:rPr>
              <w:t xml:space="preserve">Coordinated Enforcement Framework (EDPB)</w:t>
            </w:r>
          </w:p>
        </w:tc>
      </w:tr>
      <w:tr>
        <w:trPr>
          <w:cantSplit/>
        </w:trPr>
        <w:tc>
          <w:tcPr/>
          <w:p>
            <w:pPr>
              <w:pStyle w:val="Compact"/>
              <w:jc w:val="left"/>
            </w:pPr>
            <w:r>
              <w:rPr>
                <w:sz w:val="20"/>
                <w:szCs w:val="20"/>
              </w:rPr>
              <w:t xml:space="preserve">DSR</w:t>
            </w:r>
          </w:p>
        </w:tc>
        <w:tc>
          <w:tcPr/>
          <w:p>
            <w:pPr>
              <w:pStyle w:val="Compact"/>
              <w:jc w:val="left"/>
            </w:pPr>
            <w:r>
              <w:rPr>
                <w:sz w:val="20"/>
                <w:szCs w:val="20"/>
              </w:rPr>
              <w:t xml:space="preserve">Design Science Research</w:t>
            </w:r>
          </w:p>
        </w:tc>
      </w:tr>
      <w:tr>
        <w:trPr>
          <w:cantSplit/>
        </w:trPr>
        <w:tc>
          <w:tcPr/>
          <w:p>
            <w:pPr>
              <w:pStyle w:val="Compact"/>
              <w:jc w:val="left"/>
            </w:pPr>
            <w:r>
              <w:rPr>
                <w:sz w:val="20"/>
                <w:szCs w:val="20"/>
              </w:rPr>
              <w:t xml:space="preserve">EDPB</w:t>
            </w:r>
          </w:p>
        </w:tc>
        <w:tc>
          <w:tcPr/>
          <w:p>
            <w:pPr>
              <w:pStyle w:val="Compact"/>
              <w:jc w:val="left"/>
            </w:pPr>
            <w:r>
              <w:rPr>
                <w:sz w:val="20"/>
                <w:szCs w:val="20"/>
              </w:rPr>
              <w:t xml:space="preserve">European Data Protection Board</w:t>
            </w:r>
          </w:p>
        </w:tc>
      </w:tr>
      <w:tr>
        <w:trPr>
          <w:cantSplit/>
        </w:trPr>
        <w:tc>
          <w:tcPr/>
          <w:p>
            <w:pPr>
              <w:pStyle w:val="Compact"/>
              <w:jc w:val="left"/>
            </w:pPr>
            <w:r>
              <w:rPr>
                <w:sz w:val="20"/>
                <w:szCs w:val="20"/>
              </w:rPr>
              <w:t xml:space="preserve">EEA</w:t>
            </w:r>
          </w:p>
        </w:tc>
        <w:tc>
          <w:tcPr/>
          <w:p>
            <w:pPr>
              <w:pStyle w:val="Compact"/>
              <w:jc w:val="left"/>
            </w:pPr>
            <w:r>
              <w:rPr>
                <w:sz w:val="20"/>
                <w:szCs w:val="20"/>
              </w:rPr>
              <w:t xml:space="preserve">European Economic Area</w:t>
            </w:r>
          </w:p>
        </w:tc>
      </w:tr>
      <w:tr>
        <w:trPr>
          <w:cantSplit/>
        </w:trPr>
        <w:tc>
          <w:tcPr/>
          <w:p>
            <w:pPr>
              <w:pStyle w:val="Compact"/>
              <w:jc w:val="left"/>
            </w:pPr>
            <w:r>
              <w:rPr>
                <w:sz w:val="20"/>
                <w:szCs w:val="20"/>
              </w:rPr>
              <w:t xml:space="preserve">EEHRxF</w:t>
            </w:r>
          </w:p>
        </w:tc>
        <w:tc>
          <w:tcPr/>
          <w:p>
            <w:pPr>
              <w:pStyle w:val="Compact"/>
              <w:jc w:val="left"/>
            </w:pPr>
            <w:r>
              <w:rPr>
                <w:sz w:val="20"/>
                <w:szCs w:val="20"/>
              </w:rPr>
              <w:t xml:space="preserve">European Electronic Health Record Exchange Format</w:t>
            </w:r>
          </w:p>
        </w:tc>
      </w:tr>
      <w:tr>
        <w:trPr>
          <w:cantSplit/>
        </w:trPr>
        <w:tc>
          <w:tcPr/>
          <w:p>
            <w:pPr>
              <w:pStyle w:val="Compact"/>
              <w:jc w:val="left"/>
            </w:pPr>
            <w:r>
              <w:rPr>
                <w:sz w:val="20"/>
                <w:szCs w:val="20"/>
              </w:rPr>
              <w:t xml:space="preserve">eHDSI</w:t>
            </w:r>
          </w:p>
        </w:tc>
        <w:tc>
          <w:tcPr/>
          <w:p>
            <w:pPr>
              <w:pStyle w:val="Compact"/>
              <w:jc w:val="left"/>
            </w:pPr>
            <w:r>
              <w:rPr>
                <w:sz w:val="20"/>
                <w:szCs w:val="20"/>
              </w:rPr>
              <w:t xml:space="preserve">eHealth Digital Service Infrastructure</w:t>
            </w:r>
          </w:p>
        </w:tc>
      </w:tr>
      <w:tr>
        <w:trPr>
          <w:cantSplit/>
        </w:trPr>
        <w:tc>
          <w:tcPr/>
          <w:p>
            <w:pPr>
              <w:pStyle w:val="Compact"/>
              <w:jc w:val="left"/>
            </w:pPr>
            <w:r>
              <w:rPr>
                <w:sz w:val="20"/>
                <w:szCs w:val="20"/>
              </w:rPr>
              <w:t xml:space="preserve">eHMSEG</w:t>
            </w:r>
          </w:p>
        </w:tc>
        <w:tc>
          <w:tcPr/>
          <w:p>
            <w:pPr>
              <w:pStyle w:val="Compact"/>
              <w:jc w:val="left"/>
            </w:pPr>
            <w:r>
              <w:rPr>
                <w:sz w:val="20"/>
                <w:szCs w:val="20"/>
              </w:rPr>
              <w:t xml:space="preserve">eHealth Member States Expert Group</w:t>
            </w:r>
          </w:p>
        </w:tc>
      </w:tr>
      <w:tr>
        <w:trPr>
          <w:cantSplit/>
        </w:trPr>
        <w:tc>
          <w:tcPr/>
          <w:p>
            <w:pPr>
              <w:pStyle w:val="Compact"/>
              <w:jc w:val="left"/>
            </w:pPr>
            <w:r>
              <w:rPr>
                <w:sz w:val="20"/>
                <w:szCs w:val="20"/>
              </w:rPr>
              <w:t xml:space="preserve">eHOMB</w:t>
            </w:r>
          </w:p>
        </w:tc>
        <w:tc>
          <w:tcPr/>
          <w:p>
            <w:pPr>
              <w:pStyle w:val="Compact"/>
              <w:jc w:val="left"/>
            </w:pPr>
            <w:r>
              <w:rPr>
                <w:sz w:val="20"/>
                <w:szCs w:val="20"/>
              </w:rPr>
              <w:t xml:space="preserve">eHealth Operational Management Board</w:t>
            </w:r>
          </w:p>
        </w:tc>
      </w:tr>
      <w:tr>
        <w:trPr>
          <w:cantSplit/>
        </w:trPr>
        <w:tc>
          <w:tcPr/>
          <w:p>
            <w:pPr>
              <w:pStyle w:val="Compact"/>
              <w:jc w:val="left"/>
            </w:pPr>
            <w:r>
              <w:rPr>
                <w:sz w:val="20"/>
                <w:szCs w:val="20"/>
              </w:rPr>
              <w:t xml:space="preserve">EHDS</w:t>
            </w:r>
          </w:p>
        </w:tc>
        <w:tc>
          <w:tcPr/>
          <w:p>
            <w:pPr>
              <w:pStyle w:val="Compact"/>
              <w:jc w:val="left"/>
            </w:pPr>
            <w:r>
              <w:rPr>
                <w:sz w:val="20"/>
                <w:szCs w:val="20"/>
              </w:rPr>
              <w:t xml:space="preserve">European Health Data Space</w:t>
            </w:r>
          </w:p>
        </w:tc>
      </w:tr>
      <w:tr>
        <w:trPr>
          <w:cantSplit/>
        </w:trPr>
        <w:tc>
          <w:tcPr/>
          <w:p>
            <w:pPr>
              <w:pStyle w:val="Compact"/>
              <w:jc w:val="left"/>
            </w:pPr>
            <w:r>
              <w:rPr>
                <w:sz w:val="20"/>
                <w:szCs w:val="20"/>
              </w:rPr>
              <w:t xml:space="preserve">FHIR</w:t>
            </w:r>
          </w:p>
        </w:tc>
        <w:tc>
          <w:tcPr/>
          <w:p>
            <w:pPr>
              <w:pStyle w:val="Compact"/>
              <w:jc w:val="left"/>
            </w:pPr>
            <w:r>
              <w:rPr>
                <w:sz w:val="20"/>
                <w:szCs w:val="20"/>
              </w:rPr>
              <w:t xml:space="preserve">Fast Healthcare Interoperability Resources (HL7)</w:t>
            </w:r>
          </w:p>
        </w:tc>
      </w:tr>
      <w:tr>
        <w:trPr>
          <w:cantSplit/>
        </w:trPr>
        <w:tc>
          <w:tcPr/>
          <w:p>
            <w:pPr>
              <w:pStyle w:val="Compact"/>
              <w:jc w:val="left"/>
            </w:pPr>
            <w:r>
              <w:rPr>
                <w:sz w:val="20"/>
                <w:szCs w:val="20"/>
              </w:rPr>
              <w:t xml:space="preserve">GDPR</w:t>
            </w:r>
          </w:p>
        </w:tc>
        <w:tc>
          <w:tcPr/>
          <w:p>
            <w:pPr>
              <w:pStyle w:val="Compact"/>
              <w:jc w:val="left"/>
            </w:pPr>
            <w:r>
              <w:rPr>
                <w:sz w:val="20"/>
                <w:szCs w:val="20"/>
              </w:rPr>
              <w:t xml:space="preserve">General Data Protection Regulation (EU) 2016/679</w:t>
            </w:r>
          </w:p>
        </w:tc>
      </w:tr>
      <w:tr>
        <w:trPr>
          <w:cantSplit/>
        </w:trPr>
        <w:tc>
          <w:tcPr/>
          <w:p>
            <w:pPr>
              <w:pStyle w:val="Compact"/>
              <w:jc w:val="left"/>
            </w:pPr>
            <w:r>
              <w:rPr>
                <w:sz w:val="20"/>
                <w:szCs w:val="20"/>
              </w:rPr>
              <w:t xml:space="preserve">HDAB</w:t>
            </w:r>
          </w:p>
        </w:tc>
        <w:tc>
          <w:tcPr/>
          <w:p>
            <w:pPr>
              <w:pStyle w:val="Compact"/>
              <w:jc w:val="left"/>
            </w:pPr>
            <w:r>
              <w:rPr>
                <w:sz w:val="20"/>
                <w:szCs w:val="20"/>
              </w:rPr>
              <w:t xml:space="preserve">Health Data Access Body</w:t>
            </w:r>
          </w:p>
        </w:tc>
      </w:tr>
      <w:tr>
        <w:trPr>
          <w:cantSplit/>
        </w:trPr>
        <w:tc>
          <w:tcPr/>
          <w:p>
            <w:pPr>
              <w:pStyle w:val="Compact"/>
              <w:jc w:val="left"/>
            </w:pPr>
            <w:r>
              <w:rPr>
                <w:sz w:val="20"/>
                <w:szCs w:val="20"/>
              </w:rPr>
              <w:t xml:space="preserve">HSM</w:t>
            </w:r>
          </w:p>
        </w:tc>
        <w:tc>
          <w:tcPr/>
          <w:p>
            <w:pPr>
              <w:pStyle w:val="Compact"/>
              <w:jc w:val="left"/>
            </w:pPr>
            <w:r>
              <w:rPr>
                <w:sz w:val="20"/>
                <w:szCs w:val="20"/>
              </w:rPr>
              <w:t xml:space="preserve">Hardware Security Module</w:t>
            </w:r>
          </w:p>
        </w:tc>
      </w:tr>
      <w:tr>
        <w:trPr>
          <w:cantSplit/>
        </w:trPr>
        <w:tc>
          <w:tcPr/>
          <w:p>
            <w:pPr>
              <w:pStyle w:val="Compact"/>
              <w:jc w:val="left"/>
            </w:pPr>
            <w:r>
              <w:rPr>
                <w:sz w:val="20"/>
                <w:szCs w:val="20"/>
              </w:rPr>
              <w:t xml:space="preserve">IHE</w:t>
            </w:r>
          </w:p>
        </w:tc>
        <w:tc>
          <w:tcPr/>
          <w:p>
            <w:pPr>
              <w:pStyle w:val="Compact"/>
              <w:jc w:val="left"/>
            </w:pPr>
            <w:r>
              <w:rPr>
                <w:sz w:val="20"/>
                <w:szCs w:val="20"/>
              </w:rPr>
              <w:t xml:space="preserve">Integrating the Healthcare Enterprise</w:t>
            </w:r>
          </w:p>
        </w:tc>
      </w:tr>
      <w:tr>
        <w:trPr>
          <w:cantSplit/>
        </w:trPr>
        <w:tc>
          <w:tcPr/>
          <w:p>
            <w:pPr>
              <w:pStyle w:val="Compact"/>
              <w:jc w:val="left"/>
            </w:pPr>
            <w:r>
              <w:rPr>
                <w:sz w:val="20"/>
                <w:szCs w:val="20"/>
              </w:rPr>
              <w:t xml:space="preserve">NCPeH</w:t>
            </w:r>
          </w:p>
        </w:tc>
        <w:tc>
          <w:tcPr/>
          <w:p>
            <w:pPr>
              <w:pStyle w:val="Compact"/>
              <w:jc w:val="left"/>
            </w:pPr>
            <w:r>
              <w:rPr>
                <w:sz w:val="20"/>
                <w:szCs w:val="20"/>
              </w:rPr>
              <w:t xml:space="preserve">National Contact Point for eHealth</w:t>
            </w:r>
          </w:p>
        </w:tc>
      </w:tr>
      <w:tr>
        <w:trPr>
          <w:cantSplit/>
        </w:trPr>
        <w:tc>
          <w:tcPr/>
          <w:p>
            <w:pPr>
              <w:pStyle w:val="Compact"/>
              <w:jc w:val="left"/>
            </w:pPr>
            <w:r>
              <w:rPr>
                <w:sz w:val="20"/>
                <w:szCs w:val="20"/>
              </w:rPr>
              <w:t xml:space="preserve">NHN</w:t>
            </w:r>
          </w:p>
        </w:tc>
        <w:tc>
          <w:tcPr/>
          <w:p>
            <w:pPr>
              <w:pStyle w:val="Compact"/>
              <w:jc w:val="left"/>
            </w:pPr>
            <w:r>
              <w:rPr>
                <w:sz w:val="20"/>
                <w:szCs w:val="20"/>
              </w:rPr>
              <w:t xml:space="preserve">Norsk Helsenett SF</w:t>
            </w:r>
          </w:p>
        </w:tc>
      </w:tr>
      <w:tr>
        <w:trPr>
          <w:cantSplit/>
        </w:trPr>
        <w:tc>
          <w:tcPr/>
          <w:p>
            <w:pPr>
              <w:pStyle w:val="Compact"/>
              <w:jc w:val="left"/>
            </w:pPr>
            <w:r>
              <w:rPr>
                <w:sz w:val="20"/>
                <w:szCs w:val="20"/>
              </w:rPr>
              <w:t xml:space="preserve">NIST</w:t>
            </w:r>
          </w:p>
        </w:tc>
        <w:tc>
          <w:tcPr/>
          <w:p>
            <w:pPr>
              <w:pStyle w:val="Compact"/>
              <w:jc w:val="left"/>
            </w:pPr>
            <w:r>
              <w:rPr>
                <w:sz w:val="20"/>
                <w:szCs w:val="20"/>
              </w:rPr>
              <w:t xml:space="preserve">National Institute of Standards and Technology (US)</w:t>
            </w:r>
          </w:p>
        </w:tc>
      </w:tr>
      <w:tr>
        <w:trPr>
          <w:cantSplit/>
        </w:trPr>
        <w:tc>
          <w:tcPr/>
          <w:p>
            <w:pPr>
              <w:pStyle w:val="Compact"/>
              <w:jc w:val="left"/>
            </w:pPr>
            <w:r>
              <w:rPr>
                <w:sz w:val="20"/>
                <w:szCs w:val="20"/>
              </w:rPr>
              <w:t xml:space="preserve">NORTRE</w:t>
            </w:r>
          </w:p>
        </w:tc>
        <w:tc>
          <w:tcPr/>
          <w:p>
            <w:pPr>
              <w:pStyle w:val="Compact"/>
              <w:jc w:val="left"/>
            </w:pPr>
            <w:r>
              <w:rPr>
                <w:sz w:val="20"/>
                <w:szCs w:val="20"/>
              </w:rPr>
              <w:t xml:space="preserve">Norwegian Trusted Research Environments</w:t>
            </w:r>
          </w:p>
        </w:tc>
      </w:tr>
      <w:tr>
        <w:trPr>
          <w:cantSplit/>
        </w:trPr>
        <w:tc>
          <w:tcPr/>
          <w:p>
            <w:pPr>
              <w:pStyle w:val="Compact"/>
              <w:jc w:val="left"/>
            </w:pPr>
            <w:r>
              <w:rPr>
                <w:sz w:val="20"/>
                <w:szCs w:val="20"/>
              </w:rPr>
              <w:t xml:space="preserve">OpenNCP</w:t>
            </w:r>
          </w:p>
        </w:tc>
        <w:tc>
          <w:tcPr/>
          <w:p>
            <w:pPr>
              <w:pStyle w:val="Compact"/>
              <w:jc w:val="left"/>
            </w:pPr>
            <w:r>
              <w:rPr>
                <w:sz w:val="20"/>
                <w:szCs w:val="20"/>
              </w:rPr>
              <w:t xml:space="preserve">Open National Contact Point software stack</w:t>
            </w:r>
          </w:p>
        </w:tc>
      </w:tr>
      <w:tr>
        <w:trPr>
          <w:cantSplit/>
        </w:trPr>
        <w:tc>
          <w:tcPr/>
          <w:p>
            <w:pPr>
              <w:pStyle w:val="Compact"/>
              <w:jc w:val="left"/>
            </w:pPr>
            <w:r>
              <w:rPr>
                <w:sz w:val="20"/>
                <w:szCs w:val="20"/>
              </w:rPr>
              <w:t xml:space="preserve">PoSE</w:t>
            </w:r>
          </w:p>
        </w:tc>
        <w:tc>
          <w:tcPr/>
          <w:p>
            <w:pPr>
              <w:pStyle w:val="Compact"/>
              <w:jc w:val="left"/>
            </w:pPr>
            <w:r>
              <w:rPr>
                <w:sz w:val="20"/>
                <w:szCs w:val="20"/>
              </w:rPr>
              <w:t xml:space="preserve">Proof of Secure Erasure</w:t>
            </w:r>
          </w:p>
        </w:tc>
      </w:tr>
      <w:tr>
        <w:trPr>
          <w:cantSplit/>
        </w:trPr>
        <w:tc>
          <w:tcPr/>
          <w:p>
            <w:pPr>
              <w:pStyle w:val="Compact"/>
              <w:jc w:val="left"/>
            </w:pPr>
            <w:r>
              <w:rPr>
                <w:sz w:val="20"/>
                <w:szCs w:val="20"/>
              </w:rPr>
              <w:t xml:space="preserve">SoK</w:t>
            </w:r>
          </w:p>
        </w:tc>
        <w:tc>
          <w:tcPr/>
          <w:p>
            <w:pPr>
              <w:pStyle w:val="Compact"/>
              <w:jc w:val="left"/>
            </w:pPr>
            <w:r>
              <w:rPr>
                <w:sz w:val="20"/>
                <w:szCs w:val="20"/>
              </w:rPr>
              <w:t xml:space="preserve">Systematization of Knowledge</w:t>
            </w:r>
          </w:p>
        </w:tc>
      </w:tr>
      <w:tr>
        <w:trPr>
          <w:cantSplit/>
        </w:trPr>
        <w:tc>
          <w:tcPr/>
          <w:p>
            <w:pPr>
              <w:pStyle w:val="Compact"/>
              <w:jc w:val="left"/>
            </w:pPr>
            <w:r>
              <w:rPr>
                <w:sz w:val="20"/>
                <w:szCs w:val="20"/>
              </w:rPr>
              <w:t xml:space="preserve">SPE</w:t>
            </w:r>
          </w:p>
        </w:tc>
        <w:tc>
          <w:tcPr/>
          <w:p>
            <w:pPr>
              <w:pStyle w:val="Compact"/>
              <w:jc w:val="left"/>
            </w:pPr>
            <w:r>
              <w:rPr>
                <w:sz w:val="20"/>
                <w:szCs w:val="20"/>
              </w:rPr>
              <w:t xml:space="preserve">Secure Processing Environment</w:t>
            </w:r>
          </w:p>
        </w:tc>
      </w:tr>
      <w:tr>
        <w:trPr>
          <w:cantSplit/>
        </w:trPr>
        <w:tc>
          <w:tcPr/>
          <w:p>
            <w:pPr>
              <w:pStyle w:val="Compact"/>
              <w:jc w:val="left"/>
            </w:pPr>
            <w:r>
              <w:rPr>
                <w:sz w:val="20"/>
                <w:szCs w:val="20"/>
              </w:rPr>
              <w:t xml:space="preserve">SPUHiN</w:t>
            </w:r>
          </w:p>
        </w:tc>
        <w:tc>
          <w:tcPr/>
          <w:p>
            <w:pPr>
              <w:pStyle w:val="Compact"/>
              <w:jc w:val="left"/>
            </w:pPr>
            <w:r>
              <w:rPr>
                <w:sz w:val="20"/>
                <w:szCs w:val="20"/>
              </w:rPr>
              <w:t xml:space="preserve">Secure Provision and Use of Health Data in Norway (project)</w:t>
            </w:r>
          </w:p>
        </w:tc>
      </w:tr>
      <w:tr>
        <w:trPr>
          <w:cantSplit/>
        </w:trPr>
        <w:tc>
          <w:tcPr/>
          <w:p>
            <w:pPr>
              <w:pStyle w:val="Compact"/>
              <w:jc w:val="left"/>
            </w:pPr>
            <w:r>
              <w:rPr>
                <w:sz w:val="20"/>
                <w:szCs w:val="20"/>
              </w:rPr>
              <w:t xml:space="preserve">TEHDAS2</w:t>
            </w:r>
          </w:p>
        </w:tc>
        <w:tc>
          <w:tcPr/>
          <w:p>
            <w:pPr>
              <w:pStyle w:val="Compact"/>
              <w:jc w:val="left"/>
            </w:pPr>
            <w:r>
              <w:rPr>
                <w:sz w:val="20"/>
                <w:szCs w:val="20"/>
              </w:rPr>
              <w:t xml:space="preserve">Towards European Health Data Space, Joint Action 2</w:t>
            </w:r>
          </w:p>
        </w:tc>
      </w:tr>
      <w:tr>
        <w:trPr>
          <w:cantSplit/>
        </w:trPr>
        <w:tc>
          <w:tcPr/>
          <w:p>
            <w:pPr>
              <w:pStyle w:val="Compact"/>
              <w:jc w:val="left"/>
            </w:pPr>
            <w:r>
              <w:rPr>
                <w:sz w:val="20"/>
                <w:szCs w:val="20"/>
              </w:rPr>
              <w:t xml:space="preserve">TRF</w:t>
            </w:r>
          </w:p>
        </w:tc>
        <w:tc>
          <w:tcPr/>
          <w:p>
            <w:pPr>
              <w:pStyle w:val="Compact"/>
              <w:jc w:val="left"/>
            </w:pPr>
            <w:r>
              <w:rPr>
                <w:sz w:val="20"/>
                <w:szCs w:val="20"/>
              </w:rPr>
              <w:t xml:space="preserve">Tri-Lateral Retention Feasibility (Model)</w:t>
            </w:r>
          </w:p>
        </w:tc>
      </w:tr>
      <w:tr>
        <w:trPr>
          <w:cantSplit/>
        </w:trPr>
        <w:tc>
          <w:tcPr/>
          <w:p>
            <w:pPr>
              <w:pStyle w:val="Compact"/>
              <w:jc w:val="left"/>
            </w:pPr>
            <w:r>
              <w:rPr>
                <w:sz w:val="20"/>
                <w:szCs w:val="20"/>
              </w:rPr>
              <w:t xml:space="preserve">zk-SNARK</w:t>
            </w:r>
          </w:p>
        </w:tc>
        <w:tc>
          <w:tcPr/>
          <w:p>
            <w:pPr>
              <w:pStyle w:val="Compact"/>
              <w:jc w:val="left"/>
            </w:pPr>
            <w:r>
              <w:rPr>
                <w:sz w:val="20"/>
                <w:szCs w:val="20"/>
              </w:rPr>
              <w:t xml:space="preserve">Zero-Knowledge Succinct Non-Interactive Argument of Knowledge</w:t>
            </w:r>
          </w:p>
        </w:tc>
      </w:tr>
    </w:tbl>
    <w:p>
      <w:pPr>
        <w:pStyle w:val="BodyText"/>
        <w:spacing w:before="240" w:after="160" w:line="360" w:lineRule="auto"/>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w:t>
      </w:r>
      <w:hyperlink w:anchor="ch_1" w:history="1">
        <w:r>
          <w:rPr>
            <w:rStyle w:val="Hyperlink"/>
          </w:rPr>
          <w:t xml:space="preserve">Chapter 1</w:t>
        </w:r>
      </w:hyperlink>
      <w:r>
        <w:t xml:space="preserve">, </w:t>
      </w:r>
      <w:hyperlink w:anchor="sec_1_6" w:history="1">
        <w:r>
          <w:rPr>
            <w:rStyle w:val="Hyperlink"/>
          </w:rPr>
          <w:t xml:space="preserve">Section 1.6</w:t>
        </w:r>
      </w:hyperlink>
      <w:r>
        <w:t xml:space="preserve">.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identifies the distinct problem for which zero-knowledge arguments do become necessary.</w:t>
      </w:r>
    </w:p>
    <!--CONTENTS-->
    <w:bookmarkEnd w:id="24"/>
    <w:bookmarkStart w:id="32" w:name="chapter-1.-introduction"/>
    <w:p>
      <w:pPr>
        <w:pStyle w:val="Heading1"/>
      </w:pPr>
      <w:r>
        <w:rPr/>
        <w:t xml:space="preserve">Contents</w:t>
      </w:r>
    </w:p>
    <w:p>
      <w:pPr>
        <w:pStyle w:val="TOC1"/>
      </w:pPr>
      <w:hyperlink w:anchor="h_Abstract" w:history="1">
        <w:r>
          <w:rPr/>
          <w:t xml:space="preserve">Abstract</w:t>
        </w:r>
        <w:r>
          <w:tab/>
        </w:r>
        <w:r>
          <w:fldChar w:fldCharType="begin"/>
        </w:r>
        <w:r>
          <w:instrText xml:space="preserve"> PAGEREF h_Abstract \h </w:instrText>
        </w:r>
        <w:r>
          <w:fldChar w:fldCharType="separate"/>
        </w:r>
        <w:r>
          <w:rPr/>
          <w:t xml:space="preserve">#</w:t>
        </w:r>
        <w:r>
          <w:fldChar w:fldCharType="end"/>
        </w:r>
      </w:hyperlink>
    </w:p>
    <w:p>
      <w:pPr>
        <w:pStyle w:val="TOC1"/>
      </w:pPr>
      <w:hyperlink w:anchor="h_Sammendrag" w:history="1">
        <w:r>
          <w:rPr/>
          <w:t xml:space="preserve">Sammendrag</w:t>
        </w:r>
        <w:r>
          <w:tab/>
        </w:r>
        <w:r>
          <w:fldChar w:fldCharType="begin"/>
        </w:r>
        <w:r>
          <w:instrText xml:space="preserve"> PAGEREF h_Sammendrag \h </w:instrText>
        </w:r>
        <w:r>
          <w:fldChar w:fldCharType="separate"/>
        </w:r>
        <w:r>
          <w:rPr/>
          <w:t xml:space="preserve">#</w:t>
        </w:r>
        <w:r>
          <w:fldChar w:fldCharType="end"/>
        </w:r>
      </w:hyperlink>
    </w:p>
    <w:p>
      <w:pPr>
        <w:pStyle w:val="TOC1"/>
      </w:pPr>
      <w:hyperlink w:anchor="h_Statement_of_Contribution" w:history="1">
        <w:r>
          <w:rPr/>
          <w:t xml:space="preserve">Statement of Contribution</w:t>
        </w:r>
        <w:r>
          <w:tab/>
        </w:r>
        <w:r>
          <w:fldChar w:fldCharType="begin"/>
        </w:r>
        <w:r>
          <w:instrText xml:space="preserve"> PAGEREF h_Statement_of_Contribution \h </w:instrText>
        </w:r>
        <w:r>
          <w:fldChar w:fldCharType="separate"/>
        </w:r>
        <w:r>
          <w:rPr/>
          <w:t xml:space="preserve">#</w:t>
        </w:r>
        <w:r>
          <w:fldChar w:fldCharType="end"/>
        </w:r>
      </w:hyperlink>
    </w:p>
    <w:p>
      <w:pPr>
        <w:pStyle w:val="TOC1"/>
      </w:pPr>
      <w:hyperlink w:anchor="h_Declaration_of_Originality" w:history="1">
        <w:r>
          <w:rPr/>
          <w:t xml:space="preserve">Declaration of Originality</w:t>
        </w:r>
        <w:r>
          <w:tab/>
        </w:r>
        <w:r>
          <w:fldChar w:fldCharType="begin"/>
        </w:r>
        <w:r>
          <w:instrText xml:space="preserve"> PAGEREF h_Declaration_of_Originality \h </w:instrText>
        </w:r>
        <w:r>
          <w:fldChar w:fldCharType="separate"/>
        </w:r>
        <w:r>
          <w:rPr/>
          <w:t xml:space="preserve">#</w:t>
        </w:r>
        <w:r>
          <w:fldChar w:fldCharType="end"/>
        </w:r>
      </w:hyperlink>
    </w:p>
    <w:p>
      <w:pPr>
        <w:pStyle w:val="TOC1"/>
      </w:pPr>
      <w:hyperlink w:anchor="h_Nomenclature_and_Abbreviations" w:history="1">
        <w:r>
          <w:rPr/>
          <w:t xml:space="preserve">Nomenclature and Abbreviations</w:t>
        </w:r>
        <w:r>
          <w:tab/>
        </w:r>
        <w:r>
          <w:fldChar w:fldCharType="begin"/>
        </w:r>
        <w:r>
          <w:instrText xml:space="preserve"> PAGEREF h_Nomenclature_and_Abbreviations \h </w:instrText>
        </w:r>
        <w:r>
          <w:fldChar w:fldCharType="separate"/>
        </w:r>
        <w:r>
          <w:rPr/>
          <w:t xml:space="preserve">#</w:t>
        </w:r>
        <w:r>
          <w:fldChar w:fldCharType="end"/>
        </w:r>
      </w:hyperlink>
    </w:p>
    <w:p>
      <w:pPr>
        <w:pStyle w:val="TOC1"/>
      </w:pPr>
      <w:hyperlink w:anchor="ch_1" w:history="1">
        <w:r>
          <w:rPr/>
          <w:t xml:space="preserve">Chapter 1. Introduction</w:t>
        </w:r>
        <w:r>
          <w:tab/>
        </w:r>
        <w:r>
          <w:fldChar w:fldCharType="begin"/>
        </w:r>
        <w:r>
          <w:instrText xml:space="preserve"> PAGEREF ch_1 \h </w:instrText>
        </w:r>
        <w:r>
          <w:fldChar w:fldCharType="separate"/>
        </w:r>
        <w:r>
          <w:rPr/>
          <w:t xml:space="preserve">#</w:t>
        </w:r>
        <w:r>
          <w:fldChar w:fldCharType="end"/>
        </w:r>
      </w:hyperlink>
    </w:p>
    <w:p>
      <w:pPr>
        <w:pStyle w:val="TOC2"/>
      </w:pPr>
      <w:hyperlink w:anchor="sec_1_1" w:history="1">
        <w:r>
          <w:rPr/>
          <w:t xml:space="preserve">1.1 Background and Context</w:t>
        </w:r>
        <w:r>
          <w:tab/>
        </w:r>
        <w:r>
          <w:fldChar w:fldCharType="begin"/>
        </w:r>
        <w:r>
          <w:instrText xml:space="preserve"> PAGEREF sec_1_1 \h </w:instrText>
        </w:r>
        <w:r>
          <w:fldChar w:fldCharType="separate"/>
        </w:r>
        <w:r>
          <w:rPr/>
          <w:t xml:space="preserve">#</w:t>
        </w:r>
        <w:r>
          <w:fldChar w:fldCharType="end"/>
        </w:r>
      </w:hyperlink>
    </w:p>
    <w:p>
      <w:pPr>
        <w:pStyle w:val="TOC2"/>
      </w:pPr>
      <w:hyperlink w:anchor="sec_1_2" w:history="1">
        <w:r>
          <w:rPr/>
          <w:t xml:space="preserve">1.2 Problem Statement</w:t>
        </w:r>
        <w:r>
          <w:tab/>
        </w:r>
        <w:r>
          <w:fldChar w:fldCharType="begin"/>
        </w:r>
        <w:r>
          <w:instrText xml:space="preserve"> PAGEREF sec_1_2 \h </w:instrText>
        </w:r>
        <w:r>
          <w:fldChar w:fldCharType="separate"/>
        </w:r>
        <w:r>
          <w:rPr/>
          <w:t xml:space="preserve">#</w:t>
        </w:r>
        <w:r>
          <w:fldChar w:fldCharType="end"/>
        </w:r>
      </w:hyperlink>
    </w:p>
    <w:p>
      <w:pPr>
        <w:pStyle w:val="TOC2"/>
      </w:pPr>
      <w:hyperlink w:anchor="sec_1_3" w:history="1">
        <w:r>
          <w:rPr/>
          <w:t xml:space="preserve">1.3 Research Objectives and Questions</w:t>
        </w:r>
        <w:r>
          <w:tab/>
        </w:r>
        <w:r>
          <w:fldChar w:fldCharType="begin"/>
        </w:r>
        <w:r>
          <w:instrText xml:space="preserve"> PAGEREF sec_1_3 \h </w:instrText>
        </w:r>
        <w:r>
          <w:fldChar w:fldCharType="separate"/>
        </w:r>
        <w:r>
          <w:rPr/>
          <w:t xml:space="preserve">#</w:t>
        </w:r>
        <w:r>
          <w:fldChar w:fldCharType="end"/>
        </w:r>
      </w:hyperlink>
    </w:p>
    <w:p>
      <w:pPr>
        <w:pStyle w:val="TOC2"/>
      </w:pPr>
      <w:hyperlink w:anchor="sec_1_4" w:history="1">
        <w:r>
          <w:rPr/>
          <w:t xml:space="preserve">1.4 Significance and Relevance</w:t>
        </w:r>
        <w:r>
          <w:tab/>
        </w:r>
        <w:r>
          <w:fldChar w:fldCharType="begin"/>
        </w:r>
        <w:r>
          <w:instrText xml:space="preserve"> PAGEREF sec_1_4 \h </w:instrText>
        </w:r>
        <w:r>
          <w:fldChar w:fldCharType="separate"/>
        </w:r>
        <w:r>
          <w:rPr/>
          <w:t xml:space="preserve">#</w:t>
        </w:r>
        <w:r>
          <w:fldChar w:fldCharType="end"/>
        </w:r>
      </w:hyperlink>
    </w:p>
    <w:p>
      <w:pPr>
        <w:pStyle w:val="TOC2"/>
      </w:pPr>
      <w:hyperlink w:anchor="sec_1_5" w:history="1">
        <w:r>
          <w:rPr/>
          <w:t xml:space="preserve">1.5 Scope and Out-of-Scope</w:t>
        </w:r>
        <w:r>
          <w:tab/>
        </w:r>
        <w:r>
          <w:fldChar w:fldCharType="begin"/>
        </w:r>
        <w:r>
          <w:instrText xml:space="preserve"> PAGEREF sec_1_5 \h </w:instrText>
        </w:r>
        <w:r>
          <w:fldChar w:fldCharType="separate"/>
        </w:r>
        <w:r>
          <w:rPr/>
          <w:t xml:space="preserve">#</w:t>
        </w:r>
        <w:r>
          <w:fldChar w:fldCharType="end"/>
        </w:r>
      </w:hyperlink>
    </w:p>
    <w:p>
      <w:pPr>
        <w:pStyle w:val="TOC2"/>
      </w:pPr>
      <w:hyperlink w:anchor="sec_1_6" w:history="1">
        <w:r>
          <w:rPr/>
          <w:t xml:space="preserve">1.6 Methodological Approach</w:t>
        </w:r>
        <w:r>
          <w:tab/>
        </w:r>
        <w:r>
          <w:fldChar w:fldCharType="begin"/>
        </w:r>
        <w:r>
          <w:instrText xml:space="preserve"> PAGEREF sec_1_6 \h </w:instrText>
        </w:r>
        <w:r>
          <w:fldChar w:fldCharType="separate"/>
        </w:r>
        <w:r>
          <w:rPr/>
          <w:t xml:space="preserve">#</w:t>
        </w:r>
        <w:r>
          <w:fldChar w:fldCharType="end"/>
        </w:r>
      </w:hyperlink>
    </w:p>
    <w:p>
      <w:pPr>
        <w:pStyle w:val="TOC2"/>
      </w:pPr>
      <w:hyperlink w:anchor="sec_1_7" w:history="1">
        <w:r>
          <w:rPr/>
          <w:t xml:space="preserve">1.7 Thesis Structure</w:t>
        </w:r>
        <w:r>
          <w:tab/>
        </w:r>
        <w:r>
          <w:fldChar w:fldCharType="begin"/>
        </w:r>
        <w:r>
          <w:instrText xml:space="preserve"> PAGEREF sec_1_7 \h </w:instrText>
        </w:r>
        <w:r>
          <w:fldChar w:fldCharType="separate"/>
        </w:r>
        <w:r>
          <w:rPr/>
          <w:t xml:space="preserve">#</w:t>
        </w:r>
        <w:r>
          <w:fldChar w:fldCharType="end"/>
        </w:r>
      </w:hyperlink>
    </w:p>
    <w:p>
      <w:pPr>
        <w:pStyle w:val="TOC1"/>
      </w:pPr>
      <w:hyperlink w:anchor="ch_2" w:history="1">
        <w:r>
          <w:rPr/>
          <w:t xml:space="preserve">Chapter 2. Literature Review and Theoretical Foundation</w:t>
        </w:r>
        <w:r>
          <w:tab/>
        </w:r>
        <w:r>
          <w:fldChar w:fldCharType="begin"/>
        </w:r>
        <w:r>
          <w:instrText xml:space="preserve"> PAGEREF ch_2 \h </w:instrText>
        </w:r>
        <w:r>
          <w:fldChar w:fldCharType="separate"/>
        </w:r>
        <w:r>
          <w:rPr/>
          <w:t xml:space="preserve">#</w:t>
        </w:r>
        <w:r>
          <w:fldChar w:fldCharType="end"/>
        </w:r>
      </w:hyperlink>
    </w:p>
    <w:p>
      <w:pPr>
        <w:pStyle w:val="TOC2"/>
      </w:pPr>
      <w:hyperlink w:anchor="sec_2_1" w:history="1">
        <w:r>
          <w:rPr/>
          <w:t xml:space="preserve">2.1 Review Protocol</w:t>
        </w:r>
        <w:r>
          <w:tab/>
        </w:r>
        <w:r>
          <w:fldChar w:fldCharType="begin"/>
        </w:r>
        <w:r>
          <w:instrText xml:space="preserve"> PAGEREF sec_2_1 \h </w:instrText>
        </w:r>
        <w:r>
          <w:fldChar w:fldCharType="separate"/>
        </w:r>
        <w:r>
          <w:rPr/>
          <w:t xml:space="preserve">#</w:t>
        </w:r>
        <w:r>
          <w:fldChar w:fldCharType="end"/>
        </w:r>
      </w:hyperlink>
    </w:p>
    <w:p>
      <w:pPr>
        <w:pStyle w:val="TOC2"/>
      </w:pPr>
      <w:hyperlink w:anchor="sec_2_2" w:history="1">
        <w:r>
          <w:rPr/>
          <w:t xml:space="preserve">2.2 The Cross-Border Health Data Exchange Landscape</w:t>
        </w:r>
        <w:r>
          <w:tab/>
        </w:r>
        <w:r>
          <w:fldChar w:fldCharType="begin"/>
        </w:r>
        <w:r>
          <w:instrText xml:space="preserve"> PAGEREF sec_2_2 \h </w:instrText>
        </w:r>
        <w:r>
          <w:fldChar w:fldCharType="separate"/>
        </w:r>
        <w:r>
          <w:rPr/>
          <w:t xml:space="preserve">#</w:t>
        </w:r>
        <w:r>
          <w:fldChar w:fldCharType="end"/>
        </w:r>
      </w:hyperlink>
    </w:p>
    <w:p>
      <w:pPr>
        <w:pStyle w:val="TOC2"/>
      </w:pPr>
      <w:hyperlink w:anchor="sec_2_3" w:history="1">
        <w:r>
          <w:rPr/>
          <w:t xml:space="preserve">2.3 The Audit-Retention versus Right-to-Erasure Tension</w:t>
        </w:r>
        <w:r>
          <w:tab/>
        </w:r>
        <w:r>
          <w:fldChar w:fldCharType="begin"/>
        </w:r>
        <w:r>
          <w:instrText xml:space="preserve"> PAGEREF sec_2_3 \h </w:instrText>
        </w:r>
        <w:r>
          <w:fldChar w:fldCharType="separate"/>
        </w:r>
        <w:r>
          <w:rPr/>
          <w:t xml:space="preserve">#</w:t>
        </w:r>
        <w:r>
          <w:fldChar w:fldCharType="end"/>
        </w:r>
      </w:hyperlink>
    </w:p>
    <w:p>
      <w:pPr>
        <w:pStyle w:val="TOC2"/>
      </w:pPr>
      <w:hyperlink w:anchor="sec_2_4" w:history="1">
        <w:r>
          <w:rPr/>
          <w:t xml:space="preserve">2.4 Cryptographic Approaches to Audit Compliance</w:t>
        </w:r>
        <w:r>
          <w:tab/>
        </w:r>
        <w:r>
          <w:fldChar w:fldCharType="begin"/>
        </w:r>
        <w:r>
          <w:instrText xml:space="preserve"> PAGEREF sec_2_4 \h </w:instrText>
        </w:r>
        <w:r>
          <w:fldChar w:fldCharType="separate"/>
        </w:r>
        <w:r>
          <w:rPr/>
          <w:t xml:space="preserve">#</w:t>
        </w:r>
        <w:r>
          <w:fldChar w:fldCharType="end"/>
        </w:r>
      </w:hyperlink>
    </w:p>
    <w:p>
      <w:pPr>
        <w:pStyle w:val="TOC2"/>
      </w:pPr>
      <w:hyperlink w:anchor="sec_2_5" w:history="1">
        <w:r>
          <w:rPr/>
          <w:t xml:space="preserve">2.5 Formal Approaches to Regulatory-Compliance Verification</w:t>
        </w:r>
        <w:r>
          <w:tab/>
        </w:r>
        <w:r>
          <w:fldChar w:fldCharType="begin"/>
        </w:r>
        <w:r>
          <w:instrText xml:space="preserve"> PAGEREF sec_2_5 \h </w:instrText>
        </w:r>
        <w:r>
          <w:fldChar w:fldCharType="separate"/>
        </w:r>
        <w:r>
          <w:rPr/>
          <w:t xml:space="preserve">#</w:t>
        </w:r>
        <w:r>
          <w:fldChar w:fldCharType="end"/>
        </w:r>
      </w:hyperlink>
    </w:p>
    <w:p>
      <w:pPr>
        <w:pStyle w:val="TOC2"/>
      </w:pPr>
      <w:hyperlink w:anchor="sec_2_6" w:history="1">
        <w:r>
          <w:rPr/>
          <w:t xml:space="preserve">2.6 Norwegian Secondary-Use Infrastructure</w:t>
        </w:r>
        <w:r>
          <w:tab/>
        </w:r>
        <w:r>
          <w:fldChar w:fldCharType="begin"/>
        </w:r>
        <w:r>
          <w:instrText xml:space="preserve"> PAGEREF sec_2_6 \h </w:instrText>
        </w:r>
        <w:r>
          <w:fldChar w:fldCharType="separate"/>
        </w:r>
        <w:r>
          <w:rPr/>
          <w:t xml:space="preserve">#</w:t>
        </w:r>
        <w:r>
          <w:fldChar w:fldCharType="end"/>
        </w:r>
      </w:hyperlink>
    </w:p>
    <w:p>
      <w:pPr>
        <w:pStyle w:val="TOC2"/>
      </w:pPr>
      <w:hyperlink w:anchor="sec_2_7" w:history="1">
        <w:r>
          <w:rPr/>
          <w:t xml:space="preserve">2.7 Information Logistics Framing</w:t>
        </w:r>
        <w:r>
          <w:tab/>
        </w:r>
        <w:r>
          <w:fldChar w:fldCharType="begin"/>
        </w:r>
        <w:r>
          <w:instrText xml:space="preserve"> PAGEREF sec_2_7 \h </w:instrText>
        </w:r>
        <w:r>
          <w:fldChar w:fldCharType="separate"/>
        </w:r>
        <w:r>
          <w:rPr/>
          <w:t xml:space="preserve">#</w:t>
        </w:r>
        <w:r>
          <w:fldChar w:fldCharType="end"/>
        </w:r>
      </w:hyperlink>
    </w:p>
    <w:p>
      <w:pPr>
        <w:pStyle w:val="TOC2"/>
      </w:pPr>
      <w:hyperlink w:anchor="sec_2_8" w:history="1">
        <w:r>
          <w:rPr/>
          <w:t xml:space="preserve">2.8 Comparative Analysis</w:t>
        </w:r>
        <w:r>
          <w:tab/>
        </w:r>
        <w:r>
          <w:fldChar w:fldCharType="begin"/>
        </w:r>
        <w:r>
          <w:instrText xml:space="preserve"> PAGEREF sec_2_8 \h </w:instrText>
        </w:r>
        <w:r>
          <w:fldChar w:fldCharType="separate"/>
        </w:r>
        <w:r>
          <w:rPr/>
          <w:t xml:space="preserve">#</w:t>
        </w:r>
        <w:r>
          <w:fldChar w:fldCharType="end"/>
        </w:r>
      </w:hyperlink>
    </w:p>
    <w:p>
      <w:pPr>
        <w:pStyle w:val="TOC2"/>
      </w:pPr>
      <w:hyperlink w:anchor="sec_2_9" w:history="1">
        <w:r>
          <w:rPr/>
          <w:t xml:space="preserve">2.9 Identified Research Gaps</w:t>
        </w:r>
        <w:r>
          <w:tab/>
        </w:r>
        <w:r>
          <w:fldChar w:fldCharType="begin"/>
        </w:r>
        <w:r>
          <w:instrText xml:space="preserve"> PAGEREF sec_2_9 \h </w:instrText>
        </w:r>
        <w:r>
          <w:fldChar w:fldCharType="separate"/>
        </w:r>
        <w:r>
          <w:rPr/>
          <w:t xml:space="preserve">#</w:t>
        </w:r>
        <w:r>
          <w:fldChar w:fldCharType="end"/>
        </w:r>
      </w:hyperlink>
    </w:p>
    <w:p>
      <w:pPr>
        <w:pStyle w:val="TOC2"/>
      </w:pPr>
      <w:hyperlink w:anchor="sec_2_10" w:history="1">
        <w:r>
          <w:rPr/>
          <w:t xml:space="preserve">2.10 Conceptual Positioning of the Thesis</w:t>
        </w:r>
        <w:r>
          <w:tab/>
        </w:r>
        <w:r>
          <w:fldChar w:fldCharType="begin"/>
        </w:r>
        <w:r>
          <w:instrText xml:space="preserve"> PAGEREF sec_2_10 \h </w:instrText>
        </w:r>
        <w:r>
          <w:fldChar w:fldCharType="separate"/>
        </w:r>
        <w:r>
          <w:rPr/>
          <w:t xml:space="preserve">#</w:t>
        </w:r>
        <w:r>
          <w:fldChar w:fldCharType="end"/>
        </w:r>
      </w:hyperlink>
    </w:p>
    <w:p>
      <w:pPr>
        <w:pStyle w:val="TOC1"/>
      </w:pPr>
      <w:hyperlink w:anchor="ch_3" w:history="1">
        <w:r>
          <w:rPr/>
          <w:t xml:space="preserve">Chapter 3. Methodology and Research Design</w:t>
        </w:r>
        <w:r>
          <w:tab/>
        </w:r>
        <w:r>
          <w:fldChar w:fldCharType="begin"/>
        </w:r>
        <w:r>
          <w:instrText xml:space="preserve"> PAGEREF ch_3 \h </w:instrText>
        </w:r>
        <w:r>
          <w:fldChar w:fldCharType="separate"/>
        </w:r>
        <w:r>
          <w:rPr/>
          <w:t xml:space="preserve">#</w:t>
        </w:r>
        <w:r>
          <w:fldChar w:fldCharType="end"/>
        </w:r>
      </w:hyperlink>
    </w:p>
    <w:p>
      <w:pPr>
        <w:pStyle w:val="TOC2"/>
      </w:pPr>
      <w:hyperlink w:anchor="sec_3_1" w:history="1">
        <w:r>
          <w:rPr/>
          <w:t xml:space="preserve">3.1 Research Paradigm</w:t>
        </w:r>
        <w:r>
          <w:tab/>
        </w:r>
        <w:r>
          <w:fldChar w:fldCharType="begin"/>
        </w:r>
        <w:r>
          <w:instrText xml:space="preserve"> PAGEREF sec_3_1 \h </w:instrText>
        </w:r>
        <w:r>
          <w:fldChar w:fldCharType="separate"/>
        </w:r>
        <w:r>
          <w:rPr/>
          <w:t xml:space="preserve">#</w:t>
        </w:r>
        <w:r>
          <w:fldChar w:fldCharType="end"/>
        </w:r>
      </w:hyperlink>
    </w:p>
    <w:p>
      <w:pPr>
        <w:pStyle w:val="TOC2"/>
      </w:pPr>
      <w:hyperlink w:anchor="sec_3_2" w:history="1">
        <w:r>
          <w:rPr/>
          <w:t xml:space="preserve">3.2 The Design Science Cycle Adopted</w:t>
        </w:r>
        <w:r>
          <w:tab/>
        </w:r>
        <w:r>
          <w:fldChar w:fldCharType="begin"/>
        </w:r>
        <w:r>
          <w:instrText xml:space="preserve"> PAGEREF sec_3_2 \h </w:instrText>
        </w:r>
        <w:r>
          <w:fldChar w:fldCharType="separate"/>
        </w:r>
        <w:r>
          <w:rPr/>
          <w:t xml:space="preserve">#</w:t>
        </w:r>
        <w:r>
          <w:fldChar w:fldCharType="end"/>
        </w:r>
      </w:hyperlink>
    </w:p>
    <w:p>
      <w:pPr>
        <w:pStyle w:val="TOC2"/>
      </w:pPr>
      <w:hyperlink w:anchor="sec_3_3" w:history="1">
        <w:r>
          <w:rPr/>
          <w:t xml:space="preserve">3.3 The Specification-and-Demonstration Variant, Extended with Formal Modelling</w:t>
        </w:r>
        <w:r>
          <w:tab/>
        </w:r>
        <w:r>
          <w:fldChar w:fldCharType="begin"/>
        </w:r>
        <w:r>
          <w:instrText xml:space="preserve"> PAGEREF sec_3_3 \h </w:instrText>
        </w:r>
        <w:r>
          <w:fldChar w:fldCharType="separate"/>
        </w:r>
        <w:r>
          <w:rPr/>
          <w:t xml:space="preserve">#</w:t>
        </w:r>
        <w:r>
          <w:fldChar w:fldCharType="end"/>
        </w:r>
      </w:hyperlink>
    </w:p>
    <w:p>
      <w:pPr>
        <w:pStyle w:val="TOC2"/>
      </w:pPr>
      <w:hyperlink w:anchor="sec_3_4" w:history="1">
        <w:r>
          <w:rPr/>
          <w:t xml:space="preserve">3.4 Formal-Modelling Methodology</w:t>
        </w:r>
        <w:r>
          <w:tab/>
        </w:r>
        <w:r>
          <w:fldChar w:fldCharType="begin"/>
        </w:r>
        <w:r>
          <w:instrText xml:space="preserve"> PAGEREF sec_3_4 \h </w:instrText>
        </w:r>
        <w:r>
          <w:fldChar w:fldCharType="separate"/>
        </w:r>
        <w:r>
          <w:rPr/>
          <w:t xml:space="preserve">#</w:t>
        </w:r>
        <w:r>
          <w:fldChar w:fldCharType="end"/>
        </w:r>
      </w:hyperlink>
    </w:p>
    <w:p>
      <w:pPr>
        <w:pStyle w:val="TOC2"/>
      </w:pPr>
      <w:hyperlink w:anchor="sec_3_5" w:history="1">
        <w:r>
          <w:rPr/>
          <w:t xml:space="preserve">3.5 Synthetic Data</w:t>
        </w:r>
        <w:r>
          <w:tab/>
        </w:r>
        <w:r>
          <w:fldChar w:fldCharType="begin"/>
        </w:r>
        <w:r>
          <w:instrText xml:space="preserve"> PAGEREF sec_3_5 \h </w:instrText>
        </w:r>
        <w:r>
          <w:fldChar w:fldCharType="separate"/>
        </w:r>
        <w:r>
          <w:rPr/>
          <w:t xml:space="preserve">#</w:t>
        </w:r>
        <w:r>
          <w:fldChar w:fldCharType="end"/>
        </w:r>
      </w:hyperlink>
    </w:p>
    <w:p>
      <w:pPr>
        <w:pStyle w:val="TOC2"/>
      </w:pPr>
      <w:hyperlink w:anchor="sec_3_6" w:history="1">
        <w:r>
          <w:rPr/>
          <w:t xml:space="preserve">3.6 Sandbox Implementation Approach</w:t>
        </w:r>
        <w:r>
          <w:tab/>
        </w:r>
        <w:r>
          <w:fldChar w:fldCharType="begin"/>
        </w:r>
        <w:r>
          <w:instrText xml:space="preserve"> PAGEREF sec_3_6 \h </w:instrText>
        </w:r>
        <w:r>
          <w:fldChar w:fldCharType="separate"/>
        </w:r>
        <w:r>
          <w:rPr/>
          <w:t xml:space="preserve">#</w:t>
        </w:r>
        <w:r>
          <w:fldChar w:fldCharType="end"/>
        </w:r>
      </w:hyperlink>
    </w:p>
    <w:p>
      <w:pPr>
        <w:pStyle w:val="TOC2"/>
      </w:pPr>
      <w:hyperlink w:anchor="sec_3_7" w:history="1">
        <w:r>
          <w:rPr/>
          <w:t xml:space="preserve">3.7 Validity, Reliability, and Limitations</w:t>
        </w:r>
        <w:r>
          <w:tab/>
        </w:r>
        <w:r>
          <w:fldChar w:fldCharType="begin"/>
        </w:r>
        <w:r>
          <w:instrText xml:space="preserve"> PAGEREF sec_3_7 \h </w:instrText>
        </w:r>
        <w:r>
          <w:fldChar w:fldCharType="separate"/>
        </w:r>
        <w:r>
          <w:rPr/>
          <w:t xml:space="preserve">#</w:t>
        </w:r>
        <w:r>
          <w:fldChar w:fldCharType="end"/>
        </w:r>
      </w:hyperlink>
    </w:p>
    <w:p>
      <w:pPr>
        <w:pStyle w:val="TOC2"/>
      </w:pPr>
      <w:hyperlink w:anchor="sec_3_8" w:history="1">
        <w:r>
          <w:rPr/>
          <w:t xml:space="preserve">3.8 Evaluation Design for the Next Cycle</w:t>
        </w:r>
        <w:r>
          <w:tab/>
        </w:r>
        <w:r>
          <w:fldChar w:fldCharType="begin"/>
        </w:r>
        <w:r>
          <w:instrText xml:space="preserve"> PAGEREF sec_3_8 \h </w:instrText>
        </w:r>
        <w:r>
          <w:fldChar w:fldCharType="separate"/>
        </w:r>
        <w:r>
          <w:rPr/>
          <w:t xml:space="preserve">#</w:t>
        </w:r>
        <w:r>
          <w:fldChar w:fldCharType="end"/>
        </w:r>
      </w:hyperlink>
    </w:p>
    <w:p>
      <w:pPr>
        <w:pStyle w:val="TOC2"/>
      </w:pPr>
      <w:hyperlink w:anchor="sec_3_9" w:history="1">
        <w:r>
          <w:rPr/>
          <w:t xml:space="preserve">3.9 Ethical Considerations</w:t>
        </w:r>
        <w:r>
          <w:tab/>
        </w:r>
        <w:r>
          <w:fldChar w:fldCharType="begin"/>
        </w:r>
        <w:r>
          <w:instrText xml:space="preserve"> PAGEREF sec_3_9 \h </w:instrText>
        </w:r>
        <w:r>
          <w:fldChar w:fldCharType="separate"/>
        </w:r>
        <w:r>
          <w:rPr/>
          <w:t xml:space="preserve">#</w:t>
        </w:r>
        <w:r>
          <w:fldChar w:fldCharType="end"/>
        </w:r>
      </w:hyperlink>
    </w:p>
    <w:p>
      <w:pPr>
        <w:pStyle w:val="TOC1"/>
      </w:pPr>
      <w:hyperlink w:anchor="ch_4" w:history="1">
        <w:r>
          <w:rPr/>
          <w:t xml:space="preserve">Chapter 4. The Tri-Lateral Retention Feasibility Model and the Crypto-Erasure by Invalidation Mechanism</w:t>
        </w:r>
        <w:r>
          <w:tab/>
        </w:r>
        <w:r>
          <w:fldChar w:fldCharType="begin"/>
        </w:r>
        <w:r>
          <w:instrText xml:space="preserve"> PAGEREF ch_4 \h </w:instrText>
        </w:r>
        <w:r>
          <w:fldChar w:fldCharType="separate"/>
        </w:r>
        <w:r>
          <w:rPr/>
          <w:t xml:space="preserve">#</w:t>
        </w:r>
        <w:r>
          <w:fldChar w:fldCharType="end"/>
        </w:r>
      </w:hyperlink>
    </w:p>
    <w:p>
      <w:pPr>
        <w:pStyle w:val="TOC2"/>
      </w:pPr>
      <w:hyperlink w:anchor="sec_4_1" w:history="1">
        <w:r>
          <w:rPr/>
          <w:t xml:space="preserve">4.1 Purpose and Structure of the Chapter</w:t>
        </w:r>
        <w:r>
          <w:tab/>
        </w:r>
        <w:r>
          <w:fldChar w:fldCharType="begin"/>
        </w:r>
        <w:r>
          <w:instrText xml:space="preserve"> PAGEREF sec_4_1 \h </w:instrText>
        </w:r>
        <w:r>
          <w:fldChar w:fldCharType="separate"/>
        </w:r>
        <w:r>
          <w:rPr/>
          <w:t xml:space="preserve">#</w:t>
        </w:r>
        <w:r>
          <w:fldChar w:fldCharType="end"/>
        </w:r>
      </w:hyperlink>
    </w:p>
    <w:p>
      <w:pPr>
        <w:pStyle w:val="TOC2"/>
      </w:pPr>
      <w:hyperlink w:anchor="sec_4_2" w:history="1">
        <w:r>
          <w:rPr/>
          <w:t xml:space="preserve">4.2 What Must Be Retained: The Necessity Analysis</w:t>
        </w:r>
        <w:r>
          <w:tab/>
        </w:r>
        <w:r>
          <w:fldChar w:fldCharType="begin"/>
        </w:r>
        <w:r>
          <w:instrText xml:space="preserve"> PAGEREF sec_4_2 \h </w:instrText>
        </w:r>
        <w:r>
          <w:fldChar w:fldCharType="separate"/>
        </w:r>
        <w:r>
          <w:rPr/>
          <w:t xml:space="preserve">#</w:t>
        </w:r>
        <w:r>
          <w:fldChar w:fldCharType="end"/>
        </w:r>
      </w:hyperlink>
    </w:p>
    <w:p>
      <w:pPr>
        <w:pStyle w:val="TOC2"/>
      </w:pPr>
      <w:hyperlink w:anchor="sec_4_3" w:history="1">
        <w:r>
          <w:rPr/>
          <w:t xml:space="preserve">4.3 The Model: Objects and Notation</w:t>
        </w:r>
        <w:r>
          <w:tab/>
        </w:r>
        <w:r>
          <w:fldChar w:fldCharType="begin"/>
        </w:r>
        <w:r>
          <w:instrText xml:space="preserve"> PAGEREF sec_4_3 \h </w:instrText>
        </w:r>
        <w:r>
          <w:fldChar w:fldCharType="separate"/>
        </w:r>
        <w:r>
          <w:rPr/>
          <w:t xml:space="preserve">#</w:t>
        </w:r>
        <w:r>
          <w:fldChar w:fldCharType="end"/>
        </w:r>
      </w:hyperlink>
    </w:p>
    <w:p>
      <w:pPr>
        <w:pStyle w:val="TOC2"/>
      </w:pPr>
      <w:hyperlink w:anchor="sec_4_4" w:history="1">
        <w:r>
          <w:rPr/>
          <w:t xml:space="preserve">4.4 The Three Constraints</w:t>
        </w:r>
        <w:r>
          <w:tab/>
        </w:r>
        <w:r>
          <w:fldChar w:fldCharType="begin"/>
        </w:r>
        <w:r>
          <w:instrText xml:space="preserve"> PAGEREF sec_4_4 \h </w:instrText>
        </w:r>
        <w:r>
          <w:fldChar w:fldCharType="separate"/>
        </w:r>
        <w:r>
          <w:rPr/>
          <w:t xml:space="preserve">#</w:t>
        </w:r>
        <w:r>
          <w:fldChar w:fldCharType="end"/>
        </w:r>
      </w:hyperlink>
    </w:p>
    <w:p>
      <w:pPr>
        <w:pStyle w:val="TOC2"/>
      </w:pPr>
      <w:hyperlink w:anchor="sec_4_5" w:history="1">
        <w:r>
          <w:rPr/>
          <w:t xml:space="preserve">4.5 Two Semantics of Verifiability</w:t>
        </w:r>
        <w:r>
          <w:tab/>
        </w:r>
        <w:r>
          <w:fldChar w:fldCharType="begin"/>
        </w:r>
        <w:r>
          <w:instrText xml:space="preserve"> PAGEREF sec_4_5 \h </w:instrText>
        </w:r>
        <w:r>
          <w:fldChar w:fldCharType="separate"/>
        </w:r>
        <w:r>
          <w:rPr/>
          <w:t xml:space="preserve">#</w:t>
        </w:r>
        <w:r>
          <w:fldChar w:fldCharType="end"/>
        </w:r>
      </w:hyperlink>
    </w:p>
    <w:p>
      <w:pPr>
        <w:pStyle w:val="TOC2"/>
      </w:pPr>
      <w:hyperlink w:anchor="sec_4_6" w:history="1">
        <w:r>
          <w:rPr/>
          <w:t xml:space="preserve">4.6 Propositions 1 and 3: Infeasibility, and Where the Ceiling Is Anchored</w:t>
        </w:r>
        <w:r>
          <w:tab/>
        </w:r>
        <w:r>
          <w:fldChar w:fldCharType="begin"/>
        </w:r>
        <w:r>
          <w:instrText xml:space="preserve"> PAGEREF sec_4_6 \h </w:instrText>
        </w:r>
        <w:r>
          <w:fldChar w:fldCharType="separate"/>
        </w:r>
        <w:r>
          <w:rPr/>
          <w:t xml:space="preserve">#</w:t>
        </w:r>
        <w:r>
          <w:fldChar w:fldCharType="end"/>
        </w:r>
      </w:hyperlink>
    </w:p>
    <w:p>
      <w:pPr>
        <w:pStyle w:val="TOC2"/>
      </w:pPr>
      <w:hyperlink w:anchor="sec_4_7" w:history="1">
        <w:r>
          <w:rPr/>
          <w:t xml:space="preserve">4.7 Proposition 2: Feasibility under Accountability-Preserving Verifiability</w:t>
        </w:r>
        <w:r>
          <w:tab/>
        </w:r>
        <w:r>
          <w:fldChar w:fldCharType="begin"/>
        </w:r>
        <w:r>
          <w:instrText xml:space="preserve"> PAGEREF sec_4_7 \h </w:instrText>
        </w:r>
        <w:r>
          <w:fldChar w:fldCharType="separate"/>
        </w:r>
        <w:r>
          <w:rPr/>
          <w:t xml:space="preserve">#</w:t>
        </w:r>
        <w:r>
          <w:fldChar w:fldCharType="end"/>
        </w:r>
      </w:hyperlink>
    </w:p>
    <w:p>
      <w:pPr>
        <w:pStyle w:val="TOC2"/>
      </w:pPr>
      <w:hyperlink w:anchor="sec_4_8" w:history="1">
        <w:r>
          <w:rPr/>
          <w:t xml:space="preserve">4.8 The Mechanism: Crypto-Erasure by Invalidation</w:t>
        </w:r>
        <w:r>
          <w:tab/>
        </w:r>
        <w:r>
          <w:fldChar w:fldCharType="begin"/>
        </w:r>
        <w:r>
          <w:instrText xml:space="preserve"> PAGEREF sec_4_8 \h </w:instrText>
        </w:r>
        <w:r>
          <w:fldChar w:fldCharType="separate"/>
        </w:r>
        <w:r>
          <w:rPr/>
          <w:t xml:space="preserve">#</w:t>
        </w:r>
        <w:r>
          <w:fldChar w:fldCharType="end"/>
        </w:r>
      </w:hyperlink>
    </w:p>
    <w:p>
      <w:pPr>
        <w:pStyle w:val="TOC2"/>
      </w:pPr>
      <w:hyperlink w:anchor="sec_4_9" w:history="1">
        <w:r>
          <w:rPr/>
          <w:t xml:space="preserve">4.9 Residue Analysis</w:t>
        </w:r>
        <w:r>
          <w:tab/>
        </w:r>
        <w:r>
          <w:fldChar w:fldCharType="begin"/>
        </w:r>
        <w:r>
          <w:instrText xml:space="preserve"> PAGEREF sec_4_9 \h </w:instrText>
        </w:r>
        <w:r>
          <w:fldChar w:fldCharType="separate"/>
        </w:r>
        <w:r>
          <w:rPr/>
          <w:t xml:space="preserve">#</w:t>
        </w:r>
        <w:r>
          <w:fldChar w:fldCharType="end"/>
        </w:r>
      </w:hyperlink>
    </w:p>
    <w:p>
      <w:pPr>
        <w:pStyle w:val="TOC2"/>
      </w:pPr>
      <w:hyperlink w:anchor="sec_4_10" w:history="1">
        <w:r>
          <w:rPr/>
          <w:t xml:space="preserve">4.10 Rival Designs and Proposition 4</w:t>
        </w:r>
        <w:r>
          <w:tab/>
        </w:r>
        <w:r>
          <w:fldChar w:fldCharType="begin"/>
        </w:r>
        <w:r>
          <w:instrText xml:space="preserve"> PAGEREF sec_4_10 \h </w:instrText>
        </w:r>
        <w:r>
          <w:fldChar w:fldCharType="separate"/>
        </w:r>
        <w:r>
          <w:rPr/>
          <w:t xml:space="preserve">#</w:t>
        </w:r>
        <w:r>
          <w:fldChar w:fldCharType="end"/>
        </w:r>
      </w:hyperlink>
    </w:p>
    <w:p>
      <w:pPr>
        <w:pStyle w:val="TOC2"/>
      </w:pPr>
      <w:hyperlink w:anchor="sec_4_11" w:history="1">
        <w:r>
          <w:rPr/>
          <w:t xml:space="preserve">4.11 Integration with the Norwegian Infrastructure</w:t>
        </w:r>
        <w:r>
          <w:tab/>
        </w:r>
        <w:r>
          <w:fldChar w:fldCharType="begin"/>
        </w:r>
        <w:r>
          <w:instrText xml:space="preserve"> PAGEREF sec_4_11 \h </w:instrText>
        </w:r>
        <w:r>
          <w:fldChar w:fldCharType="separate"/>
        </w:r>
        <w:r>
          <w:rPr/>
          <w:t xml:space="preserve">#</w:t>
        </w:r>
        <w:r>
          <w:fldChar w:fldCharType="end"/>
        </w:r>
      </w:hyperlink>
    </w:p>
    <w:p>
      <w:pPr>
        <w:pStyle w:val="TOC2"/>
      </w:pPr>
      <w:hyperlink w:anchor="sec_4_12" w:history="1">
        <w:r>
          <w:rPr/>
          <w:t xml:space="preserve">4.12 Summary</w:t>
        </w:r>
        <w:r>
          <w:tab/>
        </w:r>
        <w:r>
          <w:fldChar w:fldCharType="begin"/>
        </w:r>
        <w:r>
          <w:instrText xml:space="preserve"> PAGEREF sec_4_12 \h </w:instrText>
        </w:r>
        <w:r>
          <w:fldChar w:fldCharType="separate"/>
        </w:r>
        <w:r>
          <w:rPr/>
          <w:t xml:space="preserve">#</w:t>
        </w:r>
        <w:r>
          <w:fldChar w:fldCharType="end"/>
        </w:r>
      </w:hyperlink>
    </w:p>
    <w:p>
      <w:pPr>
        <w:pStyle w:val="TOC1"/>
      </w:pPr>
      <w:hyperlink w:anchor="ch_5" w:history="1">
        <w:r>
          <w:rPr/>
          <w:t xml:space="preserve">Chapter 5. Demonstration</w:t>
        </w:r>
        <w:r>
          <w:tab/>
        </w:r>
        <w:r>
          <w:fldChar w:fldCharType="begin"/>
        </w:r>
        <w:r>
          <w:instrText xml:space="preserve"> PAGEREF ch_5 \h </w:instrText>
        </w:r>
        <w:r>
          <w:fldChar w:fldCharType="separate"/>
        </w:r>
        <w:r>
          <w:rPr/>
          <w:t xml:space="preserve">#</w:t>
        </w:r>
        <w:r>
          <w:fldChar w:fldCharType="end"/>
        </w:r>
      </w:hyperlink>
    </w:p>
    <w:p>
      <w:pPr>
        <w:pStyle w:val="TOC2"/>
      </w:pPr>
      <w:hyperlink w:anchor="sec_5_1" w:history="1">
        <w:r>
          <w:rPr/>
          <w:t xml:space="preserve">5.1 Purpose and Claim</w:t>
        </w:r>
        <w:r>
          <w:tab/>
        </w:r>
        <w:r>
          <w:fldChar w:fldCharType="begin"/>
        </w:r>
        <w:r>
          <w:instrText xml:space="preserve"> PAGEREF sec_5_1 \h </w:instrText>
        </w:r>
        <w:r>
          <w:fldChar w:fldCharType="separate"/>
        </w:r>
        <w:r>
          <w:rPr/>
          <w:t xml:space="preserve">#</w:t>
        </w:r>
        <w:r>
          <w:fldChar w:fldCharType="end"/>
        </w:r>
      </w:hyperlink>
    </w:p>
    <w:p>
      <w:pPr>
        <w:pStyle w:val="TOC2"/>
      </w:pPr>
      <w:hyperlink w:anchor="sec_5_2" w:history="1">
        <w:r>
          <w:rPr/>
          <w:t xml:space="preserve">5.2 Implementation</w:t>
        </w:r>
        <w:r>
          <w:tab/>
        </w:r>
        <w:r>
          <w:fldChar w:fldCharType="begin"/>
        </w:r>
        <w:r>
          <w:instrText xml:space="preserve"> PAGEREF sec_5_2 \h </w:instrText>
        </w:r>
        <w:r>
          <w:fldChar w:fldCharType="separate"/>
        </w:r>
        <w:r>
          <w:rPr/>
          <w:t xml:space="preserve">#</w:t>
        </w:r>
        <w:r>
          <w:fldChar w:fldCharType="end"/>
        </w:r>
      </w:hyperlink>
    </w:p>
    <w:p>
      <w:pPr>
        <w:pStyle w:val="TOC2"/>
      </w:pPr>
      <w:hyperlink w:anchor="sec_5_3" w:history="1">
        <w:r>
          <w:rPr/>
          <w:t xml:space="preserve">5.3 Results under Semantics I</w:t>
        </w:r>
        <w:r>
          <w:tab/>
        </w:r>
        <w:r>
          <w:fldChar w:fldCharType="begin"/>
        </w:r>
        <w:r>
          <w:instrText xml:space="preserve"> PAGEREF sec_5_3 \h </w:instrText>
        </w:r>
        <w:r>
          <w:fldChar w:fldCharType="separate"/>
        </w:r>
        <w:r>
          <w:rPr/>
          <w:t xml:space="preserve">#</w:t>
        </w:r>
        <w:r>
          <w:fldChar w:fldCharType="end"/>
        </w:r>
      </w:hyperlink>
    </w:p>
    <w:p>
      <w:pPr>
        <w:pStyle w:val="TOC2"/>
      </w:pPr>
      <w:hyperlink w:anchor="sec_5_4" w:history="1">
        <w:r>
          <w:rPr/>
          <w:t xml:space="preserve">5.4 Corollary 1.2: Infeasibility Without an Erasure Request</w:t>
        </w:r>
        <w:r>
          <w:tab/>
        </w:r>
        <w:r>
          <w:fldChar w:fldCharType="begin"/>
        </w:r>
        <w:r>
          <w:instrText xml:space="preserve"> PAGEREF sec_5_4 \h </w:instrText>
        </w:r>
        <w:r>
          <w:fldChar w:fldCharType="separate"/>
        </w:r>
        <w:r>
          <w:rPr/>
          <w:t xml:space="preserve">#</w:t>
        </w:r>
        <w:r>
          <w:fldChar w:fldCharType="end"/>
        </w:r>
      </w:hyperlink>
    </w:p>
    <w:p>
      <w:pPr>
        <w:pStyle w:val="TOC2"/>
      </w:pPr>
      <w:hyperlink w:anchor="sec_5_5" w:history="1">
        <w:r>
          <w:rPr/>
          <w:t xml:space="preserve">5.5 Independent Cross-Check</w:t>
        </w:r>
        <w:r>
          <w:tab/>
        </w:r>
        <w:r>
          <w:fldChar w:fldCharType="begin"/>
        </w:r>
        <w:r>
          <w:instrText xml:space="preserve"> PAGEREF sec_5_5 \h </w:instrText>
        </w:r>
        <w:r>
          <w:fldChar w:fldCharType="separate"/>
        </w:r>
        <w:r>
          <w:rPr/>
          <w:t xml:space="preserve">#</w:t>
        </w:r>
        <w:r>
          <w:fldChar w:fldCharType="end"/>
        </w:r>
      </w:hyperlink>
    </w:p>
    <w:p>
      <w:pPr>
        <w:pStyle w:val="TOC2"/>
      </w:pPr>
      <w:hyperlink w:anchor="sec_5_6" w:history="1">
        <w:r>
          <w:rPr/>
          <w:t xml:space="preserve">5.6 Witness at the Extended Response Period</w:t>
        </w:r>
        <w:r>
          <w:tab/>
        </w:r>
        <w:r>
          <w:fldChar w:fldCharType="begin"/>
        </w:r>
        <w:r>
          <w:instrText xml:space="preserve"> PAGEREF sec_5_6 \h </w:instrText>
        </w:r>
        <w:r>
          <w:fldChar w:fldCharType="separate"/>
        </w:r>
        <w:r>
          <w:rPr/>
          <w:t xml:space="preserve">#</w:t>
        </w:r>
        <w:r>
          <w:fldChar w:fldCharType="end"/>
        </w:r>
      </w:hyperlink>
    </w:p>
    <w:p>
      <w:pPr>
        <w:pStyle w:val="TOC2"/>
      </w:pPr>
      <w:hyperlink w:anchor="sec_5_7" w:history="1">
        <w:r>
          <w:rPr/>
          <w:t xml:space="preserve">5.7 Results under Semantics II</w:t>
        </w:r>
        <w:r>
          <w:tab/>
        </w:r>
        <w:r>
          <w:fldChar w:fldCharType="begin"/>
        </w:r>
        <w:r>
          <w:instrText xml:space="preserve"> PAGEREF sec_5_7 \h </w:instrText>
        </w:r>
        <w:r>
          <w:fldChar w:fldCharType="separate"/>
        </w:r>
        <w:r>
          <w:rPr/>
          <w:t xml:space="preserve">#</w:t>
        </w:r>
        <w:r>
          <w:fldChar w:fldCharType="end"/>
        </w:r>
      </w:hyperlink>
    </w:p>
    <w:p>
      <w:pPr>
        <w:pStyle w:val="TOC2"/>
      </w:pPr>
      <w:hyperlink w:anchor="sec_5_8" w:history="1">
        <w:r>
          <w:rPr/>
          <w:t xml:space="preserve">5.8 What the Demonstration Establishes, and What It Does Not</w:t>
        </w:r>
        <w:r>
          <w:tab/>
        </w:r>
        <w:r>
          <w:fldChar w:fldCharType="begin"/>
        </w:r>
        <w:r>
          <w:instrText xml:space="preserve"> PAGEREF sec_5_8 \h </w:instrText>
        </w:r>
        <w:r>
          <w:fldChar w:fldCharType="separate"/>
        </w:r>
        <w:r>
          <w:rPr/>
          <w:t xml:space="preserve">#</w:t>
        </w:r>
        <w:r>
          <w:fldChar w:fldCharType="end"/>
        </w:r>
      </w:hyperlink>
    </w:p>
    <w:p>
      <w:pPr>
        <w:pStyle w:val="TOC1"/>
      </w:pPr>
      <w:hyperlink w:anchor="ch_6" w:history="1">
        <w:r>
          <w:rPr/>
          <w:t xml:space="preserve">Chapter 6. Discussion</w:t>
        </w:r>
        <w:r>
          <w:tab/>
        </w:r>
        <w:r>
          <w:fldChar w:fldCharType="begin"/>
        </w:r>
        <w:r>
          <w:instrText xml:space="preserve"> PAGEREF ch_6 \h </w:instrText>
        </w:r>
        <w:r>
          <w:fldChar w:fldCharType="separate"/>
        </w:r>
        <w:r>
          <w:rPr/>
          <w:t xml:space="preserve">#</w:t>
        </w:r>
        <w:r>
          <w:fldChar w:fldCharType="end"/>
        </w:r>
      </w:hyperlink>
    </w:p>
    <w:p>
      <w:pPr>
        <w:pStyle w:val="TOC2"/>
      </w:pPr>
      <w:hyperlink w:anchor="sec_6_1" w:history="1">
        <w:r>
          <w:rPr/>
          <w:t xml:space="preserve">6.1 What the Thesis Establishes</w:t>
        </w:r>
        <w:r>
          <w:tab/>
        </w:r>
        <w:r>
          <w:fldChar w:fldCharType="begin"/>
        </w:r>
        <w:r>
          <w:instrText xml:space="preserve"> PAGEREF sec_6_1 \h </w:instrText>
        </w:r>
        <w:r>
          <w:fldChar w:fldCharType="separate"/>
        </w:r>
        <w:r>
          <w:rPr/>
          <w:t xml:space="preserve">#</w:t>
        </w:r>
        <w:r>
          <w:fldChar w:fldCharType="end"/>
        </w:r>
      </w:hyperlink>
    </w:p>
    <w:p>
      <w:pPr>
        <w:pStyle w:val="TOC2"/>
      </w:pPr>
      <w:hyperlink w:anchor="sec_6_2" w:history="1">
        <w:r>
          <w:rPr/>
          <w:t xml:space="preserve">6.2 The Authority Problem</w:t>
        </w:r>
        <w:r>
          <w:tab/>
        </w:r>
        <w:r>
          <w:fldChar w:fldCharType="begin"/>
        </w:r>
        <w:r>
          <w:instrText xml:space="preserve"> PAGEREF sec_6_2 \h </w:instrText>
        </w:r>
        <w:r>
          <w:fldChar w:fldCharType="separate"/>
        </w:r>
        <w:r>
          <w:rPr/>
          <w:t xml:space="preserve">#</w:t>
        </w:r>
        <w:r>
          <w:fldChar w:fldCharType="end"/>
        </w:r>
      </w:hyperlink>
    </w:p>
    <w:p>
      <w:pPr>
        <w:pStyle w:val="TOC2"/>
      </w:pPr>
      <w:hyperlink w:anchor="sec_6_3" w:history="1">
        <w:r>
          <w:rPr/>
          <w:t xml:space="preserve">6.3 Key Destruction and the Limits of Assurance</w:t>
        </w:r>
        <w:r>
          <w:tab/>
        </w:r>
        <w:r>
          <w:fldChar w:fldCharType="begin"/>
        </w:r>
        <w:r>
          <w:instrText xml:space="preserve"> PAGEREF sec_6_3 \h </w:instrText>
        </w:r>
        <w:r>
          <w:fldChar w:fldCharType="separate"/>
        </w:r>
        <w:r>
          <w:rPr/>
          <w:t xml:space="preserve">#</w:t>
        </w:r>
        <w:r>
          <w:fldChar w:fldCharType="end"/>
        </w:r>
      </w:hyperlink>
    </w:p>
    <w:p>
      <w:pPr>
        <w:pStyle w:val="TOC2"/>
      </w:pPr>
      <w:hyperlink w:anchor="sec_6_4" w:history="1">
        <w:r>
          <w:rPr/>
          <w:t xml:space="preserve">6.4 The Cost Objection</w:t>
        </w:r>
        <w:r>
          <w:tab/>
        </w:r>
        <w:r>
          <w:fldChar w:fldCharType="begin"/>
        </w:r>
        <w:r>
          <w:instrText xml:space="preserve"> PAGEREF sec_6_4 \h </w:instrText>
        </w:r>
        <w:r>
          <w:fldChar w:fldCharType="separate"/>
        </w:r>
        <w:r>
          <w:rPr/>
          <w:t xml:space="preserve">#</w:t>
        </w:r>
        <w:r>
          <w:fldChar w:fldCharType="end"/>
        </w:r>
      </w:hyperlink>
    </w:p>
    <w:p>
      <w:pPr>
        <w:pStyle w:val="TOC2"/>
      </w:pPr>
      <w:hyperlink w:anchor="sec_6_5" w:history="1">
        <w:r>
          <w:rPr/>
          <w:t xml:space="preserve">6.5 Scalability</w:t>
        </w:r>
        <w:r>
          <w:tab/>
        </w:r>
        <w:r>
          <w:fldChar w:fldCharType="begin"/>
        </w:r>
        <w:r>
          <w:instrText xml:space="preserve"> PAGEREF sec_6_5 \h </w:instrText>
        </w:r>
        <w:r>
          <w:fldChar w:fldCharType="separate"/>
        </w:r>
        <w:r>
          <w:rPr/>
          <w:t xml:space="preserve">#</w:t>
        </w:r>
        <w:r>
          <w:fldChar w:fldCharType="end"/>
        </w:r>
      </w:hyperlink>
    </w:p>
    <w:p>
      <w:pPr>
        <w:pStyle w:val="TOC2"/>
      </w:pPr>
      <w:hyperlink w:anchor="sec_6_6" w:history="1">
        <w:r>
          <w:rPr/>
          <w:t xml:space="preserve">6.6 Evaluation Design and the Role of Stakeholder Assessment</w:t>
        </w:r>
        <w:r>
          <w:tab/>
        </w:r>
        <w:r>
          <w:fldChar w:fldCharType="begin"/>
        </w:r>
        <w:r>
          <w:instrText xml:space="preserve"> PAGEREF sec_6_6 \h </w:instrText>
        </w:r>
        <w:r>
          <w:fldChar w:fldCharType="separate"/>
        </w:r>
        <w:r>
          <w:rPr/>
          <w:t xml:space="preserve">#</w:t>
        </w:r>
        <w:r>
          <w:fldChar w:fldCharType="end"/>
        </w:r>
      </w:hyperlink>
    </w:p>
    <w:p>
      <w:pPr>
        <w:pStyle w:val="TOC2"/>
      </w:pPr>
      <w:hyperlink w:anchor="sec_6_7" w:history="1">
        <w:r>
          <w:rPr/>
          <w:t xml:space="preserve">6.7 Synthetic Data and the Limits of the Demonstration</w:t>
        </w:r>
        <w:r>
          <w:tab/>
        </w:r>
        <w:r>
          <w:fldChar w:fldCharType="begin"/>
        </w:r>
        <w:r>
          <w:instrText xml:space="preserve"> PAGEREF sec_6_7 \h </w:instrText>
        </w:r>
        <w:r>
          <w:fldChar w:fldCharType="separate"/>
        </w:r>
        <w:r>
          <w:rPr/>
          <w:t xml:space="preserve">#</w:t>
        </w:r>
        <w:r>
          <w:fldChar w:fldCharType="end"/>
        </w:r>
      </w:hyperlink>
    </w:p>
    <w:p>
      <w:pPr>
        <w:pStyle w:val="TOC2"/>
      </w:pPr>
      <w:hyperlink w:anchor="sec_6_8" w:history="1">
        <w:r>
          <w:rPr/>
          <w:t xml:space="preserve">6.8 Implications for Practice and Policy</w:t>
        </w:r>
        <w:r>
          <w:tab/>
        </w:r>
        <w:r>
          <w:fldChar w:fldCharType="begin"/>
        </w:r>
        <w:r>
          <w:instrText xml:space="preserve"> PAGEREF sec_6_8 \h </w:instrText>
        </w:r>
        <w:r>
          <w:fldChar w:fldCharType="separate"/>
        </w:r>
        <w:r>
          <w:rPr/>
          <w:t xml:space="preserve">#</w:t>
        </w:r>
        <w:r>
          <w:fldChar w:fldCharType="end"/>
        </w:r>
      </w:hyperlink>
    </w:p>
    <w:p>
      <w:pPr>
        <w:pStyle w:val="TOC2"/>
      </w:pPr>
      <w:hyperlink w:anchor="sec_6_9" w:history="1">
        <w:r>
          <w:rPr/>
          <w:t xml:space="preserve">6.9 Theoretical Implications</w:t>
        </w:r>
        <w:r>
          <w:tab/>
        </w:r>
        <w:r>
          <w:fldChar w:fldCharType="begin"/>
        </w:r>
        <w:r>
          <w:instrText xml:space="preserve"> PAGEREF sec_6_9 \h </w:instrText>
        </w:r>
        <w:r>
          <w:fldChar w:fldCharType="separate"/>
        </w:r>
        <w:r>
          <w:rPr/>
          <w:t xml:space="preserve">#</w:t>
        </w:r>
        <w:r>
          <w:fldChar w:fldCharType="end"/>
        </w:r>
      </w:hyperlink>
    </w:p>
    <w:p>
      <w:pPr>
        <w:pStyle w:val="TOC2"/>
      </w:pPr>
      <w:hyperlink w:anchor="sec_6_10" w:history="1">
        <w:r>
          <w:rPr/>
          <w:t xml:space="preserve">6.10 Where the Ceiling Is Anchored: a Cross-Sector Test</w:t>
        </w:r>
        <w:r>
          <w:tab/>
        </w:r>
        <w:r>
          <w:fldChar w:fldCharType="begin"/>
        </w:r>
        <w:r>
          <w:instrText xml:space="preserve"> PAGEREF sec_6_10 \h </w:instrText>
        </w:r>
        <w:r>
          <w:fldChar w:fldCharType="separate"/>
        </w:r>
        <w:r>
          <w:rPr/>
          <w:t xml:space="preserve">#</w:t>
        </w:r>
        <w:r>
          <w:fldChar w:fldCharType="end"/>
        </w:r>
      </w:hyperlink>
    </w:p>
    <w:p>
      <w:pPr>
        <w:pStyle w:val="TOC2"/>
      </w:pPr>
      <w:hyperlink w:anchor="sec_6_11" w:history="1">
        <w:r>
          <w:rPr/>
          <w:t xml:space="preserve">6.11 Boundaries as Contribution</w:t>
        </w:r>
        <w:r>
          <w:tab/>
        </w:r>
        <w:r>
          <w:fldChar w:fldCharType="begin"/>
        </w:r>
        <w:r>
          <w:instrText xml:space="preserve"> PAGEREF sec_6_11 \h </w:instrText>
        </w:r>
        <w:r>
          <w:fldChar w:fldCharType="separate"/>
        </w:r>
        <w:r>
          <w:rPr/>
          <w:t xml:space="preserve">#</w:t>
        </w:r>
        <w:r>
          <w:fldChar w:fldCharType="end"/>
        </w:r>
      </w:hyperlink>
    </w:p>
    <w:p>
      <w:pPr>
        <w:pStyle w:val="TOC2"/>
      </w:pPr>
      <w:hyperlink w:anchor="sec_6_12" w:history="1">
        <w:r>
          <w:rPr/>
          <w:t xml:space="preserve">6.12 Summary</w:t>
        </w:r>
        <w:r>
          <w:tab/>
        </w:r>
        <w:r>
          <w:fldChar w:fldCharType="begin"/>
        </w:r>
        <w:r>
          <w:instrText xml:space="preserve"> PAGEREF sec_6_12 \h </w:instrText>
        </w:r>
        <w:r>
          <w:fldChar w:fldCharType="separate"/>
        </w:r>
        <w:r>
          <w:rPr/>
          <w:t xml:space="preserve">#</w:t>
        </w:r>
        <w:r>
          <w:fldChar w:fldCharType="end"/>
        </w:r>
      </w:hyperlink>
    </w:p>
    <w:p>
      <w:pPr>
        <w:pStyle w:val="TOC1"/>
      </w:pPr>
      <w:hyperlink w:anchor="ch_7" w:history="1">
        <w:r>
          <w:rPr/>
          <w:t xml:space="preserve">Chapter 7. Conclusion</w:t>
        </w:r>
        <w:r>
          <w:tab/>
        </w:r>
        <w:r>
          <w:fldChar w:fldCharType="begin"/>
        </w:r>
        <w:r>
          <w:instrText xml:space="preserve"> PAGEREF ch_7 \h </w:instrText>
        </w:r>
        <w:r>
          <w:fldChar w:fldCharType="separate"/>
        </w:r>
        <w:r>
          <w:rPr/>
          <w:t xml:space="preserve">#</w:t>
        </w:r>
        <w:r>
          <w:fldChar w:fldCharType="end"/>
        </w:r>
      </w:hyperlink>
    </w:p>
    <w:p>
      <w:pPr>
        <w:pStyle w:val="TOC2"/>
      </w:pPr>
      <w:hyperlink w:anchor="sec_7_1" w:history="1">
        <w:r>
          <w:rPr/>
          <w:t xml:space="preserve">7.1 The Problem and the Answer</w:t>
        </w:r>
        <w:r>
          <w:tab/>
        </w:r>
        <w:r>
          <w:fldChar w:fldCharType="begin"/>
        </w:r>
        <w:r>
          <w:instrText xml:space="preserve"> PAGEREF sec_7_1 \h </w:instrText>
        </w:r>
        <w:r>
          <w:fldChar w:fldCharType="separate"/>
        </w:r>
        <w:r>
          <w:rPr/>
          <w:t xml:space="preserve">#</w:t>
        </w:r>
        <w:r>
          <w:fldChar w:fldCharType="end"/>
        </w:r>
      </w:hyperlink>
    </w:p>
    <w:p>
      <w:pPr>
        <w:pStyle w:val="TOC2"/>
      </w:pPr>
      <w:hyperlink w:anchor="sec_7_2" w:history="1">
        <w:r>
          <w:rPr/>
          <w:t xml:space="preserve">7.2 Contributions</w:t>
        </w:r>
        <w:r>
          <w:tab/>
        </w:r>
        <w:r>
          <w:fldChar w:fldCharType="begin"/>
        </w:r>
        <w:r>
          <w:instrText xml:space="preserve"> PAGEREF sec_7_2 \h </w:instrText>
        </w:r>
        <w:r>
          <w:fldChar w:fldCharType="separate"/>
        </w:r>
        <w:r>
          <w:rPr/>
          <w:t xml:space="preserve">#</w:t>
        </w:r>
        <w:r>
          <w:fldChar w:fldCharType="end"/>
        </w:r>
      </w:hyperlink>
    </w:p>
    <w:p>
      <w:pPr>
        <w:pStyle w:val="TOC2"/>
      </w:pPr>
      <w:hyperlink w:anchor="sec_7_3" w:history="1">
        <w:r>
          <w:rPr/>
          <w:t xml:space="preserve">7.3 What the Thesis Does Not Establish</w:t>
        </w:r>
        <w:r>
          <w:tab/>
        </w:r>
        <w:r>
          <w:fldChar w:fldCharType="begin"/>
        </w:r>
        <w:r>
          <w:instrText xml:space="preserve"> PAGEREF sec_7_3 \h </w:instrText>
        </w:r>
        <w:r>
          <w:fldChar w:fldCharType="separate"/>
        </w:r>
        <w:r>
          <w:rPr/>
          <w:t xml:space="preserve">#</w:t>
        </w:r>
        <w:r>
          <w:fldChar w:fldCharType="end"/>
        </w:r>
      </w:hyperlink>
    </w:p>
    <w:p>
      <w:pPr>
        <w:pStyle w:val="TOC2"/>
      </w:pPr>
      <w:hyperlink w:anchor="sec_7_4" w:history="1">
        <w:r>
          <w:rPr/>
          <w:t xml:space="preserve">7.4 The Two Open Questions of Authority</w:t>
        </w:r>
        <w:r>
          <w:tab/>
        </w:r>
        <w:r>
          <w:fldChar w:fldCharType="begin"/>
        </w:r>
        <w:r>
          <w:instrText xml:space="preserve"> PAGEREF sec_7_4 \h </w:instrText>
        </w:r>
        <w:r>
          <w:fldChar w:fldCharType="separate"/>
        </w:r>
        <w:r>
          <w:rPr/>
          <w:t xml:space="preserve">#</w:t>
        </w:r>
        <w:r>
          <w:fldChar w:fldCharType="end"/>
        </w:r>
      </w:hyperlink>
    </w:p>
    <w:p>
      <w:pPr>
        <w:pStyle w:val="TOC2"/>
      </w:pPr>
      <w:hyperlink w:anchor="sec_7_5" w:history="1">
        <w:r>
          <w:rPr/>
          <w:t xml:space="preserve">7.5 Future Work</w:t>
        </w:r>
        <w:r>
          <w:tab/>
        </w:r>
        <w:r>
          <w:fldChar w:fldCharType="begin"/>
        </w:r>
        <w:r>
          <w:instrText xml:space="preserve"> PAGEREF sec_7_5 \h </w:instrText>
        </w:r>
        <w:r>
          <w:fldChar w:fldCharType="separate"/>
        </w:r>
        <w:r>
          <w:rPr/>
          <w:t xml:space="preserve">#</w:t>
        </w:r>
        <w:r>
          <w:fldChar w:fldCharType="end"/>
        </w:r>
      </w:hyperlink>
    </w:p>
    <w:p>
      <w:pPr>
        <w:pStyle w:val="TOC2"/>
      </w:pPr>
      <w:hyperlink w:anchor="sec_7_6" w:history="1">
        <w:r>
          <w:rPr/>
          <w:t xml:space="preserve">7.6 Closing</w:t>
        </w:r>
        <w:r>
          <w:tab/>
        </w:r>
        <w:r>
          <w:fldChar w:fldCharType="begin"/>
        </w:r>
        <w:r>
          <w:instrText xml:space="preserve"> PAGEREF sec_7_6 \h </w:instrText>
        </w:r>
        <w:r>
          <w:fldChar w:fldCharType="separate"/>
        </w:r>
        <w:r>
          <w:rPr/>
          <w:t xml:space="preserve">#</w:t>
        </w:r>
        <w:r>
          <w:fldChar w:fldCharType="end"/>
        </w:r>
      </w:hyperlink>
    </w:p>
    <w:p>
      <w:pPr>
        <w:pStyle w:val="TOC1"/>
      </w:pPr>
      <w:hyperlink w:anchor="h_References" w:history="1">
        <w:r>
          <w:rPr/>
          <w:t xml:space="preserve">References</w:t>
        </w:r>
        <w:r>
          <w:tab/>
        </w:r>
        <w:r>
          <w:fldChar w:fldCharType="begin"/>
        </w:r>
        <w:r>
          <w:instrText xml:space="preserve"> PAGEREF h_References \h </w:instrText>
        </w:r>
        <w:r>
          <w:fldChar w:fldCharType="separate"/>
        </w:r>
        <w:r>
          <w:rPr/>
          <w:t xml:space="preserve">#</w:t>
        </w:r>
        <w:r>
          <w:fldChar w:fldCharType="end"/>
        </w:r>
      </w:hyperlink>
    </w:p>
    <w:p>
      <w:pPr>
        <w:pStyle w:val="TOC1"/>
      </w:pPr>
      <w:hyperlink w:anchor="app_A" w:history="1">
        <w:r>
          <w:rPr/>
          <w:t xml:space="preserve">Appendix A. Code Artefacts and Reproduction Record</w:t>
        </w:r>
        <w:r>
          <w:tab/>
        </w:r>
        <w:r>
          <w:fldChar w:fldCharType="begin"/>
        </w:r>
        <w:r>
          <w:instrText xml:space="preserve"> PAGEREF app_A \h </w:instrText>
        </w:r>
        <w:r>
          <w:fldChar w:fldCharType="separate"/>
        </w:r>
        <w:r>
          <w:rPr/>
          <w:t xml:space="preserve">#</w:t>
        </w:r>
        <w:r>
          <w:fldChar w:fldCharType="end"/>
        </w:r>
      </w:hyperlink>
    </w:p>
    <w:p>
      <w:pPr>
        <w:pStyle w:val="TOC1"/>
      </w:pPr>
      <w:hyperlink w:anchor="app_B" w:history="1">
        <w:r>
          <w:rPr/>
          <w:t xml:space="preserve">Appendix B. Search Query Log</w:t>
        </w:r>
        <w:r>
          <w:tab/>
        </w:r>
        <w:r>
          <w:fldChar w:fldCharType="begin"/>
        </w:r>
        <w:r>
          <w:instrText xml:space="preserve"> PAGEREF app_B \h </w:instrText>
        </w:r>
        <w:r>
          <w:fldChar w:fldCharType="separate"/>
        </w:r>
        <w:r>
          <w:rPr/>
          <w:t xml:space="preserve">#</w:t>
        </w:r>
        <w:r>
          <w:fldChar w:fldCharType="end"/>
        </w:r>
      </w:hyperlink>
    </w:p>
    <w:p>
      <w:pPr>
        <w:pStyle w:val="TOC1"/>
      </w:pPr>
      <w:hyperlink w:anchor="app_C" w:history="1">
        <w:r>
          <w:rPr/>
          <w:t xml:space="preserve">Appendix C. Expert Evaluation Instrument</w:t>
        </w:r>
        <w:r>
          <w:tab/>
        </w:r>
        <w:r>
          <w:fldChar w:fldCharType="begin"/>
        </w:r>
        <w:r>
          <w:instrText xml:space="preserve"> PAGEREF app_C \h </w:instrText>
        </w:r>
        <w:r>
          <w:fldChar w:fldCharType="separate"/>
        </w:r>
        <w:r>
          <w:rPr/>
          <w:t xml:space="preserve">#</w:t>
        </w:r>
        <w:r>
          <w:fldChar w:fldCharType="end"/>
        </w:r>
      </w:hyperlink>
    </w:p>
    <w:p>
      <w:pPr>
        <w:pStyle w:val="Heading1"/>
      </w:pPr>
      <w:r>
        <w:rPr/>
        <w:t xml:space="preserve">List of Tables</w:t>
      </w:r>
    </w:p>
    <w:p>
      <w:pPr>
        <w:pStyle w:val="TOC2"/>
      </w:pPr>
      <w:hyperlink w:anchor="tbl_2_1" w:history="1">
        <w:r>
          <w:rPr/>
          <w:t xml:space="preserve">Table 2.1. Comparative Analysis of Cryptographic Compliance Approaches to Health Data Audit</w:t>
        </w:r>
        <w:r>
          <w:tab/>
        </w:r>
        <w:r>
          <w:fldChar w:fldCharType="begin"/>
        </w:r>
        <w:r>
          <w:instrText xml:space="preserve"> PAGEREF tbl_2_1 \h </w:instrText>
        </w:r>
        <w:r>
          <w:fldChar w:fldCharType="separate"/>
        </w:r>
        <w:r>
          <w:rPr/>
          <w:t xml:space="preserve">#</w:t>
        </w:r>
        <w:r>
          <w:fldChar w:fldCharType="end"/>
        </w:r>
      </w:hyperlink>
    </w:p>
    <w:p>
      <w:pPr>
        <w:pStyle w:val="TOC2"/>
      </w:pPr>
      <w:hyperlink w:anchor="tbl_4_1" w:history="1">
        <w:r>
          <w:rPr/>
          <w:t xml:space="preserve">Table 4.1. Requirements traced to the mechanism</w:t>
        </w:r>
        <w:r>
          <w:tab/>
        </w:r>
        <w:r>
          <w:fldChar w:fldCharType="begin"/>
        </w:r>
        <w:r>
          <w:instrText xml:space="preserve"> PAGEREF tbl_4_1 \h </w:instrText>
        </w:r>
        <w:r>
          <w:fldChar w:fldCharType="separate"/>
        </w:r>
        <w:r>
          <w:rPr/>
          <w:t xml:space="preserve">#</w:t>
        </w:r>
        <w:r>
          <w:fldChar w:fldCharType="end"/>
        </w:r>
      </w:hyperlink>
    </w:p>
    <w:p>
      <w:pPr>
        <w:pStyle w:val="TOC2"/>
      </w:pPr>
      <w:hyperlink w:anchor="tbl_5_1" w:history="1">
        <w:r>
          <w:rPr/>
          <w:t xml:space="preserve">Table 5.1. The artefact as published</w:t>
        </w:r>
        <w:r>
          <w:tab/>
        </w:r>
        <w:r>
          <w:fldChar w:fldCharType="begin"/>
        </w:r>
        <w:r>
          <w:instrText xml:space="preserve"> PAGEREF tbl_5_1 \h </w:instrText>
        </w:r>
        <w:r>
          <w:fldChar w:fldCharType="separate"/>
        </w:r>
        <w:r>
          <w:rPr/>
          <w:t xml:space="preserve">#</w:t>
        </w:r>
        <w:r>
          <w:fldChar w:fldCharType="end"/>
        </w:r>
      </w:hyperlink>
    </w:p>
    <w:p>
      <w:pPr>
        <w:pStyle w:val="TOC2"/>
      </w:pPr>
      <w:hyperlink w:anchor="tbl_5_2" w:history="1">
        <w:r>
          <w:rPr/>
          <w:t xml:space="preserve">Table 5.2. Generation parameters (complete)</w:t>
        </w:r>
        <w:r>
          <w:tab/>
        </w:r>
        <w:r>
          <w:fldChar w:fldCharType="begin"/>
        </w:r>
        <w:r>
          <w:instrText xml:space="preserve"> PAGEREF tbl_5_2 \h </w:instrText>
        </w:r>
        <w:r>
          <w:fldChar w:fldCharType="separate"/>
        </w:r>
        <w:r>
          <w:rPr/>
          <w:t xml:space="preserve">#</w:t>
        </w:r>
        <w:r>
          <w:fldChar w:fldCharType="end"/>
        </w:r>
      </w:hyperlink>
    </w:p>
    <w:p>
      <w:pPr>
        <w:pStyle w:val="TOC2"/>
      </w:pPr>
      <w:hyperlink w:anchor="tbl_5_3" w:history="1">
        <w:r>
          <w:rPr/>
          <w:t xml:space="preserve">Table 5.3. Violations under Semantics I (seed 20260915, n = 200)</w:t>
        </w:r>
        <w:r>
          <w:tab/>
        </w:r>
        <w:r>
          <w:fldChar w:fldCharType="begin"/>
        </w:r>
        <w:r>
          <w:instrText xml:space="preserve"> PAGEREF tbl_5_3 \h </w:instrText>
        </w:r>
        <w:r>
          <w:fldChar w:fldCharType="separate"/>
        </w:r>
        <w:r>
          <w:rPr/>
          <w:t xml:space="preserve">#</w:t>
        </w:r>
        <w:r>
          <w:fldChar w:fldCharType="end"/>
        </w:r>
      </w:hyperlink>
    </w:p>
    <w:p>
      <w:pPr>
        <w:pStyle w:val="TOC2"/>
      </w:pPr>
      <w:hyperlink w:anchor="tbl_5_4" w:history="1">
        <w:r>
          <w:rPr/>
          <w:t xml:space="preserve">Table 5.4. Exhaustive search over  assignments (horizon = 14 months)</w:t>
        </w:r>
        <w:r>
          <w:tab/>
        </w:r>
        <w:r>
          <w:fldChar w:fldCharType="begin"/>
        </w:r>
        <w:r>
          <w:instrText xml:space="preserve"> PAGEREF tbl_5_4 \h </w:instrText>
        </w:r>
        <w:r>
          <w:fldChar w:fldCharType="separate"/>
        </w:r>
        <w:r>
          <w:rPr/>
          <w:t xml:space="preserve">#</w:t>
        </w:r>
        <w:r>
          <w:fldChar w:fldCharType="end"/>
        </w:r>
      </w:hyperlink>
    </w:p>
    <w:p>
      <w:pPr>
        <w:pStyle w:val="TOC2"/>
      </w:pPr>
      <w:hyperlink w:anchor="tbl_5_5" w:history="1">
        <w:r>
          <w:rPr/>
          <w:t xml:space="preserve">Table 5.5. Results at  and  (seed 20260915, n = 200)</w:t>
        </w:r>
        <w:r>
          <w:tab/>
        </w:r>
        <w:r>
          <w:fldChar w:fldCharType="begin"/>
        </w:r>
        <w:r>
          <w:instrText xml:space="preserve"> PAGEREF tbl_5_5 \h </w:instrText>
        </w:r>
        <w:r>
          <w:fldChar w:fldCharType="separate"/>
        </w:r>
        <w:r>
          <w:rPr/>
          <w:t xml:space="preserve">#</w:t>
        </w:r>
        <w:r>
          <w:fldChar w:fldCharType="end"/>
        </w:r>
      </w:hyperlink>
    </w:p>
    <w:p>
      <w:pPr>
        <w:pStyle w:val="TOC2"/>
      </w:pPr>
      <w:hyperlink w:anchor="tbl_5_6" w:history="1">
        <w:r>
          <w:rPr/>
          <w:t xml:space="preserve">Table 5.6. Results under Semantics II (same 200 records, same seed)</w:t>
        </w:r>
        <w:r>
          <w:tab/>
        </w:r>
        <w:r>
          <w:fldChar w:fldCharType="begin"/>
        </w:r>
        <w:r>
          <w:instrText xml:space="preserve"> PAGEREF tbl_5_6 \h </w:instrText>
        </w:r>
        <w:r>
          <w:fldChar w:fldCharType="separate"/>
        </w:r>
        <w:r>
          <w:rPr/>
          <w:t xml:space="preserve">#</w:t>
        </w:r>
        <w:r>
          <w:fldChar w:fldCharType="end"/>
        </w:r>
      </w:hyperlink>
    </w:p>
    <w:p>
      <w:pPr>
        <w:pStyle w:val="TOC2"/>
      </w:pPr>
      <w:hyperlink w:anchor="tbl_5_7" w:history="1">
        <w:r>
          <w:rPr/>
          <w:t xml:space="preserve">Table 5.7. Constructed against Synthea-generated payloads (same seed, same timings)</w:t>
        </w:r>
        <w:r>
          <w:tab/>
        </w:r>
        <w:r>
          <w:fldChar w:fldCharType="begin"/>
        </w:r>
        <w:r>
          <w:instrText xml:space="preserve"> PAGEREF tbl_5_7 \h </w:instrText>
        </w:r>
        <w:r>
          <w:fldChar w:fldCharType="separate"/>
        </w:r>
        <w:r>
          <w:rPr/>
          <w:t xml:space="preserve">#</w:t>
        </w:r>
        <w:r>
          <w:fldChar w:fldCharType="end"/>
        </w:r>
      </w:hyperlink>
    </w:p>
    <w:p>
      <w:pPr>
        <w:pStyle w:val="Heading1"/>
      </w:pPr>
      <w:bookmarkStart w:id="1015" w:name="ch_1"/>
      <w:r>
        <w:t xml:space="preserve">Chapter 1. Introduction</w:t>
      </w:r>
      <w:bookmarkEnd w:id="1015"/>
    </w:p>
    <w:bookmarkStart w:id="25" w:name="background-and-context"/>
    <w:p>
      <w:pPr>
        <w:pStyle w:val="Heading2"/>
      </w:pPr>
      <w:bookmarkStart w:id="1016" w:name="sec_1_1"/>
      <w:r>
        <w:t xml:space="preserve">1.1 Background and Context</w:t>
      </w:r>
      <w:bookmarkEnd w:id="1016"/>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operational but deliberately narrow: a pilot run by the Norwegian Directorate of Health and the Norwegian Health Network receives patient summaries at two emergency clinics, and no relevant patients had yet presented when the Directorate last reported (Helsedirektoratet, 2026;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gives the details). As Norway is an EEA member rather than a Member State, EHDS implementation runs through the EEA Joint Committee, and Helsedirektoratet delivered its formal EHDS gap analysis on 11 April 2025 (Helsedirektoratet, n.d.). The cross-border audit records with which this thesis is concerned are therefore beginning to be generated in Norwegian production, on live infrastructure, in small numbers.</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the electronic health data in a Secure Processing Environment must be deleted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of every Secure Processing Environment</w:t>
      </w:r>
      <w:r>
        <w:t xml:space="preserve"> </w:t>
      </w:r>
      <w:r>
        <w:t xml:space="preserve">“</w:t>
      </w:r>
      <w:r>
        <w:t xml:space="preserve">the keeping of identifiable logs of access to and activities in the secure processing environment for the period necessary to verify and audit all processing operations in that environment; logs of access shall be kept for at least one year</w:t>
      </w:r>
      <w:r>
        <w:t xml:space="preserve">”</w:t>
      </w:r>
      <w:r>
        <w:t xml:space="preserve"> </w:t>
      </w:r>
      <w:r>
        <w:t xml:space="preserve">(European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25"/>
    <w:bookmarkStart w:id="26" w:name="problem-statement"/>
    <w:p>
      <w:pPr>
        <w:pStyle w:val="Heading2"/>
      </w:pPr>
      <w:bookmarkStart w:id="1017" w:name="sec_1_2"/>
      <w:r>
        <w:t xml:space="preserve">1.2 Problem Statement</w:t>
      </w:r>
      <w:bookmarkEnd w:id="1017"/>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the period its deployment binding sets (ten years as reported, </w:t>
      </w:r>
      <w:hyperlink w:anchor="sec_1_1" w:history="1">
        <w:r>
          <w:rPr>
            <w:rStyle w:val="Hyperlink"/>
          </w:rPr>
          <w:t xml:space="preserve">Section 1.1</w:t>
        </w:r>
      </w:hyperlink>
      <w:r>
        <w:t xml:space="preserve">), and accessible to the patient through the home country’s audit-log interface (Simjanoska Misheva et al., 2025). If, during that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w:t>
      </w:r>
      <w:hyperlink w:anchor="sec_2_3" w:history="1">
        <w:r>
          <w:rPr>
            <w:rStyle w:val="Hyperlink"/>
          </w:rPr>
          <w:t xml:space="preserve">Sections 2.3</w:t>
        </w:r>
      </w:hyperlink>
      <w:r>
        <w:t xml:space="preserve">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payload of an audit record for the length of the floor exceeds what accountability requires, since the accountability function of the record can be preserved without continued access to that payload; for Secure Processing Environment logs the thesis argues this for the part of the payload auditing does not need (</w:t>
      </w:r>
      <w:hyperlink w:anchor="ch_4" w:history="1">
        <w:r>
          <w:rPr>
            <w:rStyle w:val="Hyperlink"/>
          </w:rPr>
          <w:t xml:space="preserve">Chapter 4</w:t>
        </w:r>
      </w:hyperlink>
      <w:r>
        <w:t xml:space="preserve">, Corollary 2.3).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through erasure requests, and, as a conditional extension, it arises there even without them: on the broad reading of Article 68(12), for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the electronic health data within the environment within six months of permit expiry. Article 73(1)(e) of the same regulation requires that identifiable access logs for that environment be kept for at least one year. On the broad reading, the environment must therefore be emptied of electronic health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26"/>
    <w:bookmarkStart w:id="27" w:name="research-objectives-and-questions"/>
    <w:p>
      <w:pPr>
        <w:pStyle w:val="Heading2"/>
      </w:pPr>
      <w:bookmarkStart w:id="1018" w:name="sec_1_3"/>
      <w:r>
        <w:t xml:space="preserve">1.3 Research Objectives and Questions</w:t>
      </w:r>
      <w:bookmarkEnd w:id="1018"/>
    </w:p>
    <w:p>
      <w:pPr>
        <w:pStyle w:val="FirstParagraph"/>
      </w:pPr>
      <w:r>
        <w:t xml:space="preserve">The objective of this thesis is to formally characterise, and then resolve by design, the conflict between the three retention regimes identified in </w:t>
      </w:r>
      <w:hyperlink w:anchor="sec_1_2" w:history="1">
        <w:r>
          <w:rPr>
            <w:rStyle w:val="Hyperlink"/>
          </w:rPr>
          <w:t xml:space="preserve">Section 1.2</w:t>
        </w:r>
      </w:hyperlink>
      <w:r>
        <w:t xml:space="preserve">.</w:t>
      </w:r>
    </w:p>
    <w:p>
      <w:pPr>
        <w:pStyle w:val="BodyText"/>
      </w:pPr>
      <w:r>
        <w:t xml:space="preserve">The analytical core of the thesis is the Tri-Lateral Retention Feasibility Model (TRF Model), a constraint-satisfaction formulation developed in </w:t>
      </w:r>
      <w:hyperlink w:anchor="ch_4" w:history="1">
        <w:r>
          <w:rPr>
            <w:rStyle w:val="Hyperlink"/>
          </w:rPr>
          <w:t xml:space="preserve">Chapter 4</w:t>
        </w:r>
      </w:hyperlink>
      <w:r>
        <w:t xml:space="preserve"> within the established tradition of formal legal-compliance verification (Feng, Marsso, Sabetzadeh, &amp; Chechik, 2023). The model decomposes each cross-border audit record into an event-metadata component, itself divided into the accessor’s fields and the link to the patient, and 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plaintext-verifiability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a tamper-evident audit log. The mechanism is thus the constructive witness of the model’s feasibility result, not an independently posited design. Two further results locate the conflict: a deletion ceiling collides with a retention floor exactly when it is no longer than the floor, and the event it is anchored to decides whether the collision can be read from the text (Proposition 3); and moving a record out of the regulated environment meets the ceiling but not the right to erasure (Proposition 4).</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w:t>
      </w:r>
      <w:hyperlink w:anchor="ch_2" w:history="1">
        <w:r>
          <w:rPr>
            <w:rStyle w:val="Hyperlink"/>
          </w:rPr>
          <w:t xml:space="preserve">Chapter 2</w:t>
        </w:r>
      </w:hyperlink>
      <w:r>
        <w:t xml:space="preserve">’s literature analysis and the formal characterisation in Chapter 4. SQ2 is addressed through the TRF Model’s feasibility propositions, the mechanism specification in </w:t>
      </w:r>
      <w:hyperlink w:anchor="ch_4" w:history="1">
        <w:r>
          <w:rPr>
            <w:rStyle w:val="Hyperlink"/>
          </w:rPr>
          <w:t xml:space="preserve">Chapter 4</w:t>
        </w:r>
      </w:hyperlink>
      <w:r>
        <w:t xml:space="preserve">, and the executable demonstration in Chapter 5. SQ3 is addressed through </w:t>
      </w:r>
      <w:hyperlink w:anchor="ch_4" w:history="1">
        <w:r>
          <w:rPr>
            <w:rStyle w:val="Hyperlink"/>
          </w:rPr>
          <w:t xml:space="preserve">Chapter 4</w:t>
        </w:r>
      </w:hyperlink>
      <w:r>
        <w:t xml:space="preserve">’s integration analysis and </w:t>
      </w:r>
      <w:hyperlink w:anchor="ch_6" w:history="1">
        <w:r>
          <w:rPr>
            <w:rStyle w:val="Hyperlink"/>
          </w:rPr>
          <w:t xml:space="preserve">Chapter 6</w:t>
        </w:r>
      </w:hyperlink>
      <w:r>
        <w:t xml:space="preserve">’s discussion of implications for Norwegian implementing actors.</w:t>
      </w:r>
    </w:p>
    <w:bookmarkEnd w:id="27"/>
    <w:bookmarkStart w:id="28" w:name="significance-and-relevance"/>
    <w:p>
      <w:pPr>
        <w:pStyle w:val="Heading2"/>
      </w:pPr>
      <w:bookmarkStart w:id="1019" w:name="sec_1_4"/>
      <w:r>
        <w:t xml:space="preserve">1.4 Significance and Relevance</w:t>
      </w:r>
      <w:bookmarkEnd w:id="1019"/>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with its outbound capability under construction during 2026 (Helsedirektoratet, 2026), as </w:t>
      </w:r>
      <w:hyperlink w:anchor="sec_1_1" w:history="1">
        <w:r>
          <w:rPr>
            <w:rStyle w:val="Hyperlink"/>
          </w:rPr>
          <w:t xml:space="preserve">Section 1.1</w:t>
        </w:r>
      </w:hyperlink>
      <w:r>
        <w:t xml:space="preserve"> describes.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also for the conflict’s conditional extension. 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leaves the balance to each operator’s policy, and in its expert commentary names</w:t>
      </w:r>
      <w:r>
        <w:t xml:space="preserve"> </w:t>
      </w:r>
      <w:r>
        <w:t xml:space="preserve">“</w:t>
      </w:r>
      <w:r>
        <w:t xml:space="preserve">open questions about how accountability and anonymisation obligations intersect</w:t>
      </w:r>
      <w:r>
        <w:t xml:space="preserve">”</w:t>
      </w:r>
      <w:r>
        <w:t xml:space="preserve"> </w:t>
      </w:r>
      <w:r>
        <w:t xml:space="preserve">(TEHDAS2, 2026, Table 5.2, OPR-6, p. 43; Annex 7, p. 96).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Physical cross-border logistics meets a similar problem in customs, where documentation must be retained while the goods it describes may be ordered destroyed. This situates the contribution within the disciplinary identity of Sustainable Energy Logistics at HiMolde. The borrowing is specific rather than wholesale: customs law already keeps the record of goods after the goods themselves have been destroyed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and that separation of the record from the thing recorded is the move </w:t>
      </w:r>
      <w:hyperlink w:anchor="ch_4" w:history="1">
        <w:r>
          <w:rPr>
            <w:rStyle w:val="Hyperlink"/>
          </w:rPr>
          <w:t xml:space="preserve">Chapter 4</w:t>
        </w:r>
      </w:hyperlink>
      <w:r>
        <w:t xml:space="preserve"> makes for the audit trail.</w:t>
      </w:r>
    </w:p>
    <w:bookmarkEnd w:id="28"/>
    <w:bookmarkStart w:id="29" w:name="scope-and-out-of-scope"/>
    <w:p>
      <w:pPr>
        <w:pStyle w:val="Heading2"/>
      </w:pPr>
      <w:bookmarkStart w:id="1020" w:name="sec_1_5"/>
      <w:r>
        <w:t xml:space="preserve">1.5 Scope and Out-of-Scope</w:t>
      </w:r>
      <w:bookmarkEnd w:id="1020"/>
    </w:p>
    <w:p>
      <w:pPr>
        <w:pStyle w:val="FirstParagraph"/>
      </w:pPr>
      <w:r>
        <w:t xml:space="preserve">This thesis is bounded by a deliberate and explicit scope, set by what can be defended within the time and resources of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plaintext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at the one point where it becomes necessary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Storage has an energy cost at system scale: data centres used</w:t>
      </w:r>
      <w:r>
        <w:t xml:space="preserve"> </w:t>
      </w:r>
      <w:r>
        <w:t xml:space="preserve">“</w:t>
      </w:r>
      <w:r>
        <w:t xml:space="preserve">around 1.5% of the world’s electricity consumption in 2024, or 415 terawatt-hours</w:t>
      </w:r>
      <w:r>
        <w:t xml:space="preserve">”</w:t>
      </w:r>
      <w:r>
        <w:t xml:space="preserve"> </w:t>
      </w:r>
      <w:r>
        <w:t xml:space="preserve">(International Energy Agency, 2025). The thesis does not estimate what share retained audit records account for, and claims no energy saving for the mechanism.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four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29"/>
    <w:bookmarkStart w:id="30" w:name="methodological-approach"/>
    <w:p>
      <w:pPr>
        <w:pStyle w:val="Heading2"/>
      </w:pPr>
      <w:bookmarkStart w:id="1021" w:name="sec_1_6"/>
      <w:r>
        <w:t xml:space="preserve">1.6 Methodological Approach</w:t>
      </w:r>
      <w:bookmarkEnd w:id="1021"/>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employs lighter machinery, a feasibility formulation over one binary state variable per record, suited to defence at Master’s level and to the logistics-modelling training of the author’s programme.</w:t>
      </w:r>
    </w:p>
    <w:p>
      <w:pPr>
        <w:pStyle w:val="BodyText"/>
      </w:pPr>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w:t>
      </w:r>
      <w:hyperlink w:anchor="ch_4" w:history="1">
        <w:r>
          <w:rPr>
            <w:rStyle w:val="Hyperlink"/>
          </w:rPr>
          <w:t xml:space="preserve">Chapter 4</w:t>
        </w:r>
      </w:hyperlink>
      <w:r>
        <w:t xml:space="preserve">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0"/>
    <w:bookmarkStart w:id="31" w:name="thesis-structure"/>
    <w:p>
      <w:pPr>
        <w:pStyle w:val="Heading2"/>
      </w:pPr>
      <w:bookmarkStart w:id="1022" w:name="sec_1_7"/>
      <w:r>
        <w:t xml:space="preserve">1.7 Thesis Structure</w:t>
      </w:r>
      <w:bookmarkEnd w:id="1022"/>
    </w:p>
    <w:p>
      <w:pPr>
        <w:pStyle w:val="FirstParagraph"/>
      </w:pPr>
      <w:r>
        <w:t xml:space="preserve">The thesis is organised in seven chapters and appendices.</w:t>
      </w:r>
    </w:p>
    <w:p>
      <w:pPr>
        <w:pStyle w:val="BodyText"/>
      </w:pPr>
      <w:hyperlink w:anchor="ch_1" w:history="1">
        <w:r>
          <w:rPr>
            <w:rStyle w:val="Hyperlink"/>
            <w:iCs/>
            <w:i/>
          </w:rPr>
          <w:t xml:space="preserve">Chapter 1</w:t>
        </w:r>
      </w:hyperlink>
      <w:r>
        <w:t xml:space="preserve"> </w:t>
      </w:r>
      <w:r>
        <w:t xml:space="preserve">introduces the regulatory background, the problem, the research objectives, the significance of the study, the scope and explicit out-of-scope boundaries, and the methodological approach.</w:t>
      </w:r>
    </w:p>
    <w:p>
      <w:pPr>
        <w:pStyle w:val="BodyText"/>
      </w:pPr>
      <w:hyperlink w:anchor="ch_2" w:history="1">
        <w:r>
          <w:rPr>
            <w:rStyle w:val="Hyperlink"/>
            <w:iCs/>
            <w:i/>
          </w:rPr>
          <w:t xml:space="preserve">Chapter 2</w:t>
        </w:r>
      </w:hyperlink>
      <w:r>
        <w:t xml:space="preserve"> </w:t>
      </w:r>
      <w:r>
        <w:t xml:space="preserve">reviews the literature in six domains: the cross-border health data exchange landscape under EHDS; the audit-retention versus right-to-erasure tension, including the Article 17(3)(b) exemption argument; cryptographic approaches to audit compliance, including secure deletion and tamper-evident logging; formal approaches to regulatory-compliance verification; the Norwegian secondary-use infrastructure; and the information-logistics framing. It identifies the research gaps and positions the contribution.</w:t>
      </w:r>
    </w:p>
    <w:p>
      <w:pPr>
        <w:pStyle w:val="BodyText"/>
      </w:pPr>
      <w:hyperlink w:anchor="ch_3" w:history="1">
        <w:r>
          <w:rPr>
            <w:rStyle w:val="Hyperlink"/>
            <w:iCs/>
            <w:i/>
          </w:rPr>
          <w:t xml:space="preserve">Chapter 3</w:t>
        </w:r>
      </w:hyperlink>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hyperlink w:anchor="ch_4" w:history="1">
        <w:r>
          <w:rPr>
            <w:rStyle w:val="Hyperlink"/>
            <w:iCs/>
            <w:i/>
          </w:rPr>
          <w:t xml:space="preserve">Chapter 4</w:t>
        </w:r>
      </w:hyperlink>
      <w:r>
        <w:t xml:space="preserve"> </w:t>
      </w:r>
      <w:r>
        <w:t xml:space="preserve">develops the TRF Model, covering its sets, decomposition, constraints, the two verifiability semantics, the infeasibility and feasibility propositions, and the anchoring proposition. It then specifies the Crypto-Erasure by Invalidation mechanism derived from it, including the key hierarchy, the invalidation registry and the tamper-evident log, analyses its residue, compares it against six rival designs with the location proposition, and traces it requirement by requirement to the regulation, the Joint Action’s specification for Secure Processing Environments, and the Norwegian NCPeH and NORTRE infrastructure (</w:t>
      </w:r>
      <w:hyperlink w:anchor="tbl_4_1" w:history="1">
        <w:r>
          <w:rPr>
            <w:rStyle w:val="Hyperlink"/>
          </w:rPr>
          <w:t xml:space="preserve">Table 4.1</w:t>
        </w:r>
      </w:hyperlink>
      <w:r>
        <w:t xml:space="preserve">).</w:t>
      </w:r>
    </w:p>
    <w:p>
      <w:pPr>
        <w:pStyle w:val="BodyText"/>
      </w:pPr>
      <w:hyperlink w:anchor="ch_5" w:history="1">
        <w:r>
          <w:rPr>
            <w:rStyle w:val="Hyperlink"/>
            <w:iCs/>
            <w:i/>
          </w:rPr>
          <w:t xml:space="preserve">Chapter 5</w:t>
        </w:r>
      </w:hyperlink>
      <w:r>
        <w:t xml:space="preserve"> </w:t>
      </w:r>
      <w:r>
        <w:t xml:space="preserve">presents the sandbox demonstration: the executable feasibility check, the separately written exhaustive cross-check, a bounded SMT check of Propositions 1–3, the audit-log integrity and tamper tests, and the optional run with real envelope encryption.</w:t>
      </w:r>
      <w:r>
        <w:t xml:space="preserve"> </w:t>
      </w:r>
      <w:hyperlink w:anchor="ch_6" w:history="1">
        <w:r>
          <w:rPr>
            <w:rStyle w:val="Hyperlink"/>
            <w:iCs/>
            <w:i/>
          </w:rPr>
          <w:t xml:space="preserve">Chapter 6</w:t>
        </w:r>
      </w:hyperlink>
      <w:r>
        <w:t xml:space="preserve"> </w:t>
      </w:r>
      <w:r>
        <w:t xml:space="preserve">discusses findings and their implications for practice, theory, and policy, engages the principal counter-positions, and tests the model on a statute outside health.</w:t>
      </w:r>
      <w:r>
        <w:t xml:space="preserve"> </w:t>
      </w:r>
      <w:hyperlink w:anchor="ch_7" w:history="1">
        <w:r>
          <w:rPr>
            <w:rStyle w:val="Hyperlink"/>
            <w:iCs/>
            <w:i/>
          </w:rPr>
          <w:t xml:space="preserve">Chapter 7</w:t>
        </w:r>
      </w:hyperlink>
      <w:r>
        <w:t xml:space="preserve"> </w:t>
      </w:r>
      <w:r>
        <w:t xml:space="preserve">concludes, summarises contributions, revisits limitations, and outlines future work.</w:t>
      </w:r>
    </w:p>
    <w:bookmarkEnd w:id="31"/>
    <w:bookmarkEnd w:id="32"/>
    <w:bookmarkStart w:id="50" w:name="X61356a8dd943f7272c3310c94cfa9c8ca767dda"/>
    <w:p>
      <w:pPr>
        <w:pStyle w:val="Heading1"/>
      </w:pPr>
      <w:bookmarkStart w:id="1023" w:name="ch_2"/>
      <w:r>
        <w:t xml:space="preserve">Chapter 2. Literature Review and Theoretical Foundation</w:t>
      </w:r>
      <w:bookmarkEnd w:id="1023"/>
    </w:p>
    <w:bookmarkStart w:id="40" w:name="review-protocol"/>
    <w:p>
      <w:pPr>
        <w:pStyle w:val="Heading2"/>
      </w:pPr>
      <w:bookmarkStart w:id="1024" w:name="sec_2_1"/>
      <w:r>
        <w:t xml:space="preserve">2.1 Review Protocol</w:t>
      </w:r>
      <w:bookmarkEnd w:id="1024"/>
    </w:p>
    <w:bookmarkStart w:id="33"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w:t>
      </w:r>
      <w:hyperlink w:anchor="sec_2_1" w:history="1">
        <w:r>
          <w:rPr>
            <w:rStyle w:val="Hyperlink"/>
          </w:rPr>
          <w:t xml:space="preserve">Section 2.1</w:t>
        </w:r>
      </w:hyperlink>
      <w:r>
        <w:t xml:space="preserve">.6 provides that protocol and states plainly that it was not the instrument used here.</w:t>
      </w:r>
    </w:p>
    <w:bookmarkEnd w:id="33"/>
    <w:bookmarkStart w:id="34"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4"/>
    <w:bookmarkStart w:id="35"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35"/>
    <w:bookmarkStart w:id="36" w:name="search-rounds"/>
    <w:p>
      <w:pPr>
        <w:pStyle w:val="Heading3"/>
      </w:pPr>
      <w:r>
        <w:t xml:space="preserve">2.1.4 Search rounds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Round</w:t>
            </w:r>
          </w:p>
        </w:tc>
        <w:tc>
          <w:tcPr>
            <w:tcBorders>
              <w:bottom w:val="single" w:sz="8" w:space="0" w:color="333333"/>
            </w:tcBorders>
            <w:shd w:val="clear" w:color="auto" w:fill="E8EDF4"/>
          </w:tcPr>
          <w:p>
            <w:pPr>
              <w:pStyle w:val="Compact"/>
              <w:jc w:val="left"/>
            </w:pPr>
            <w:r>
              <w:rPr>
                <w:b/>
                <w:sz w:val="20"/>
                <w:szCs w:val="20"/>
              </w:rPr>
              <w:t xml:space="preserve">Date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Distinct queries</w:t>
            </w:r>
          </w:p>
        </w:tc>
      </w:tr>
      <w:tr>
        <w:trPr>
          <w:cantSplit/>
        </w:trPr>
        <w:tc>
          <w:tcPr/>
          <w:p>
            <w:pPr>
              <w:pStyle w:val="Compact"/>
              <w:jc w:val="left"/>
            </w:pPr>
            <w:r>
              <w:rPr>
                <w:sz w:val="20"/>
                <w:szCs w:val="20"/>
              </w:rPr>
              <w:t xml:space="preserve">0</w:t>
            </w:r>
          </w:p>
        </w:tc>
        <w:tc>
          <w:tcPr/>
          <w:p>
            <w:pPr>
              <w:pStyle w:val="Compact"/>
              <w:jc w:val="left"/>
            </w:pPr>
            <w:r>
              <w:rPr>
                <w:sz w:val="20"/>
                <w:szCs w:val="20"/>
              </w:rPr>
              <w:t xml:space="preserve">before 24 May 2026</w:t>
            </w:r>
          </w:p>
        </w:tc>
        <w:tc>
          <w:tcPr/>
          <w:p>
            <w:pPr>
              <w:pStyle w:val="Compact"/>
              <w:jc w:val="left"/>
            </w:pPr>
            <w:r>
              <w:rPr>
                <w:sz w:val="20"/>
                <w:szCs w:val="20"/>
              </w:rPr>
              <w:t xml:space="preserve">Exploratory reading and drafting, documented at artifact level only</w:t>
            </w:r>
          </w:p>
        </w:tc>
        <w:tc>
          <w:tcPr/>
          <w:p>
            <w:pPr>
              <w:pStyle w:val="Compact"/>
              <w:jc w:val="left"/>
            </w:pPr>
            <w:r>
              <w:rPr>
                <w:sz w:val="20"/>
                <w:szCs w:val="20"/>
              </w:rPr>
              <w:t xml:space="preserve">not recoverable</w:t>
            </w:r>
          </w:p>
        </w:tc>
      </w:tr>
      <w:tr>
        <w:trPr>
          <w:cantSplit/>
        </w:trPr>
        <w:tc>
          <w:tcPr/>
          <w:p>
            <w:pPr>
              <w:pStyle w:val="Compact"/>
              <w:jc w:val="left"/>
            </w:pPr>
            <w:r>
              <w:rPr>
                <w:sz w:val="20"/>
                <w:szCs w:val="20"/>
              </w:rPr>
              <w:t xml:space="preserve">1</w:t>
            </w:r>
          </w:p>
        </w:tc>
        <w:tc>
          <w:tcPr/>
          <w:p>
            <w:pPr>
              <w:pStyle w:val="Compact"/>
              <w:jc w:val="left"/>
            </w:pPr>
            <w:r>
              <w:rPr>
                <w:sz w:val="20"/>
                <w:szCs w:val="20"/>
              </w:rPr>
              <w:t xml:space="preserve">25 May 2026</w:t>
            </w:r>
          </w:p>
        </w:tc>
        <w:tc>
          <w:tcPr/>
          <w:p>
            <w:pPr>
              <w:pStyle w:val="Compact"/>
              <w:jc w:val="left"/>
            </w:pPr>
            <w:r>
              <w:rPr>
                <w:sz w:val="20"/>
                <w:szCs w:val="20"/>
              </w:rPr>
              <w:t xml:space="preserve">Landscape, infrastructure, regulatory baseline</w:t>
            </w:r>
          </w:p>
        </w:tc>
        <w:tc>
          <w:tcPr/>
          <w:p>
            <w:pPr>
              <w:pStyle w:val="Compact"/>
              <w:jc w:val="left"/>
            </w:pPr>
            <w:r>
              <w:rPr>
                <w:sz w:val="20"/>
                <w:szCs w:val="20"/>
              </w:rPr>
              <w:t xml:space="preserve">16</w:t>
            </w:r>
          </w:p>
        </w:tc>
      </w:tr>
      <w:tr>
        <w:trPr>
          <w:cantSplit/>
        </w:trPr>
        <w:tc>
          <w:tcPr/>
          <w:p>
            <w:pPr>
              <w:pStyle w:val="Compact"/>
              <w:jc w:val="left"/>
            </w:pPr>
            <w:r>
              <w:rPr>
                <w:sz w:val="20"/>
                <w:szCs w:val="20"/>
              </w:rPr>
              <w:t xml:space="preserve">2</w:t>
            </w:r>
          </w:p>
        </w:tc>
        <w:tc>
          <w:tcPr/>
          <w:p>
            <w:pPr>
              <w:pStyle w:val="Compact"/>
              <w:jc w:val="left"/>
            </w:pPr>
            <w:r>
              <w:rPr>
                <w:sz w:val="20"/>
                <w:szCs w:val="20"/>
              </w:rPr>
              <w:t xml:space="preserve">29 May 2026</w:t>
            </w:r>
          </w:p>
        </w:tc>
        <w:tc>
          <w:tcPr/>
          <w:p>
            <w:pPr>
              <w:pStyle w:val="Compact"/>
              <w:jc w:val="left"/>
            </w:pPr>
            <w:r>
              <w:rPr>
                <w:sz w:val="20"/>
                <w:szCs w:val="20"/>
              </w:rPr>
              <w:t xml:space="preserve">Verification and correction of the initial draft’s claims</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3</w:t>
            </w:r>
          </w:p>
        </w:tc>
        <w:tc>
          <w:tcPr/>
          <w:p>
            <w:pPr>
              <w:pStyle w:val="Compact"/>
              <w:jc w:val="left"/>
            </w:pPr>
            <w:r>
              <w:rPr>
                <w:sz w:val="20"/>
                <w:szCs w:val="20"/>
              </w:rPr>
              <w:t xml:space="preserve">15 September 2026</w:t>
            </w:r>
          </w:p>
        </w:tc>
        <w:tc>
          <w:tcPr/>
          <w:p>
            <w:pPr>
              <w:pStyle w:val="Compact"/>
              <w:jc w:val="left"/>
            </w:pPr>
            <w:r>
              <w:rPr>
                <w:sz w:val="20"/>
                <w:szCs w:val="20"/>
              </w:rPr>
              <w:t xml:space="preserve">Resumption; novelty audit and currency check</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4</w:t>
            </w:r>
          </w:p>
        </w:tc>
        <w:tc>
          <w:tcPr/>
          <w:p>
            <w:pPr>
              <w:pStyle w:val="Compact"/>
              <w:jc w:val="left"/>
            </w:pPr>
            <w:r>
              <w:rPr>
                <w:sz w:val="20"/>
                <w:szCs w:val="20"/>
              </w:rPr>
              <w:t xml:space="preserve">16 September 2026</w:t>
            </w:r>
          </w:p>
        </w:tc>
        <w:tc>
          <w:tcPr/>
          <w:p>
            <w:pPr>
              <w:pStyle w:val="Compact"/>
              <w:jc w:val="left"/>
            </w:pPr>
            <w:r>
              <w:rPr>
                <w:sz w:val="20"/>
                <w:szCs w:val="20"/>
              </w:rPr>
              <w:t xml:space="preserve">Adversarial novelty testing, prior art, final currency</w:t>
            </w:r>
          </w:p>
        </w:tc>
        <w:tc>
          <w:tcPr/>
          <w:p>
            <w:pPr>
              <w:pStyle w:val="Compact"/>
              <w:jc w:val="left"/>
            </w:pPr>
            <w:r>
              <w:rPr>
                <w:sz w:val="20"/>
                <w:szCs w:val="20"/>
              </w:rPr>
              <w:t xml:space="preserve">23</w:t>
            </w:r>
          </w:p>
        </w:tc>
      </w:tr>
      <w:tr>
        <w:trPr>
          <w:cantSplit/>
        </w:trPr>
        <w:tc>
          <w:tcPr/>
          <w:p>
            <w:pPr>
              <w:pStyle w:val="Compact"/>
              <w:jc w:val="left"/>
            </w:pPr>
            <w:r>
              <w:rPr>
                <w:sz w:val="20"/>
                <w:szCs w:val="20"/>
              </w:rPr>
              <w:t xml:space="preserve">5</w:t>
            </w:r>
          </w:p>
        </w:tc>
        <w:tc>
          <w:tcPr/>
          <w:p>
            <w:pPr>
              <w:pStyle w:val="Compact"/>
              <w:jc w:val="left"/>
            </w:pPr>
            <w:r>
              <w:rPr>
                <w:sz w:val="20"/>
                <w:szCs w:val="20"/>
              </w:rPr>
              <w:t xml:space="preserve">28 September 2026</w:t>
            </w:r>
          </w:p>
        </w:tc>
        <w:tc>
          <w:tcPr/>
          <w:p>
            <w:pPr>
              <w:pStyle w:val="Compact"/>
              <w:jc w:val="left"/>
            </w:pPr>
            <w:r>
              <w:rPr>
                <w:sz w:val="20"/>
                <w:szCs w:val="20"/>
              </w:rPr>
              <w:t xml:space="preserve">Locator verification and source-standing audit; no discovery queries</w:t>
            </w:r>
          </w:p>
        </w:tc>
        <w:tc>
          <w:tcPr/>
          <w:p>
            <w:pPr>
              <w:pStyle w:val="Compact"/>
              <w:jc w:val="left"/>
            </w:pPr>
            <w:r>
              <w:rPr>
                <w:sz w:val="20"/>
                <w:szCs w:val="20"/>
              </w:rPr>
              <w:t xml:space="preserve">18 locator checks</w:t>
            </w:r>
          </w:p>
        </w:tc>
      </w:tr>
      <w:tr>
        <w:trPr>
          <w:cantSplit/>
        </w:trPr>
        <w:tc>
          <w:tcPr/>
          <w:p>
            <w:pPr>
              <w:pStyle w:val="Compact"/>
            </w:pPr>
          </w:p>
        </w:tc>
        <w:tc>
          <w:tcPr/>
          <w:p>
            <w:pPr>
              <w:pStyle w:val="Compact"/>
            </w:pPr>
          </w:p>
        </w:tc>
        <w:tc>
          <w:tcPr/>
          <w:p>
            <w:pPr>
              <w:pStyle w:val="Compact"/>
              <w:jc w:val="left"/>
            </w:pPr>
            <w:r>
              <w:rPr>
                <w:bCs/>
                <w:b/>
                <w:sz w:val="20"/>
                <w:szCs w:val="20"/>
              </w:rPr>
              <w:t xml:space="preserve">Total discovery and verification queries, rounds 1–4</w:t>
            </w:r>
          </w:p>
        </w:tc>
        <w:tc>
          <w:tcPr/>
          <w:p>
            <w:pPr>
              <w:pStyle w:val="Compact"/>
              <w:jc w:val="left"/>
            </w:pPr>
            <w:r>
              <w:rPr>
                <w:bCs/>
                <w:b/>
                <w:sz w:val="20"/>
                <w:szCs w:val="20"/>
              </w:rPr>
              <w:t xml:space="preserve">59</w:t>
            </w:r>
          </w:p>
        </w:tc>
      </w:tr>
    </w:tbl>
    <w:p>
      <w:pPr>
        <w:pStyle w:val="BodyText"/>
        <w:spacing w:before="240" w:after="160" w:line="360" w:lineRule="auto"/>
      </w:pPr>
      <w:r>
        <w:t xml:space="preserve">Round 0 is the exploratory reading that preceded the documented rounds. Its queries were not recorded, and it contributes nothing to the absence claim of </w:t>
      </w:r>
      <w:hyperlink w:anchor="sec_2_9" w:history="1">
        <w:r>
          <w:rPr>
            <w:rStyle w:val="Hyperlink"/>
          </w:rPr>
          <w:t xml:space="preserve">Section 2.9</w:t>
        </w:r>
      </w:hyperlink>
      <w:r>
        <w:t xml:space="preserve">, which rests on the four documented search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carried forward from the exploratory phase. Round 4 sought work that would defeat the thesis’s novelty claim rather than support it, which is how the closest prior art, a database retention-and-purging research programme and its associated patent, was located and disclosed.</w:t>
      </w:r>
    </w:p>
    <w:bookmarkEnd w:id="36"/>
    <w:bookmarkStart w:id="37"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37"/>
    <w:bookmarkStart w:id="38"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w:t>
            </w:r>
          </w:p>
        </w:tc>
        <w:tc>
          <w:tcPr>
            <w:tcBorders>
              <w:bottom w:val="single" w:sz="8" w:space="0" w:color="333333"/>
            </w:tcBorders>
            <w:shd w:val="clear" w:color="auto" w:fill="E8EDF4"/>
          </w:tcPr>
          <w:p>
            <w:pPr>
              <w:pStyle w:val="Compact"/>
              <w:jc w:val="left"/>
            </w:pPr>
            <w:r>
              <w:rPr>
                <w:b/>
                <w:sz w:val="20"/>
                <w:szCs w:val="20"/>
              </w:rPr>
              <w:t xml:space="preserve">String</w:t>
            </w:r>
          </w:p>
        </w:tc>
      </w:tr>
      <w:tr>
        <w:trPr>
          <w:cantSplit/>
        </w:trPr>
        <w:tc>
          <w:tcPr/>
          <w:p>
            <w:pPr>
              <w:pStyle w:val="Compact"/>
              <w:jc w:val="left"/>
            </w:pPr>
            <w:r>
              <w:rPr>
                <w:sz w:val="20"/>
                <w:szCs w:val="20"/>
              </w:rPr>
              <w:t xml:space="preserve">B1</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TITLE-ABS-KEY(("crypto-shredding" OR "cryptographic erasure" OR "crypto erasure" OR "secure deletion" OR "data sanitization") AND ("GDPR" OR "right to erasure" OR "right to be forgotten"))</w:t>
            </w:r>
          </w:p>
        </w:tc>
      </w:tr>
      <w:tr>
        <w:trPr>
          <w:cantSplit/>
        </w:trPr>
        <w:tc>
          <w:tcPr/>
          <w:p>
            <w:pPr>
              <w:pStyle w:val="Compact"/>
              <w:jc w:val="left"/>
            </w:pPr>
            <w:r>
              <w:rPr>
                <w:sz w:val="20"/>
                <w:szCs w:val="20"/>
              </w:rPr>
              <w:t xml:space="preserve">B2</w:t>
            </w:r>
          </w:p>
        </w:tc>
        <w:tc>
          <w:tcPr/>
          <w:p>
            <w:pPr>
              <w:pStyle w:val="Compact"/>
              <w:jc w:val="left"/>
            </w:pPr>
            <w:r>
              <w:rPr>
                <w:sz w:val="20"/>
                <w:szCs w:val="20"/>
              </w:rPr>
              <w:t xml:space="preserve">Scopus, IEEE Xplore</w:t>
            </w:r>
          </w:p>
        </w:tc>
        <w:tc>
          <w:tcPr/>
          <w:p>
            <w:pPr>
              <w:pStyle w:val="Compact"/>
              <w:jc w:val="left"/>
            </w:pPr>
            <w:r>
              <w:rPr>
                <w:rStyle w:val="VerbatimChar"/>
                <w:sz w:val="20"/>
                <w:szCs w:val="20"/>
              </w:rPr>
              <w:t xml:space="preserve">TITLE-ABS-KEY(("audit log" OR "audit trail" OR "access log") AND ("retention" OR "retention period") AND ("erasure" OR "deletion") AND ("conflict" OR "tension" OR "reconcil*"))</w:t>
            </w:r>
          </w:p>
        </w:tc>
      </w:tr>
      <w:tr>
        <w:trPr>
          <w:cantSplit/>
        </w:trPr>
        <w:tc>
          <w:tcPr/>
          <w:p>
            <w:pPr>
              <w:pStyle w:val="Compact"/>
              <w:jc w:val="left"/>
            </w:pPr>
            <w:r>
              <w:rPr>
                <w:sz w:val="20"/>
                <w:szCs w:val="20"/>
              </w:rPr>
              <w:t xml:space="preserve">B3</w:t>
            </w:r>
          </w:p>
        </w:tc>
        <w:tc>
          <w:tcPr/>
          <w:p>
            <w:pPr>
              <w:pStyle w:val="Compact"/>
              <w:jc w:val="left"/>
            </w:pPr>
            <w:r>
              <w:rPr>
                <w:sz w:val="20"/>
                <w:szCs w:val="20"/>
              </w:rPr>
              <w:t xml:space="preserve">Scopus, PubMed</w:t>
            </w:r>
          </w:p>
        </w:tc>
        <w:tc>
          <w:tcPr/>
          <w:p>
            <w:pPr>
              <w:pStyle w:val="Compact"/>
              <w:jc w:val="left"/>
            </w:pPr>
            <w:r>
              <w:rPr>
                <w:rStyle w:val="VerbatimChar"/>
                <w:sz w:val="20"/>
                <w:szCs w:val="20"/>
              </w:rPr>
              <w:t xml:space="preserve">TITLE-ABS-KEY(("European Health Data Space" OR "EHDS" OR "MyHealth@EU" OR "eHDSI") AND ("secure processing environment" OR "audit" OR "retention" OR "erasure"))</w:t>
            </w:r>
          </w:p>
        </w:tc>
      </w:tr>
      <w:tr>
        <w:trPr>
          <w:cantSplit/>
        </w:trPr>
        <w:tc>
          <w:tcPr/>
          <w:p>
            <w:pPr>
              <w:pStyle w:val="Compact"/>
              <w:jc w:val="left"/>
            </w:pPr>
            <w:r>
              <w:rPr>
                <w:sz w:val="20"/>
                <w:szCs w:val="20"/>
              </w:rPr>
              <w:t xml:space="preserve">B4</w:t>
            </w:r>
          </w:p>
        </w:tc>
        <w:tc>
          <w:tcPr/>
          <w:p>
            <w:pPr>
              <w:pStyle w:val="Compact"/>
              <w:jc w:val="left"/>
            </w:pPr>
            <w:r>
              <w:rPr>
                <w:sz w:val="20"/>
                <w:szCs w:val="20"/>
              </w:rPr>
              <w:t xml:space="preserve">Scopus, IEEE Xplore, ACM</w:t>
            </w:r>
          </w:p>
        </w:tc>
        <w:tc>
          <w:tcPr/>
          <w:p>
            <w:pPr>
              <w:pStyle w:val="Compact"/>
              <w:jc w:val="left"/>
            </w:pPr>
            <w:r>
              <w:rPr>
                <w:rStyle w:val="VerbatimChar"/>
                <w:sz w:val="20"/>
                <w:szCs w:val="20"/>
              </w:rPr>
              <w:t xml:space="preserve">TITLE-ABS-KEY(("formal verification" OR "satisfiability" OR "temporal logic" OR "constraint satisfaction") AND ("regulatory compliance" OR "legal compliance" OR "GDPR"))</w:t>
            </w:r>
          </w:p>
        </w:tc>
      </w:tr>
      <w:tr>
        <w:trPr>
          <w:cantSplit/>
        </w:trPr>
        <w:tc>
          <w:tcPr/>
          <w:p>
            <w:pPr>
              <w:pStyle w:val="Compact"/>
              <w:jc w:val="left"/>
            </w:pPr>
            <w:r>
              <w:rPr>
                <w:sz w:val="20"/>
                <w:szCs w:val="20"/>
              </w:rPr>
              <w:t xml:space="preserve">B5</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TITLE-ABS-KEY(("health data" OR "electronic health record") AND ("cross-border" OR "cross border") AND ("privacy" OR "data protection") AND ("Norway" OR "Nordic" OR "EEA"))</w:t>
            </w:r>
          </w:p>
        </w:tc>
      </w:tr>
      <w:tr>
        <w:trPr>
          <w:cantSplit/>
        </w:trPr>
        <w:tc>
          <w:tcPr/>
          <w:p>
            <w:pPr>
              <w:pStyle w:val="Compact"/>
              <w:jc w:val="left"/>
            </w:pPr>
            <w:r>
              <w:rPr>
                <w:sz w:val="20"/>
                <w:szCs w:val="20"/>
              </w:rPr>
              <w:t xml:space="preserve">B6</w:t>
            </w:r>
          </w:p>
        </w:tc>
        <w:tc>
          <w:tcPr/>
          <w:p>
            <w:pPr>
              <w:pStyle w:val="Compact"/>
              <w:jc w:val="left"/>
            </w:pPr>
            <w:r>
              <w:rPr>
                <w:sz w:val="20"/>
                <w:szCs w:val="20"/>
              </w:rPr>
              <w:t xml:space="preserve">IACR ePrint, arXiv</w:t>
            </w:r>
          </w:p>
        </w:tc>
        <w:tc>
          <w:tcPr/>
          <w:p>
            <w:pPr>
              <w:pStyle w:val="Compact"/>
              <w:jc w:val="left"/>
            </w:pPr>
            <w:r>
              <w:rPr>
                <w:rStyle w:val="VerbatimChar"/>
                <w:sz w:val="20"/>
                <w:szCs w:val="20"/>
              </w:rPr>
              <w:t xml:space="preserve">("certified deletion" OR "proof of secure erasure" OR "provable deletion") AND ("verifiab*" OR "attestation")</w:t>
            </w:r>
          </w:p>
        </w:tc>
      </w:tr>
    </w:tbl>
    <w:p>
      <w:pPr>
        <w:pStyle w:val="BodyText"/>
        <w:spacing w:before="240" w:after="160" w:line="360" w:lineRule="auto"/>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38"/>
    <w:bookmarkStart w:id="39" w:name="limitations-of-the-protocol"/>
    <w:p>
      <w:pPr>
        <w:pStyle w:val="Heading3"/>
      </w:pPr>
      <w:r>
        <w:t xml:space="preserve">2.1.7 Limitations of the protocol</w:t>
      </w:r>
    </w:p>
    <w:p>
      <w:pPr>
        <w:pStyle w:val="FirstParagraph"/>
      </w:pPr>
      <w:r>
        <w:t xml:space="preserve">Four limitations follow from how the review was conducted.</w:t>
      </w:r>
    </w:p>
    <w:p>
      <w:pPr>
        <w:pStyle w:val="BodyText"/>
      </w:pPr>
      <w:r>
        <w:t xml:space="preserve">The exploratory phase before round 1 is not claimed as evidence, because its queries were never recorded.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w:t>
      </w:r>
      <w:hyperlink w:anchor="sec_2_9" w:history="1">
        <w:r>
          <w:rPr>
            <w:rStyle w:val="Hyperlink"/>
          </w:rPr>
          <w:t xml:space="preserve">Section 2.9</w:t>
        </w:r>
      </w:hyperlink>
      <w:r>
        <w:t xml:space="preserve">, rests on four dated search rounds, two of them adversarial, together with an independent corroborating statement in the cryptographic literature. But an absence established by searching remains weaker evidence than a positive finding. </w:t>
      </w:r>
      <w:hyperlink w:anchor="sec_2_9" w:history="1">
        <w:r>
          <w:rPr>
            <w:rStyle w:val="Hyperlink"/>
          </w:rPr>
          <w:t xml:space="preserve">Section 2.9</w:t>
        </w:r>
      </w:hyperlink>
      <w:r>
        <w:t xml:space="preserve"> therefore states the additional reasons the gap is likely genuine, rather than resting on the searches alone.</w:t>
      </w:r>
    </w:p>
    <w:bookmarkEnd w:id="39"/>
    <w:bookmarkEnd w:id="40"/>
    <w:bookmarkStart w:id="41" w:name="X777571ee1b46e521d75cc362ca0aec8a0b0f1d5"/>
    <w:p>
      <w:pPr>
        <w:pStyle w:val="Heading2"/>
      </w:pPr>
      <w:bookmarkStart w:id="1025" w:name="sec_2_2"/>
      <w:r>
        <w:t xml:space="preserve">2.2 The Cross-Border Health Data Exchange Landscape</w:t>
      </w:r>
      <w:bookmarkEnd w:id="1025"/>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whose retention period is set by the deployment binding (</w:t>
      </w:r>
      <w:hyperlink w:anchor="sec_2_3" w:history="1">
        <w:r>
          <w:rPr>
            <w:rStyle w:val="Hyperlink"/>
          </w:rPr>
          <w:t xml:space="preserve">Section 2.3</w:t>
        </w:r>
      </w:hyperlink>
      <w:r>
        <w:t xml:space="preserve">).</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legal basis, privacy notices and data protection impact assessment were completed by 31 March 2025.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w:t>
      </w:r>
      <w:hyperlink w:anchor="sec_2_3" w:history="1">
        <w:r>
          <w:rPr>
            <w:rStyle w:val="Hyperlink"/>
          </w:rPr>
          <w:t xml:space="preserve">Section 2.3</w:t>
        </w:r>
      </w:hyperlink>
      <w:r>
        <w:t xml:space="preserve"> will demonstrate.</w:t>
      </w:r>
    </w:p>
    <w:bookmarkEnd w:id="41"/>
    <w:bookmarkStart w:id="42" w:name="X4be697201be8c63802c0d6f66dbba8224584210"/>
    <w:p>
      <w:pPr>
        <w:pStyle w:val="Heading2"/>
      </w:pPr>
      <w:bookmarkStart w:id="1026" w:name="sec_2_3"/>
      <w:r>
        <w:t xml:space="preserve">2.3 The Audit-Retention versus Right-to-Erasure Tension</w:t>
      </w:r>
      <w:bookmarkEnd w:id="1026"/>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w:t>
      </w:r>
      <w:hyperlink w:anchor="ch_4" w:history="1">
        <w:r>
          <w:rPr>
            <w:rStyle w:val="Hyperlink"/>
          </w:rPr>
          <w:t xml:space="preserve">Chapter 4</w:t>
        </w:r>
      </w:hyperlink>
      <w:r>
        <w:t xml:space="preserve">,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Electronic health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the permitted data are not to remain within it.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of Secure Processing Environments</w:t>
      </w:r>
      <w:r>
        <w:t xml:space="preserve"> </w:t>
      </w:r>
      <w:r>
        <w:t xml:space="preserve">“</w:t>
      </w:r>
      <w:r>
        <w:t xml:space="preserve">the keeping of identifiable logs of access to and activities in the secure processing environment for the period necessary to verify and audit all processing operations in that environment; logs of access shall be kept for at least one year</w:t>
      </w:r>
      <w:r>
        <w:t xml:space="preserve">”</w:t>
      </w:r>
      <w:r>
        <w:t xml:space="preserve"> </w:t>
      </w:r>
      <w:r>
        <w:t xml:space="preserve">(European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On the broad reading it reaches access logs kept at patient-record granularity, whose entries are themselves data concerning health; on a narrower reading it reaches only the permitted dataset. The reading is contestable,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The renumbering of these obligations between the 2022 proposal and the adopted text, from Articles 46 and 50 to Articles 68 and 73, may be one reason the commentary has treated them apart (</w:t>
      </w:r>
      <w:hyperlink w:anchor="ch_1" w:history="1">
        <w:r>
          <w:rPr>
            <w:rStyle w:val="Hyperlink"/>
          </w:rPr>
          <w:t xml:space="preserve">Chapter 1</w:t>
        </w:r>
      </w:hyperlink>
      <w:r>
        <w:t xml:space="preserve">, </w:t>
      </w:r>
      <w:hyperlink w:anchor="sec_1_4" w:history="1">
        <w:r>
          <w:rPr>
            <w:rStyle w:val="Hyperlink"/>
          </w:rPr>
          <w:t xml:space="preserve">Section 1.4</w:t>
        </w:r>
      </w:hyperlink>
      <w:r>
        <w:t xml:space="preserve">).</w:t>
      </w:r>
    </w:p>
    <w:p>
      <w:pPr>
        <w:pStyle w:val="BodyText"/>
      </w:pPr>
      <w:r>
        <w:t xml:space="preserve">In the cross-border pathway the conflict takes the form </w:t>
      </w:r>
      <w:hyperlink w:anchor="ch_1" w:history="1">
        <w:r>
          <w:rPr>
            <w:rStyle w:val="Hyperlink"/>
          </w:rPr>
          <w:t xml:space="preserve">Chapter 1</w:t>
        </w:r>
      </w:hyperlink>
      <w:r>
        <w:t xml:space="preserve">, </w:t>
      </w:r>
      <w:hyperlink w:anchor="sec_1_2" w:history="1">
        <w:r>
          <w:rPr>
            <w:rStyle w:val="Hyperlink"/>
          </w:rPr>
          <w:t xml:space="preserve">Section 1.2</w:t>
        </w:r>
      </w:hyperlink>
      <w:r>
        <w:t xml:space="preserve"> describes: a granted erasure request leaves an audit record pointing at data that no longer exist, and a refused one must be justified as necessary for a specific legal obligation, as the European Data Protection Board recommended in February 2026 (Matheson, 2026). Practitioner and supervisory commentary reads the erasure obligation as extending to all storage locations of the personal data, backups and logs included (see, e.g., the Norwegian legal commentary summarised in Berngaard, 2024), which is why the audit trail cannot be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the length of the floor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w:t>
      </w:r>
      <w:hyperlink w:anchor="ch_4" w:history="1">
        <w:r>
          <w:rPr>
            <w:rStyle w:val="Hyperlink"/>
          </w:rPr>
          <w:t xml:space="preserve">Chapter 4</w:t>
        </w:r>
      </w:hyperlink>
      <w:r>
        <w:t xml:space="preserve">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SecuPi (2025) criticises it as operationally costly in row-level encryption;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that critique.</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w:t>
      </w:r>
      <w:hyperlink w:anchor="ch_4" w:history="1">
        <w:r>
          <w:rPr>
            <w:rStyle w:val="Hyperlink"/>
          </w:rPr>
          <w:t xml:space="preserve">Chapter 4</w:t>
        </w:r>
      </w:hyperlink>
      <w:r>
        <w:t xml:space="preserve"> designs to this corridor explicitly, and </w:t>
      </w:r>
      <w:hyperlink w:anchor="sec_2_4" w:history="1">
        <w:r>
          <w:rPr>
            <w:rStyle w:val="Hyperlink"/>
          </w:rPr>
          <w:t xml:space="preserve">Section 2.4</w:t>
        </w:r>
      </w:hyperlink>
      <w:r>
        <w:t xml:space="preserve">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cross-border retention floor, GDPR Article 17(3)(b), and the six-month rule of Article 68(12). The mechanism must be both technically demonstrable and compatible with the operational reality of Norwegian NCPeH and Helsedataservice. The next section reviews the cryptographic literature that informs the design of such a mechanism.</w:t>
      </w:r>
    </w:p>
    <w:bookmarkEnd w:id="42"/>
    <w:bookmarkStart w:id="43" w:name="X503ef9221cec91dd90cf14136ea9b482a7dd448"/>
    <w:p>
      <w:pPr>
        <w:pStyle w:val="Heading2"/>
      </w:pPr>
      <w:bookmarkStart w:id="1027" w:name="sec_2_4"/>
      <w:r>
        <w:t xml:space="preserve">2.4 Cryptographic Approaches to Audit Compliance</w:t>
      </w:r>
      <w:bookmarkEnd w:id="1027"/>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applies zero-knowledge proofs to electronic health record access control. The closest comparator is Albalwy (2026), whose ZK-EHR framework uses a Groth16 zk-SNARK circuit to let a patient, a doctor or a researcher prove that they hold policy-compliant credentials for cross-institutional sharing without revealing identity, role or affiliation, with encrypted records held off-chain and verification on-chain. It works within a single jurisdiction; the cross-border space addressed by MyHealth@EU, with its eIDAS-based authentication chains and audit repositories spanning several national legal regimes, is distinct.</w:t>
      </w:r>
    </w:p>
    <w:p>
      <w:pPr>
        <w:pStyle w:val="BodyText"/>
      </w:pPr>
      <w:r>
        <w:t xml:space="preserve">Health-zkIDM (Bai et al., 2022) shows that decentralised identity management with zero-knowledge components runs at more than 400 transactions per second on Hyperledger Fabric; it targets identity verification rather than audit-trail erasure.</w:t>
      </w:r>
    </w:p>
    <w:p>
      <w:pPr>
        <w:pStyle w:val="BodyText"/>
      </w:pPr>
      <w:r>
        <w:t xml:space="preserve">zkFL-Health (Sharma et al., 2025) combines federated learning, trusted execution and succinct proofs generated with Halo2 or Nova, so that an aggregator proves it used exactly the committed client updates, and records the commitments on-chain as what the authors call an</w:t>
      </w:r>
      <w:r>
        <w:t xml:space="preserve"> </w:t>
      </w:r>
      <w:r>
        <w:t xml:space="preserve">“</w:t>
      </w:r>
      <w:r>
        <w:t xml:space="preserve">immutable audit trail</w:t>
      </w:r>
      <w:r>
        <w:t xml:space="preserve">”</w:t>
      </w:r>
      <w:r>
        <w:t xml:space="preserve">. It illustrates the pattern on which the mechanism of this thesis also rests: commitments in the trail, data held elsewhere.</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integrity of the audit trail itself has an older literature of its own. Schneier and Kelsey (1999) designed audit logs in which entries written before an attacker compromises the logging machine can be neither read nor altered without detection, by chaining each entry to its predecessor under evolving keys. Crosby and Wallach (2009) replaced the chain with a Merkle tree (Merkle, 1988), so that the presence of a single entry, and the consistency of an earlier version of the log with a later one, can each be checked with a proof logarithmic in the size of the log. Certificate Transparency standardised that construction for public append-only logs (Laurie, Langley, &amp; Kasper, 2013), and has operated it at the scale of the web’s certificate infrastructure (Laurie, 2014). These designs make a log immutable in the sense accountability needs. None was designed for a log that must also lose content on request, and a log that records personal data in its entries, as KONFIDO’s blockchain component did, reproduces the immutability-against-erasure tension described above.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keeps the construction and resolves the tension by deciding what an entry may contain.</w:t>
      </w:r>
    </w:p>
    <w:p>
      <w:pPr>
        <w:pStyle w:val="BodyText"/>
      </w:pPr>
      <w:r>
        <w:t xml:space="preserve">A second line of work resolves the same tension the other way, by allowing content inside an integrity-protected structure to change. Chameleon hashes are collision-resistant except for the holder of a trapdoor, who can find collisions at will (Krawczyk &amp; Rabin, 1998). Sanitizable signatures let a designated sanitizer replace marked parts of a signed message while the signature still verifies (Ateniese, Chou, de Medeiros, &amp; Tsudik, 2005), and redactable signatures let parts be removed without any key (Johnson, Molnar, Song, &amp; Wagner, 2002). Redactable blockchains link blocks with chameleon hashes so that a trapdoor holder can replace or remove a block’s content and the chain still validates, with the right to be forgotten named as a use case (Ateniese, Magri, Venturi, &amp; Andrade, 2017); later designs spread the power to rewrite across attribute-key holders (Derler, Samelin, Slamanig, &amp; Striecks, 2019) or a voting majority (Deuber, Magri, &amp; Thyagarajan, 2019), and the approaches have been surveyed with the GDPR as their main motivation (Politou, Casino, Alepis, &amp; Patsakis, 2021). Each weakens the binding: integrity comes to mean consistent with what the authorised editor allows rather than unchanged since written, and whoever holds the trapdoor, the sanitizer key, the attribute keys or the majority can rewrite history, in the trapdoor schemes invisibly to anyone without an old copy. The mechanism of this thesis takes the opposite route. Its log is never edited; erasable content is kept out of it, and destroyed by destroying keys. The trust that redaction places in an editor is placed instead in key destruction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and an old one: Boneh and Lipton (1996) proposed making files removable from backups by encrypting them and later forgetting the key.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w:t>
      </w:r>
      <w:hyperlink w:anchor="sec_2_9" w:history="1">
        <w:r>
          <w:rPr>
            <w:rStyle w:val="Hyperlink"/>
          </w:rPr>
          <w:t xml:space="preserve">Section 2.9</w:t>
        </w:r>
      </w:hyperlink>
      <w:r>
        <w:t xml:space="preserve">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w:t>
      </w:r>
      <w:hyperlink w:anchor="ch_4" w:history="1">
        <w:r>
          <w:rPr>
            <w:rStyle w:val="Hyperlink"/>
          </w:rPr>
          <w:t xml:space="preserve">Chapter 4</w:t>
        </w:r>
      </w:hyperlink>
      <w:r>
        <w:t xml:space="preserve">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w:t>
      </w:r>
      <w:hyperlink w:anchor="sec_2_3" w:history="1">
        <w:r>
          <w:rPr>
            <w:rStyle w:val="Hyperlink"/>
          </w:rPr>
          <w:t xml:space="preserve">Section 2.3</w:t>
        </w:r>
      </w:hyperlink>
      <w:r>
        <w:t xml:space="preserve">,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w:t>
      </w:r>
      <w:hyperlink w:anchor="ch_4" w:history="1">
        <w:r>
          <w:rPr>
            <w:rStyle w:val="Hyperlink"/>
          </w:rPr>
          <w:t xml:space="preserve">Chapter 4</w:t>
        </w:r>
      </w:hyperlink>
      <w:r>
        <w:t xml:space="preserve">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 tamper-evident log,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w:t>
      </w:r>
      <w:hyperlink w:anchor="sec_2_9" w:history="1">
        <w:r>
          <w:rPr>
            <w:rStyle w:val="Hyperlink"/>
          </w:rPr>
          <w:t xml:space="preserve">Section 2.9</w:t>
        </w:r>
      </w:hyperlink>
      <w:r>
        <w:t xml:space="preserve">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3"/>
    <w:bookmarkStart w:id="44" w:name="X6b186caf35254075744a51c53c2cb13b427ff25"/>
    <w:p>
      <w:pPr>
        <w:pStyle w:val="Heading2"/>
      </w:pPr>
      <w:bookmarkStart w:id="1028" w:name="sec_2_5"/>
      <w:r>
        <w:t xml:space="preserve">2.5 Formal Approaches to Regulatory-Compliance Verification</w:t>
      </w:r>
      <w:bookmarkEnd w:id="1028"/>
    </w:p>
    <w:p>
      <w:pPr>
        <w:pStyle w:val="FirstParagraph"/>
      </w:pPr>
      <w:r>
        <w:t xml:space="preserve">The thesis’s analytical method belongs to a research tradition that treats legal compliance as a formal-verification problem, and reviewing it both anchors the method and bounds the novelty claim.</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w:t>
      </w:r>
      <w:hyperlink w:anchor="ch_4" w:history="1">
        <w:r>
          <w:rPr>
            <w:rStyle w:val="Hyperlink"/>
          </w:rPr>
          <w:t xml:space="preserve">Chapter 4</w:t>
        </w:r>
      </w:hyperlink>
      <w:r>
        <w:t xml:space="preserve"> also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w:t>
      </w:r>
      <w:hyperlink w:anchor="sec_2_4" w:history="1">
        <w:r>
          <w:rPr>
            <w:rStyle w:val="Hyperlink"/>
          </w:rPr>
          <w:t xml:space="preserve">Section 2.4</w:t>
        </w:r>
      </w:hyperlink>
      <w:r>
        <w:t xml:space="preserve">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w:t>
      </w:r>
      <w:hyperlink w:anchor="ch_4" w:history="1">
        <w:r>
          <w:rPr>
            <w:rStyle w:val="Hyperlink"/>
          </w:rPr>
          <w:t xml:space="preserve">Chapter 4</w:t>
        </w:r>
      </w:hyperlink>
      <w:r>
        <w:t xml:space="preserve"> is constructed to occupy exactly this space, borrowing its method from the first strand, its erasure semantics from the second, and its modelling style from the third.</w:t>
      </w:r>
    </w:p>
    <w:bookmarkEnd w:id="44"/>
    <w:bookmarkStart w:id="45" w:name="norwegian-secondary-use-infrastructure"/>
    <w:p>
      <w:pPr>
        <w:pStyle w:val="Heading2"/>
      </w:pPr>
      <w:bookmarkStart w:id="1029" w:name="sec_2_6"/>
      <w:r>
        <w:t xml:space="preserve">2.6 Norwegian Secondary-Use Infrastructure</w:t>
      </w:r>
      <w:bookmarkEnd w:id="1029"/>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w:t>
      </w:r>
      <w:hyperlink w:anchor="sec_2_3" w:history="1">
        <w:r>
          <w:rPr>
            <w:rStyle w:val="Hyperlink"/>
          </w:rPr>
          <w:t xml:space="preserve">Section 2.3</w:t>
        </w:r>
      </w:hyperlink>
      <w:r>
        <w:t xml:space="preserve">.</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with identifiable access logs kept for at least one year (P13 and P24 in the 2024 draft;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with the NCPeH pilot of </w:t>
      </w:r>
      <w:hyperlink w:anchor="sec_2_2" w:history="1">
        <w:r>
          <w:rPr>
            <w:rStyle w:val="Hyperlink"/>
          </w:rPr>
          <w:t xml:space="preserve">Section 2.2</w:t>
        </w:r>
      </w:hyperlink>
      <w:r>
        <w:t xml:space="preserve"> in production (Helsedirektoratet, 2026), the cross-border audit records this thesis concerns are beginning to be generated in Norway, at presently small volume.</w:t>
      </w:r>
    </w:p>
    <w:p>
      <w:pPr>
        <w:pStyle w:val="BodyText"/>
      </w:pPr>
      <w:r>
        <w:t xml:space="preserve">The design consequence carried into </w:t>
      </w:r>
      <w:hyperlink w:anchor="ch_4" w:history="1">
        <w:r>
          <w:rPr>
            <w:rStyle w:val="Hyperlink"/>
          </w:rPr>
          <w:t xml:space="preserve">Chapter 4</w:t>
        </w:r>
      </w:hyperlink>
      <w:r>
        <w:t xml:space="preserve">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45"/>
    <w:bookmarkStart w:id="46" w:name="information-logistics-framing"/>
    <w:p>
      <w:pPr>
        <w:pStyle w:val="Heading2"/>
      </w:pPr>
      <w:bookmarkStart w:id="1030" w:name="sec_2_7"/>
      <w:r>
        <w:t xml:space="preserve">2.7 Information Logistics Framing</w:t>
      </w:r>
      <w:bookmarkEnd w:id="1030"/>
    </w:p>
    <w:p>
      <w:pPr>
        <w:pStyle w:val="FirstParagraph"/>
      </w:pPr>
      <w:r>
        <w:t xml:space="preserve">The thesis frames the audit-retention versus erasure problem as one of information logistics, which places it within the discipline of Sustainable Energy Logistics at HiMolde and within a literature on cross-border data movement under regulatory constraint.</w:t>
      </w:r>
    </w:p>
    <w:p>
      <w:pPr>
        <w:pStyle w:val="BodyText"/>
      </w:pPr>
      <w:r>
        <w:t xml:space="preserve">The framing rests on the discipline’s own definitions, not on analogy alone. The Council of Supply Chain Management Professionals defines logistics management as the part of supply chain management that</w:t>
      </w:r>
      <w:r>
        <w:t xml:space="preserve"> </w:t>
      </w:r>
      <w:r>
        <w:t xml:space="preserve">“</w:t>
      </w:r>
      <w:r>
        <w:t xml:space="preserve">plans, implements, and controls the efficient, effective forward and reverse flow and storage of goods, services and related information between the point of origin and the point of consumption</w:t>
      </w:r>
      <w:r>
        <w:t xml:space="preserve">”</w:t>
      </w:r>
      <w:r>
        <w:t xml:space="preserve"> </w:t>
      </w:r>
      <w:r>
        <w:t xml:space="preserve">(Council of Supply Chain Management Professionals, n.d.). An audit record is related information in exactly this sense. The thesis concerns its storage and its planned exit: the reverse end of the flow, where a record is retained, reduced or disposed of.</w:t>
      </w:r>
    </w:p>
    <w:p>
      <w:pPr>
        <w:pStyle w:val="BodyText"/>
      </w:pPr>
      <w:r>
        <w:t xml:space="preserve">Operations research supplies the closest formal relative. Perishable inventory theory studies stock that must be held to meet demand but expires after a fixed or random lifetime (Nahmias, 1982). A record under a retention floor and a deletion ceiling is perishable stock with two clocks. Proposition 3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can be read in that idiom: when the expiry period is no longer than the holding period and its clock starts at a different event from the holding clock, whether an item can be held as long as it must depends on each item’s history, not on the rule book.</w:t>
      </w:r>
    </w:p>
    <w:p>
      <w:pPr>
        <w:pStyle w:val="BodyText"/>
      </w:pPr>
      <w:r>
        <w:t xml:space="preserve">The energy sector’s own data infrastructure schedules retention in the same terms. Elhub, the Norwegian electricity data hub, keeps a customer’s personal data for a further three years and 41 days after both the supply and the grid contract end,</w:t>
      </w:r>
      <w:r>
        <w:t xml:space="preserve"> </w:t>
      </w:r>
      <w:r>
        <w:t xml:space="preserve">“</w:t>
      </w:r>
      <w:r>
        <w:t xml:space="preserve">for eventuell feilretting og mulighet for å korrigere økonomiske oppgjør</w:t>
      </w:r>
      <w:r>
        <w:t xml:space="preserve">”</w:t>
      </w:r>
      <w:r>
        <w:t xml:space="preserve"> </w:t>
      </w:r>
      <w:r>
        <w:t xml:space="preserve">[for any correction of errors and to allow financial settlements to be corrected], and keeps metering values for ten years only where the customer asks (Elhub, 2026). That is a retention period per data category, anchored to an event: the form of the floor parameter in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in a different sector. The extension the data subject controls has no counterpart in the model.</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w:t>
      </w:r>
      <w:hyperlink w:anchor="ch_4" w:history="1">
        <w:r>
          <w:rPr>
            <w:rStyle w:val="Hyperlink"/>
          </w:rPr>
          <w:t xml:space="preserve">Chapter 4</w:t>
        </w:r>
      </w:hyperlink>
      <w:r>
        <w:t xml:space="preserve">, </w:t>
      </w:r>
      <w:hyperlink w:anchor="sec_4_5" w:history="1">
        <w:r>
          <w:rPr>
            <w:rStyle w:val="Hyperlink"/>
          </w:rPr>
          <w:t xml:space="preserve">Section 4.5</w:t>
        </w:r>
      </w:hyperlink>
      <w:r>
        <w:t xml:space="preserve">). Checked against the anchoring result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analogy constrains one decision in the design.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46"/>
    <w:bookmarkStart w:id="47" w:name="comparative-analysis"/>
    <w:p>
      <w:pPr>
        <w:pStyle w:val="Heading2"/>
      </w:pPr>
      <w:bookmarkStart w:id="1031" w:name="sec_2_8"/>
      <w:r>
        <w:t xml:space="preserve">2.8 Comparative Analysis</w:t>
      </w:r>
      <w:bookmarkEnd w:id="1031"/>
    </w:p>
    <w:p>
      <w:pPr>
        <w:pStyle w:val="FirstParagraph"/>
      </w:pPr>
      <w:r>
        <w:t xml:space="preserve">The position of the proposed contribution within the existing literature is summarised in </w:t>
      </w:r>
      <w:hyperlink w:anchor="tbl_2_1" w:history="1">
        <w:r>
          <w:rPr>
            <w:rStyle w:val="Hyperlink"/>
          </w:rPr>
          <w:t xml:space="preserve">Table 2.1</w:t>
        </w:r>
      </w:hyperlink>
      <w:r>
        <w:t xml:space="preserve">,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TableCaption"/>
      </w:pPr>
      <w:bookmarkStart w:id="1001" w:name="tbl_2_1"/>
      <w:r>
        <w:rPr>
          <w:b/>
          <w:color w:val="1F3864"/>
        </w:rPr>
        <w:t xml:space="preserve">Table 2.1.</w:t>
      </w:r>
      <w:r>
        <w:t xml:space="preserve"> Comparative Analysis of Cryptographic Compliance Approaches to Health Data Audit</w:t>
      </w:r>
      <w:bookmarkEnd w:id="1001"/>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131"/>
        <w:gridCol w:w="1131"/>
        <w:gridCol w:w="1131"/>
        <w:gridCol w:w="1131"/>
        <w:gridCol w:w="1131"/>
        <w:gridCol w:w="1131"/>
        <w:gridCol w:w="1131"/>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System</w:t>
            </w:r>
          </w:p>
        </w:tc>
        <w:tc>
          <w:tcPr>
            <w:tcBorders>
              <w:bottom w:val="single" w:sz="8" w:space="0" w:color="333333"/>
            </w:tcBorders>
            <w:shd w:val="clear" w:color="auto" w:fill="E8EDF4"/>
          </w:tcPr>
          <w:p>
            <w:pPr>
              <w:pStyle w:val="Compact"/>
              <w:jc w:val="left"/>
            </w:pPr>
            <w:r>
              <w:rPr>
                <w:b/>
                <w:sz w:val="20"/>
                <w:szCs w:val="20"/>
              </w:rPr>
              <w:t xml:space="preserve">Cross-Border or Cross-Institutional</w:t>
            </w:r>
          </w:p>
        </w:tc>
        <w:tc>
          <w:tcPr>
            <w:tcBorders>
              <w:bottom w:val="single" w:sz="8" w:space="0" w:color="333333"/>
            </w:tcBorders>
            <w:shd w:val="clear" w:color="auto" w:fill="E8EDF4"/>
          </w:tcPr>
          <w:p>
            <w:pPr>
              <w:pStyle w:val="Compact"/>
              <w:jc w:val="left"/>
            </w:pPr>
            <w:r>
              <w:rPr>
                <w:b/>
                <w:sz w:val="20"/>
                <w:szCs w:val="20"/>
              </w:rPr>
              <w:t xml:space="preserve">Hardware Dependency</w:t>
            </w:r>
          </w:p>
        </w:tc>
        <w:tc>
          <w:tcPr>
            <w:tcBorders>
              <w:bottom w:val="single" w:sz="8" w:space="0" w:color="333333"/>
            </w:tcBorders>
            <w:shd w:val="clear" w:color="auto" w:fill="E8EDF4"/>
          </w:tcPr>
          <w:p>
            <w:pPr>
              <w:pStyle w:val="Compact"/>
              <w:jc w:val="left"/>
            </w:pPr>
            <w:r>
              <w:rPr>
                <w:b/>
                <w:sz w:val="20"/>
                <w:szCs w:val="20"/>
              </w:rPr>
              <w:t xml:space="preserve">Addresses GDPR Article 17 Erasure</w:t>
            </w:r>
          </w:p>
        </w:tc>
        <w:tc>
          <w:tcPr>
            <w:tcBorders>
              <w:bottom w:val="single" w:sz="8" w:space="0" w:color="333333"/>
            </w:tcBorders>
            <w:shd w:val="clear" w:color="auto" w:fill="E8EDF4"/>
          </w:tcPr>
          <w:p>
            <w:pPr>
              <w:pStyle w:val="Compact"/>
              <w:jc w:val="left"/>
            </w:pPr>
            <w:r>
              <w:rPr>
                <w:b/>
                <w:sz w:val="20"/>
                <w:szCs w:val="20"/>
              </w:rPr>
              <w:t xml:space="preserve">Primary or Secondary Use</w:t>
            </w:r>
          </w:p>
        </w:tc>
        <w:tc>
          <w:tcPr>
            <w:tcBorders>
              <w:bottom w:val="single" w:sz="8" w:space="0" w:color="333333"/>
            </w:tcBorders>
            <w:shd w:val="clear" w:color="auto" w:fill="E8EDF4"/>
          </w:tcPr>
          <w:p>
            <w:pPr>
              <w:pStyle w:val="Compact"/>
              <w:jc w:val="left"/>
            </w:pPr>
            <w:r>
              <w:rPr>
                <w:b/>
                <w:sz w:val="20"/>
                <w:szCs w:val="20"/>
              </w:rPr>
              <w:t xml:space="preserve">Norwegian Context</w:t>
            </w:r>
          </w:p>
        </w:tc>
        <w:tc>
          <w:tcPr>
            <w:tcBorders>
              <w:bottom w:val="single" w:sz="8" w:space="0" w:color="333333"/>
            </w:tcBorders>
            <w:shd w:val="clear" w:color="auto" w:fill="E8EDF4"/>
          </w:tcPr>
          <w:p>
            <w:pPr>
              <w:pStyle w:val="Compact"/>
              <w:jc w:val="left"/>
            </w:pPr>
            <w:r>
              <w:rPr>
                <w:b/>
                <w:sz w:val="20"/>
                <w:szCs w:val="20"/>
              </w:rPr>
              <w:t xml:space="preserve">Formal Model of the Retention–Erasure Conflict</w:t>
            </w:r>
          </w:p>
        </w:tc>
      </w:tr>
      <w:tr>
        <w:trPr>
          <w:cantSplit/>
        </w:trPr>
        <w:tc>
          <w:tcPr/>
          <w:p>
            <w:pPr>
              <w:pStyle w:val="Compact"/>
              <w:jc w:val="left"/>
            </w:pPr>
            <w:r>
              <w:rPr>
                <w:iCs/>
                <w:i/>
                <w:bCs/>
                <w:b/>
                <w:sz w:val="20"/>
                <w:szCs w:val="20"/>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KONFIDO (Natsiavas et al., 2021; Diamantopoulos et al., 2019)</w:t>
            </w:r>
          </w:p>
        </w:tc>
        <w:tc>
          <w:tcPr/>
          <w:p>
            <w:pPr>
              <w:pStyle w:val="Compact"/>
              <w:jc w:val="left"/>
            </w:pPr>
            <w:r>
              <w:rPr>
                <w:sz w:val="20"/>
                <w:szCs w:val="20"/>
              </w:rPr>
              <w:t xml:space="preserve">Cross-border (OpenNCP)</w:t>
            </w:r>
          </w:p>
        </w:tc>
        <w:tc>
          <w:tcPr/>
          <w:p>
            <w:pPr>
              <w:pStyle w:val="Compact"/>
              <w:jc w:val="left"/>
            </w:pPr>
            <w:r>
              <w:rPr>
                <w:sz w:val="20"/>
                <w:szCs w:val="20"/>
              </w:rPr>
              <w:t xml:space="preserve">Yes — Intel SGX</w:t>
            </w:r>
          </w:p>
        </w:tc>
        <w:tc>
          <w:tcPr/>
          <w:p>
            <w:pPr>
              <w:pStyle w:val="Compact"/>
              <w:jc w:val="left"/>
            </w:pPr>
            <w:r>
              <w:rPr>
                <w:sz w:val="20"/>
                <w:szCs w:val="20"/>
              </w:rPr>
              <w:t xml:space="preserve">No — treats immutability as feature</w:t>
            </w:r>
          </w:p>
        </w:tc>
        <w:tc>
          <w:tcPr/>
          <w:p>
            <w:pPr>
              <w:pStyle w:val="Compact"/>
              <w:jc w:val="left"/>
            </w:pPr>
            <w:r>
              <w:rPr>
                <w:sz w:val="20"/>
                <w:szCs w:val="20"/>
              </w:rPr>
              <w:t xml:space="preserve">Primary use</w:t>
            </w:r>
          </w:p>
        </w:tc>
        <w:tc>
          <w:tcPr/>
          <w:p>
            <w:pPr>
              <w:pStyle w:val="Compact"/>
              <w:jc w:val="left"/>
            </w:pPr>
            <w:r>
              <w:rPr>
                <w:sz w:val="20"/>
                <w:szCs w:val="20"/>
              </w:rPr>
              <w:t xml:space="preserve">EU pilot; not Norway-specific</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ZK-EHR (Albalwy, 2026)</w:t>
            </w:r>
          </w:p>
        </w:tc>
        <w:tc>
          <w:tcPr/>
          <w:p>
            <w:pPr>
              <w:pStyle w:val="Compact"/>
              <w:jc w:val="left"/>
            </w:pPr>
            <w:r>
              <w:rPr>
                <w:sz w:val="20"/>
                <w:szCs w:val="20"/>
              </w:rPr>
              <w:t xml:space="preserve">Cross-institutional</w:t>
            </w:r>
          </w:p>
        </w:tc>
        <w:tc>
          <w:tcPr/>
          <w:p>
            <w:pPr>
              <w:pStyle w:val="Compact"/>
              <w:jc w:val="left"/>
            </w:pPr>
            <w:r>
              <w:rPr>
                <w:sz w:val="20"/>
                <w:szCs w:val="20"/>
              </w:rPr>
              <w:t xml:space="preserve">No — software only</w:t>
            </w:r>
          </w:p>
        </w:tc>
        <w:tc>
          <w:tcPr/>
          <w:p>
            <w:pPr>
              <w:pStyle w:val="Compact"/>
              <w:jc w:val="left"/>
            </w:pPr>
            <w:r>
              <w:rPr>
                <w:sz w:val="20"/>
                <w:szCs w:val="20"/>
              </w:rPr>
              <w:t xml:space="preserve">Partial — revocation, not the retention conflict</w:t>
            </w:r>
          </w:p>
        </w:tc>
        <w:tc>
          <w:tcPr/>
          <w:p>
            <w:pPr>
              <w:pStyle w:val="Compact"/>
              <w:jc w:val="left"/>
            </w:pPr>
            <w:r>
              <w:rPr>
                <w:sz w:val="20"/>
                <w:szCs w:val="20"/>
              </w:rPr>
              <w:t xml:space="preserve">Primary use (clinical)</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Health-zkIDM (Bai et al., 2022)</w:t>
            </w:r>
          </w:p>
        </w:tc>
        <w:tc>
          <w:tcPr/>
          <w:p>
            <w:pPr>
              <w:pStyle w:val="Compact"/>
              <w:jc w:val="left"/>
            </w:pPr>
            <w:r>
              <w:rPr>
                <w:sz w:val="20"/>
                <w:szCs w:val="20"/>
              </w:rPr>
              <w:t xml:space="preserve">Identity (institutional)</w:t>
            </w:r>
          </w:p>
        </w:tc>
        <w:tc>
          <w:tcPr/>
          <w:p>
            <w:pPr>
              <w:pStyle w:val="Compact"/>
              <w:jc w:val="left"/>
            </w:pPr>
            <w:r>
              <w:rPr>
                <w:sz w:val="20"/>
                <w:szCs w:val="20"/>
              </w:rPr>
              <w:t xml:space="preserve">No</w:t>
            </w:r>
          </w:p>
        </w:tc>
        <w:tc>
          <w:tcPr/>
          <w:p>
            <w:pPr>
              <w:pStyle w:val="Compact"/>
              <w:jc w:val="left"/>
            </w:pPr>
            <w:r>
              <w:rPr>
                <w:sz w:val="20"/>
                <w:szCs w:val="20"/>
              </w:rPr>
              <w:t xml:space="preserve">No</w:t>
            </w:r>
          </w:p>
        </w:tc>
        <w:tc>
          <w:tcPr/>
          <w:p>
            <w:pPr>
              <w:pStyle w:val="Compact"/>
              <w:jc w:val="left"/>
            </w:pPr>
            <w:r>
              <w:rPr>
                <w:sz w:val="20"/>
                <w:szCs w:val="20"/>
              </w:rPr>
              <w:t xml:space="preserve">Primary use (identity)</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NewbornTime (Brunner et al., 2025)</w:t>
            </w:r>
          </w:p>
        </w:tc>
        <w:tc>
          <w:tcPr/>
          <w:p>
            <w:pPr>
              <w:pStyle w:val="Compact"/>
              <w:jc w:val="left"/>
            </w:pPr>
            <w:r>
              <w:rPr>
                <w:sz w:val="20"/>
                <w:szCs w:val="20"/>
              </w:rPr>
              <w:t xml:space="preserve">Single-institution (Stavanger)</w:t>
            </w:r>
          </w:p>
        </w:tc>
        <w:tc>
          <w:tcPr/>
          <w:p>
            <w:pPr>
              <w:pStyle w:val="Compact"/>
              <w:jc w:val="left"/>
            </w:pPr>
            <w:r>
              <w:rPr>
                <w:sz w:val="20"/>
                <w:szCs w:val="20"/>
              </w:rPr>
              <w:t xml:space="preserve">No</w:t>
            </w:r>
          </w:p>
        </w:tc>
        <w:tc>
          <w:tcPr/>
          <w:p>
            <w:pPr>
              <w:pStyle w:val="Compact"/>
              <w:jc w:val="left"/>
            </w:pPr>
            <w:r>
              <w:rPr>
                <w:sz w:val="20"/>
                <w:szCs w:val="20"/>
              </w:rPr>
              <w:t xml:space="preserve">Yes — consent withdrawal</w:t>
            </w:r>
          </w:p>
        </w:tc>
        <w:tc>
          <w:tcPr/>
          <w:p>
            <w:pPr>
              <w:pStyle w:val="Compact"/>
              <w:jc w:val="left"/>
            </w:pPr>
            <w:r>
              <w:rPr>
                <w:sz w:val="20"/>
                <w:szCs w:val="20"/>
              </w:rPr>
              <w:t xml:space="preserve">Primary use (clinical research)</w:t>
            </w:r>
          </w:p>
        </w:tc>
        <w:tc>
          <w:tcPr/>
          <w:p>
            <w:pPr>
              <w:pStyle w:val="Compact"/>
              <w:jc w:val="left"/>
            </w:pPr>
            <w:r>
              <w:rPr>
                <w:sz w:val="20"/>
                <w:szCs w:val="20"/>
              </w:rPr>
              <w:t xml:space="preserve">Yes — Norwegian deployment</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SPUHiN D5.2 criteria (SPUHiN, 2025)</w:t>
            </w:r>
          </w:p>
        </w:tc>
        <w:tc>
          <w:tcPr/>
          <w:p>
            <w:pPr>
              <w:pStyle w:val="Compact"/>
              <w:jc w:val="left"/>
            </w:pPr>
            <w:r>
              <w:rPr>
                <w:sz w:val="20"/>
                <w:szCs w:val="20"/>
              </w:rPr>
              <w:t xml:space="preserve">National policy framework</w:t>
            </w:r>
          </w:p>
        </w:tc>
        <w:tc>
          <w:tcPr/>
          <w:p>
            <w:pPr>
              <w:pStyle w:val="Compact"/>
              <w:jc w:val="left"/>
            </w:pPr>
            <w:r>
              <w:rPr>
                <w:sz w:val="20"/>
                <w:szCs w:val="20"/>
              </w:rPr>
              <w:t xml:space="preserve">n/a — specification</w:t>
            </w:r>
          </w:p>
        </w:tc>
        <w:tc>
          <w:tcPr/>
          <w:p>
            <w:pPr>
              <w:pStyle w:val="Compact"/>
              <w:jc w:val="left"/>
            </w:pPr>
            <w:r>
              <w:rPr>
                <w:sz w:val="20"/>
                <w:szCs w:val="20"/>
              </w:rPr>
              <w:t xml:space="preserve">No — not addressed at any grade</w:t>
            </w:r>
          </w:p>
        </w:tc>
        <w:tc>
          <w:tcPr/>
          <w:p>
            <w:pPr>
              <w:pStyle w:val="Compact"/>
              <w:jc w:val="left"/>
            </w:pPr>
            <w:r>
              <w:rPr>
                <w:sz w:val="20"/>
                <w:szCs w:val="20"/>
              </w:rPr>
              <w:t xml:space="preserve">Secondary use (SPE)</w:t>
            </w:r>
          </w:p>
        </w:tc>
        <w:tc>
          <w:tcPr/>
          <w:p>
            <w:pPr>
              <w:pStyle w:val="Compact"/>
              <w:jc w:val="left"/>
            </w:pPr>
            <w:r>
              <w:rPr>
                <w:sz w:val="20"/>
                <w:szCs w:val="20"/>
              </w:rPr>
              <w:t xml:space="preserve">Yes — Norwegian policy, hearing version</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zkFL-Health (Sharma et al., 2025)</w:t>
            </w:r>
          </w:p>
        </w:tc>
        <w:tc>
          <w:tcPr/>
          <w:p>
            <w:pPr>
              <w:pStyle w:val="Compact"/>
              <w:jc w:val="left"/>
            </w:pPr>
            <w:r>
              <w:rPr>
                <w:sz w:val="20"/>
                <w:szCs w:val="20"/>
              </w:rPr>
              <w:t xml:space="preserve">Cross-institutional federated</w:t>
            </w:r>
          </w:p>
        </w:tc>
        <w:tc>
          <w:tcPr/>
          <w:p>
            <w:pPr>
              <w:pStyle w:val="Compact"/>
              <w:jc w:val="left"/>
            </w:pPr>
            <w:r>
              <w:rPr>
                <w:sz w:val="20"/>
                <w:szCs w:val="20"/>
              </w:rPr>
              <w:t xml:space="preserve">Yes — TEE aggregator</w:t>
            </w:r>
          </w:p>
        </w:tc>
        <w:tc>
          <w:tcPr/>
          <w:p>
            <w:pPr>
              <w:pStyle w:val="Compact"/>
              <w:jc w:val="left"/>
            </w:pPr>
            <w:r>
              <w:rPr>
                <w:sz w:val="20"/>
                <w:szCs w:val="20"/>
              </w:rPr>
              <w:t xml:space="preserve">No</w:t>
            </w:r>
          </w:p>
        </w:tc>
        <w:tc>
          <w:tcPr/>
          <w:p>
            <w:pPr>
              <w:pStyle w:val="Compact"/>
              <w:jc w:val="left"/>
            </w:pPr>
            <w:r>
              <w:rPr>
                <w:sz w:val="20"/>
                <w:szCs w:val="20"/>
              </w:rPr>
              <w:t xml:space="preserve">Secondary use (AI training)</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Ledger crypto-erasure SoK (Aikebaier, 2026)</w:t>
            </w:r>
          </w:p>
        </w:tc>
        <w:tc>
          <w:tcPr/>
          <w:p>
            <w:pPr>
              <w:pStyle w:val="Compact"/>
              <w:jc w:val="left"/>
            </w:pPr>
            <w:r>
              <w:rPr>
                <w:sz w:val="20"/>
                <w:szCs w:val="20"/>
              </w:rPr>
              <w:t xml:space="preserve">Storage-technology scope (public ledgers)</w:t>
            </w:r>
          </w:p>
        </w:tc>
        <w:tc>
          <w:tcPr/>
          <w:p>
            <w:pPr>
              <w:pStyle w:val="Compact"/>
              <w:jc w:val="left"/>
            </w:pPr>
            <w:r>
              <w:rPr>
                <w:sz w:val="20"/>
                <w:szCs w:val="20"/>
              </w:rPr>
              <w:t xml:space="preserve">No</w:t>
            </w:r>
          </w:p>
        </w:tc>
        <w:tc>
          <w:tcPr/>
          <w:p>
            <w:pPr>
              <w:pStyle w:val="Compact"/>
              <w:jc w:val="left"/>
            </w:pPr>
            <w:r>
              <w:rPr>
                <w:sz w:val="20"/>
                <w:szCs w:val="20"/>
              </w:rPr>
              <w:t xml:space="preserve">Yes — formalises erasure side only</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Partial — formalises erasure, excludes retention law by stated scope</w:t>
            </w:r>
          </w:p>
        </w:tc>
      </w:tr>
      <w:tr>
        <w:trPr>
          <w:cantSplit/>
        </w:trPr>
        <w:tc>
          <w:tcPr/>
          <w:p>
            <w:pPr>
              <w:pStyle w:val="Compact"/>
              <w:jc w:val="left"/>
            </w:pPr>
            <w:r>
              <w:rPr>
                <w:sz w:val="20"/>
                <w:szCs w:val="20"/>
              </w:rPr>
              <w:t xml:space="preserve">Practitioner crypto-shredding pattern (VeritasChain, 2026)</w:t>
            </w:r>
          </w:p>
        </w:tc>
        <w:tc>
          <w:tcPr/>
          <w:p>
            <w:pPr>
              <w:pStyle w:val="Compact"/>
              <w:jc w:val="left"/>
            </w:pPr>
            <w:r>
              <w:rPr>
                <w:sz w:val="20"/>
                <w:szCs w:val="20"/>
              </w:rPr>
              <w:t xml:space="preserve">Sector pattern (finance)</w:t>
            </w:r>
          </w:p>
        </w:tc>
        <w:tc>
          <w:tcPr/>
          <w:p>
            <w:pPr>
              <w:pStyle w:val="Compact"/>
              <w:jc w:val="left"/>
            </w:pPr>
            <w:r>
              <w:rPr>
                <w:sz w:val="20"/>
                <w:szCs w:val="20"/>
              </w:rPr>
              <w:t xml:space="preserve">No</w:t>
            </w:r>
          </w:p>
        </w:tc>
        <w:tc>
          <w:tcPr/>
          <w:p>
            <w:pPr>
              <w:pStyle w:val="Compact"/>
              <w:jc w:val="left"/>
            </w:pPr>
            <w:r>
              <w:rPr>
                <w:sz w:val="20"/>
                <w:szCs w:val="20"/>
              </w:rPr>
              <w:t xml:space="preserve">Yes — asserted, bi-lateral</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No — asserted reconciliation, no model, no verifiability semantics</w:t>
            </w:r>
          </w:p>
        </w:tc>
      </w:tr>
      <w:tr>
        <w:trPr>
          <w:cantSplit/>
        </w:trPr>
        <w:tc>
          <w:tcPr/>
          <w:p>
            <w:pPr>
              <w:pStyle w:val="Compact"/>
              <w:jc w:val="left"/>
            </w:pPr>
            <w:r>
              <w:rPr>
                <w:bCs/>
                <w:b/>
                <w:sz w:val="20"/>
                <w:szCs w:val="20"/>
              </w:rPr>
              <w:t xml:space="preserve">This thesis (TRF Model + Crypto-Erasure by Invalidation)</w:t>
            </w:r>
          </w:p>
        </w:tc>
        <w:tc>
          <w:tcPr/>
          <w:p>
            <w:pPr>
              <w:pStyle w:val="Compact"/>
              <w:jc w:val="left"/>
            </w:pPr>
            <w:r>
              <w:rPr>
                <w:bCs/>
                <w:b/>
                <w:sz w:val="20"/>
                <w:szCs w:val="20"/>
              </w:rPr>
              <w:t xml:space="preserve">Cross-border</w:t>
            </w:r>
          </w:p>
        </w:tc>
        <w:tc>
          <w:tcPr/>
          <w:p>
            <w:pPr>
              <w:pStyle w:val="Compact"/>
              <w:jc w:val="left"/>
            </w:pPr>
            <w:r>
              <w:rPr>
                <w:bCs/>
                <w:b/>
                <w:sz w:val="20"/>
                <w:szCs w:val="20"/>
              </w:rPr>
              <w:t xml:space="preserve">No — software only</w:t>
            </w:r>
          </w:p>
        </w:tc>
        <w:tc>
          <w:tcPr/>
          <w:p>
            <w:pPr>
              <w:pStyle w:val="Compact"/>
              <w:jc w:val="left"/>
            </w:pPr>
            <w:r>
              <w:rPr>
                <w:bCs/>
                <w:b/>
                <w:sz w:val="20"/>
                <w:szCs w:val="20"/>
              </w:rPr>
              <w:t xml:space="preserve">Yes — derived from the model, within the EDPB 02/2025 corridor</w:t>
            </w:r>
          </w:p>
        </w:tc>
        <w:tc>
          <w:tcPr/>
          <w:p>
            <w:pPr>
              <w:pStyle w:val="Compact"/>
              <w:jc w:val="left"/>
            </w:pPr>
            <w:r>
              <w:rPr>
                <w:bCs/>
                <w:b/>
                <w:sz w:val="20"/>
                <w:szCs w:val="20"/>
              </w:rPr>
              <w:t xml:space="preserve">Both, at the audit-trail boundary</w:t>
            </w:r>
          </w:p>
        </w:tc>
        <w:tc>
          <w:tcPr/>
          <w:p>
            <w:pPr>
              <w:pStyle w:val="Compact"/>
              <w:jc w:val="left"/>
            </w:pPr>
            <w:r>
              <w:rPr>
                <w:bCs/>
                <w:b/>
                <w:sz w:val="20"/>
                <w:szCs w:val="20"/>
              </w:rPr>
              <w:t xml:space="preserve">Yes — designed against the documented Norwegian substrate</w:t>
            </w:r>
          </w:p>
        </w:tc>
        <w:tc>
          <w:tcPr/>
          <w:p>
            <w:pPr>
              <w:pStyle w:val="Compact"/>
              <w:jc w:val="left"/>
            </w:pPr>
            <w:r>
              <w:rPr>
                <w:bCs/>
                <w:b/>
                <w:sz w:val="20"/>
                <w:szCs w:val="20"/>
              </w:rPr>
              <w:t xml:space="preserve">Yes — tri-lateral feasibility model with infeasibility and feasibility results</w:t>
            </w:r>
          </w:p>
        </w:tc>
      </w:tr>
    </w:tbl>
    <w:p>
      <w:pPr>
        <w:pStyle w:val="BodyText"/>
        <w:spacing w:before="240" w:after="160" w:line="360" w:lineRule="auto"/>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w:t>
      </w:r>
      <w:hyperlink w:anchor="sec_2_4" w:history="1">
        <w:r>
          <w:rPr>
            <w:rStyle w:val="Hyperlink"/>
          </w:rPr>
          <w:t xml:space="preserve">Section 2.4</w:t>
        </w:r>
      </w:hyperlink>
      <w:r>
        <w:t xml:space="preserve">), nor the general formal method, which is established (</w:t>
      </w:r>
      <w:hyperlink w:anchor="sec_2_5" w:history="1">
        <w:r>
          <w:rPr>
            <w:rStyle w:val="Hyperlink"/>
          </w:rPr>
          <w:t xml:space="preserve">Section 2.5</w:t>
        </w:r>
      </w:hyperlink>
      <w:r>
        <w:t xml:space="preserve">),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47"/>
    <w:bookmarkStart w:id="48" w:name="identified-research-gaps"/>
    <w:p>
      <w:pPr>
        <w:pStyle w:val="Heading2"/>
      </w:pPr>
      <w:bookmarkStart w:id="1032" w:name="sec_2_9"/>
      <w:r>
        <w:t xml:space="preserve">2.9 Identified Research Gaps</w:t>
      </w:r>
      <w:bookmarkEnd w:id="1032"/>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gap holds also for the conflict’s conditional extension. 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w:t>
      </w:r>
      <w:r>
        <w:t xml:space="preserve"> </w:t>
      </w:r>
      <w:r>
        <w:t xml:space="preserve">“</w:t>
      </w:r>
      <w:r>
        <w:t xml:space="preserve">while ensuring compliance with applicable legal obligations and traceability or reproducibility requirements where relevant</w:t>
      </w:r>
      <w:r>
        <w:t xml:space="preserve">”</w:t>
      </w:r>
      <w:r>
        <w:t xml:space="preserve"> </w:t>
      </w:r>
      <w:r>
        <w:t xml:space="preserve">and leaves</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w:t>
      </w:r>
      <w:r>
        <w:t xml:space="preserve">(TEHDAS2, 2026, Table 5.2, OPR-6, p. 43). Its expert commentary goes further: log keeping</w:t>
      </w:r>
      <w:r>
        <w:t xml:space="preserve"> </w:t>
      </w:r>
      <w:r>
        <w:t xml:space="preserve">“</w:t>
      </w:r>
      <w:r>
        <w:t xml:space="preserve">raises open questions about how accountability and anonymisation obligations intersect</w:t>
      </w:r>
      <w:r>
        <w:t xml:space="preserve">”</w:t>
      </w:r>
      <w:r>
        <w:t xml:space="preserve">, and</w:t>
      </w:r>
      <w:r>
        <w:t xml:space="preserve"> </w:t>
      </w:r>
      <w:r>
        <w:t xml:space="preserve">“</w:t>
      </w:r>
      <w:r>
        <w:t xml:space="preserve">further guidance will be needed on retention of project-level collaborative metadata</w:t>
      </w:r>
      <w:r>
        <w:t xml:space="preserve">”</w:t>
      </w:r>
      <w:r>
        <w:t xml:space="preserve"> </w:t>
      </w:r>
      <w:r>
        <w:t xml:space="preserve">(Annex 7, p. 96).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work is a single-author preprint with industry affiliation and no peer review, and carries correspondingly less weight. What it establishes is that an author surveying this literature in 2026 regarded the problem as open, which is corroborating rather than dispositive. The gap claim rests primarily on the four documented search rounds of </w:t>
      </w:r>
      <w:hyperlink w:anchor="sec_2_1" w:history="1">
        <w:r>
          <w:rPr>
            <w:rStyle w:val="Hyperlink"/>
          </w:rPr>
          <w:t xml:space="preserve">Section 2.1</w:t>
        </w:r>
      </w:hyperlink>
      <w:r>
        <w:t xml:space="preserve">.4 and on the absence of any treatment in the regulatory and Joint Action guidance reviewed in </w:t>
      </w:r>
      <w:hyperlink w:anchor="sec_2_3" w:history="1">
        <w:r>
          <w:rPr>
            <w:rStyle w:val="Hyperlink"/>
          </w:rPr>
          <w:t xml:space="preserve">Sections 2.3</w:t>
        </w:r>
      </w:hyperlink>
      <w:r>
        <w:t xml:space="preserve">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w:t>
      </w:r>
      <w:hyperlink w:anchor="ch_4" w:history="1">
        <w:r>
          <w:rPr>
            <w:rStyle w:val="Hyperlink"/>
          </w:rPr>
          <w:t xml:space="preserve">Chapter 4</w:t>
        </w:r>
      </w:hyperlink>
      <w:r>
        <w:t xml:space="preserve"> discharges.</w:t>
      </w:r>
    </w:p>
    <w:p>
      <w:pPr>
        <w:pStyle w:val="BodyText"/>
      </w:pPr>
      <w:r>
        <w:t xml:space="preserve">These four gaps converge on the research question stated in </w:t>
      </w:r>
      <w:hyperlink w:anchor="ch_1" w:history="1">
        <w:r>
          <w:rPr>
            <w:rStyle w:val="Hyperlink"/>
          </w:rPr>
          <w:t xml:space="preserve">Chapter 1</w:t>
        </w:r>
      </w:hyperlink>
      <w:r>
        <w:t xml:space="preserve"> and are addressed, respectively, by the formal model, the mechanism specification, the boundary-placement design decision, and the residue analysis of </w:t>
      </w:r>
      <w:hyperlink w:anchor="ch_4" w:history="1">
        <w:r>
          <w:rPr>
            <w:rStyle w:val="Hyperlink"/>
          </w:rPr>
          <w:t xml:space="preserve">Chapter 4</w:t>
        </w:r>
      </w:hyperlink>
      <w:r>
        <w:t xml:space="preserve">, with the demonstration of </w:t>
      </w:r>
      <w:hyperlink w:anchor="ch_5" w:history="1">
        <w:r>
          <w:rPr>
            <w:rStyle w:val="Hyperlink"/>
          </w:rPr>
          <w:t xml:space="preserve">Chapter 5</w:t>
        </w:r>
      </w:hyperlink>
      <w:r>
        <w:t xml:space="preserve"> witnessing the first two executably.</w:t>
      </w:r>
    </w:p>
    <w:bookmarkEnd w:id="48"/>
    <w:bookmarkStart w:id="49" w:name="conceptual-positioning-of-the-thesis"/>
    <w:p>
      <w:pPr>
        <w:pStyle w:val="Heading2"/>
      </w:pPr>
      <w:bookmarkStart w:id="1033" w:name="sec_2_10"/>
      <w:r>
        <w:t xml:space="preserve">2.10 Conceptual Positioning of the Thesis</w:t>
      </w:r>
      <w:bookmarkEnd w:id="1033"/>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w:t>
      </w:r>
      <w:hyperlink w:anchor="sec_2_8" w:history="1">
        <w:r>
          <w:rPr>
            <w:rStyle w:val="Hyperlink"/>
          </w:rPr>
          <w:t xml:space="preserve">Section 2.8</w:t>
        </w:r>
      </w:hyperlink>
      <w:r>
        <w:t xml:space="preserve"> supports that claim entry by entry. The remaining chapters elaborate this claim through the methodology of </w:t>
      </w:r>
      <w:hyperlink w:anchor="ch_3" w:history="1">
        <w:r>
          <w:rPr>
            <w:rStyle w:val="Hyperlink"/>
          </w:rPr>
          <w:t xml:space="preserve">Chapter 3</w:t>
        </w:r>
      </w:hyperlink>
      <w:r>
        <w:t xml:space="preserve">, the model and specification of </w:t>
      </w:r>
      <w:hyperlink w:anchor="ch_4" w:history="1">
        <w:r>
          <w:rPr>
            <w:rStyle w:val="Hyperlink"/>
          </w:rPr>
          <w:t xml:space="preserve">Chapter 4</w:t>
        </w:r>
      </w:hyperlink>
      <w:r>
        <w:t xml:space="preserve">, and the executable demonstration of Chapter 5. The counter-positions identified in this review are engaged substantively in </w:t>
      </w:r>
      <w:hyperlink w:anchor="ch_6" w:history="1">
        <w:r>
          <w:rPr>
            <w:rStyle w:val="Hyperlink"/>
          </w:rPr>
          <w:t xml:space="preserve">Chapter 6</w:t>
        </w:r>
      </w:hyperlink>
      <w:r>
        <w:t xml:space="preserve">: the unprovability of key destruction, the personal-data status of surviving residues, and the operational-complexity critique of crypto-shredding.</w:t>
      </w:r>
    </w:p>
    <w:bookmarkEnd w:id="49"/>
    <w:bookmarkEnd w:id="50"/>
    <w:bookmarkStart w:id="60" w:name="Xc642577019a76bd27fe42ea49bac447856470a9"/>
    <w:p>
      <w:pPr>
        <w:pStyle w:val="Heading1"/>
      </w:pPr>
      <w:bookmarkStart w:id="1034" w:name="ch_3"/>
      <w:r>
        <w:t xml:space="preserve">Chapter 3. Methodology and Research Design</w:t>
      </w:r>
      <w:bookmarkEnd w:id="1034"/>
    </w:p>
    <w:bookmarkStart w:id="51" w:name="research-paradigm"/>
    <w:p>
      <w:pPr>
        <w:pStyle w:val="Heading2"/>
      </w:pPr>
      <w:bookmarkStart w:id="1035" w:name="sec_3_1"/>
      <w:r>
        <w:t xml:space="preserve">3.1 Research Paradigm</w:t>
      </w:r>
      <w:bookmarkEnd w:id="1035"/>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w:t>
      </w:r>
      <w:hyperlink w:anchor="ch_2" w:history="1">
        <w:r>
          <w:rPr>
            <w:rStyle w:val="Hyperlink"/>
          </w:rPr>
          <w:t xml:space="preserve">Chapter 2</w:t>
        </w:r>
      </w:hyperlink>
      <w:r>
        <w:t xml:space="preserve">: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w:t>
      </w:r>
      <w:hyperlink w:anchor="ch_2" w:history="1">
        <w:r>
          <w:rPr>
            <w:rStyle w:val="Hyperlink"/>
          </w:rPr>
          <w:t xml:space="preserve">Chapter 2</w:t>
        </w:r>
      </w:hyperlink>
      <w:r>
        <w:t xml:space="preserve">,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w:t>
      </w:r>
      <w:hyperlink w:anchor="sec_3_3" w:history="1">
        <w:r>
          <w:rPr>
            <w:rStyle w:val="Hyperlink"/>
          </w:rPr>
          <w:t xml:space="preserve">Section 3.3</w:t>
        </w:r>
      </w:hyperlink>
      <w:r>
        <w:t xml:space="preserve">, permits the model and the artefact to be produced together, with the model supplying the rigour and the artefact supplying the relevance.</w:t>
      </w:r>
    </w:p>
    <w:bookmarkEnd w:id="51"/>
    <w:bookmarkStart w:id="52" w:name="the-design-science-cycle-adopted"/>
    <w:p>
      <w:pPr>
        <w:pStyle w:val="Heading2"/>
      </w:pPr>
      <w:bookmarkStart w:id="1036" w:name="sec_3_2"/>
      <w:r>
        <w:t xml:space="preserve">3.2 The Design Science Cycle Adopted</w:t>
      </w:r>
      <w:bookmarkEnd w:id="1036"/>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plaintext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w:t>
      </w:r>
      <w:hyperlink w:anchor="ch_4" w:history="1">
        <w:r>
          <w:rPr>
            <w:rStyle w:val="Hyperlink"/>
          </w:rPr>
          <w:t xml:space="preserve">Chapter 4</w:t>
        </w:r>
      </w:hyperlink>
      <w:r>
        <w:t xml:space="preserve"> showed that machinery to be unnecessary for the audit-trail problem. That correction is itself an instance of the design cycle operating as intended.</w:t>
      </w:r>
    </w:p>
    <w:bookmarkEnd w:id="52"/>
    <w:bookmarkStart w:id="53" w:name="X19f4312b49998825ef2288fd27080c33ccc84e7"/>
    <w:p>
      <w:pPr>
        <w:pStyle w:val="Heading2"/>
      </w:pPr>
      <w:bookmarkStart w:id="1037" w:name="sec_3_3"/>
      <w:r>
        <w:t xml:space="preserve">3.3 The Specification-and-Demonstration Variant, Extended with Formal Modelling</w:t>
      </w:r>
      <w:bookmarkEnd w:id="1037"/>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w:t>
      </w:r>
      <w:hyperlink w:anchor="ch_2" w:history="1">
        <w:r>
          <w:rPr>
            <w:rStyle w:val="Hyperlink"/>
          </w:rPr>
          <w:t xml:space="preserve">Chapter 2</w:t>
        </w:r>
      </w:hyperlink>
      <w:r>
        <w:t xml:space="preserve">, </w:t>
      </w:r>
      <w:hyperlink w:anchor="sec_2_5" w:history="1">
        <w:r>
          <w:rPr>
            <w:rStyle w:val="Hyperlink"/>
          </w:rPr>
          <w:t xml:space="preserve">Section 2.5</w:t>
        </w:r>
      </w:hyperlink>
      <w:r>
        <w:t xml:space="preserve">,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w:t>
      </w:r>
      <w:hyperlink w:anchor="sec_3_7" w:history="1">
        <w:r>
          <w:rPr>
            <w:rStyle w:val="Hyperlink"/>
          </w:rPr>
          <w:t xml:space="preserve">Section 3.7</w:t>
        </w:r>
      </w:hyperlink>
      <w:r>
        <w:t xml:space="preserve"> and revisited in Chapter 6.</w:t>
      </w:r>
    </w:p>
    <w:bookmarkEnd w:id="53"/>
    <w:bookmarkStart w:id="54" w:name="formal-modelling-methodology"/>
    <w:p>
      <w:pPr>
        <w:pStyle w:val="Heading2"/>
      </w:pPr>
      <w:bookmarkStart w:id="1038" w:name="sec_3_4"/>
      <w:r>
        <w:t xml:space="preserve">3.4 Formal-Modelling Methodology</w:t>
      </w:r>
      <w:bookmarkEnd w:id="1038"/>
    </w:p>
    <w:p>
      <w:pPr>
        <w:pStyle w:val="FirstParagraph"/>
      </w:pPr>
      <w:r>
        <w:t xml:space="preserve">This section states how the TRF Model is constructed. The model itself, with its full notation, propositions, and proofs, is developed in </w:t>
      </w:r>
      <w:hyperlink w:anchor="ch_4" w:history="1">
        <w:r>
          <w:rPr>
            <w:rStyle w:val="Hyperlink"/>
          </w:rPr>
          <w:t xml:space="preserve">Chapter 4</w:t>
        </w:r>
      </w:hyperlink>
      <w:r>
        <w:t xml:space="preserve">;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Within the metadata, the accessor’s fields are separated from the link to the patient, because the two are reached by different obligations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The payload comprises what the record carries about what was accessed: the demographic query of a cross-border record, the logged activity of a Secure Processing Environment record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reported for cross-border audit repositories under the eHDSI deployment baseline, used as an illustrative value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instruments leave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what an audit log that keeps its payload readable assumes.</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w:t>
      </w:r>
      <w:hyperlink w:anchor="sec_3_7" w:history="1">
        <w:r>
          <w:rPr>
            <w:rStyle w:val="Hyperlink"/>
          </w:rPr>
          <w:t xml:space="preserve">Section 3.7</w:t>
        </w:r>
      </w:hyperlink>
      <w:r>
        <w:t xml:space="preserve">).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Two further results are obtained by the same method from the constraints rather than from the semantics: Proposition 3 states the exact condition under which a ceiling and a floor collide, and Proposition 4 states what relocating a record does to the ceiling and to the right. All four are argued informally at the level of rigour standard for design-science work rather than machine-checked; </w:t>
      </w:r>
      <w:hyperlink w:anchor="sec_3_7" w:history="1">
        <w:r>
          <w:rPr>
            <w:rStyle w:val="Hyperlink"/>
          </w:rPr>
          <w:t xml:space="preserve">Section 3.7</w:t>
        </w:r>
      </w:hyperlink>
      <w:r>
        <w:t xml:space="preserve"> records what that means for the strength of the claim.</w:t>
      </w:r>
    </w:p>
    <w:p>
      <w:pPr>
        <w:pStyle w:val="BodyText"/>
      </w:pPr>
      <w:r>
        <w:rPr>
          <w:iCs/>
          <w:i/>
        </w:rPr>
        <w:t xml:space="preserve">Step 5: Executable checking.</w:t>
      </w:r>
      <w:r>
        <w:t xml:space="preserve"> </w:t>
      </w:r>
      <w:r>
        <w:t xml:space="preserve">Because the formulation is light, both results can be checked by direct execution rather than only by argument. The checker described in </w:t>
      </w:r>
      <w:hyperlink w:anchor="sec_3_6" w:history="1">
        <w:r>
          <w:rPr>
            <w:rStyle w:val="Hyperlink"/>
          </w:rPr>
          <w:t xml:space="preserve">Section 3.6</w:t>
        </w:r>
      </w:hyperlink>
      <w:r>
        <w:t xml:space="preserve">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4"/>
    <w:bookmarkStart w:id="55" w:name="synthetic-data"/>
    <w:p>
      <w:pPr>
        <w:pStyle w:val="Heading2"/>
      </w:pPr>
      <w:bookmarkStart w:id="1039" w:name="sec_3_5"/>
      <w:r>
        <w:t xml:space="preserve">3.5 Synthetic Data</w:t>
      </w:r>
      <w:bookmarkEnd w:id="1039"/>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w:t>
      </w:r>
      <w:hyperlink w:anchor="ch_4" w:history="1">
        <w:r>
          <w:rPr>
            <w:rStyle w:val="Hyperlink"/>
          </w:rPr>
          <w:t xml:space="preserve">Chapter 4</w:t>
        </w:r>
      </w:hyperlink>
      <w:r>
        <w:t xml:space="preserve">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w:t>
      </w:r>
      <w:hyperlink w:anchor="ch_5" w:history="1">
        <w:r>
          <w:rPr>
            <w:rStyle w:val="Hyperlink"/>
          </w:rPr>
          <w:t xml:space="preserve">Chapter 5</w:t>
        </w:r>
      </w:hyperlink>
      <w:r>
        <w:t xml:space="preserve">, and is restated there.</w:t>
      </w:r>
    </w:p>
    <w:bookmarkEnd w:id="55"/>
    <w:bookmarkStart w:id="56" w:name="sandbox-implementation-approach"/>
    <w:p>
      <w:pPr>
        <w:pStyle w:val="Heading2"/>
      </w:pPr>
      <w:bookmarkStart w:id="1040" w:name="sec_3_6"/>
      <w:r>
        <w:t xml:space="preserve">3.6 Sandbox Implementation Approach</w:t>
      </w:r>
      <w:bookmarkEnd w:id="1040"/>
    </w:p>
    <w:p>
      <w:pPr>
        <w:pStyle w:val="FirstParagraph"/>
      </w:pPr>
      <w:r>
        <w:t xml:space="preserve">The sandbox is implemented in Python and has two layers, separated so that the load-bearing claim rests on the smaller and more inspectable component, and one optional module that reports no thesis figure.</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w:t>
      </w:r>
      <w:hyperlink w:anchor="tbl_5_1" w:history="1">
        <w:r>
          <w:rPr>
            <w:rStyle w:val="Hyperlink"/>
          </w:rPr>
          <w:t xml:space="preserve">Table 5.1</w:t>
        </w:r>
      </w:hyperlink>
      <w:r>
        <w:t xml:space="preserve">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w:t>
      </w:r>
      <w:hyperlink w:anchor="tbl_5_1" w:history="1">
        <w:r>
          <w:rPr>
            <w:rStyle w:val="Hyperlink"/>
          </w:rPr>
          <w:t xml:space="preserve">Table 5.1</w:t>
        </w:r>
      </w:hyperlink>
      <w:r>
        <w:t xml:space="preserve">)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when salts are drawn at random (the reported run derives salts from the record identifier for reproducibility; see Appendix A, A.6), which is a design requirement rather than an implementation detail, since </w:t>
      </w:r>
      <w:hyperlink w:anchor="ch_2" w:history="1">
        <w:r>
          <w:rPr>
            <w:rStyle w:val="Hyperlink"/>
          </w:rPr>
          <w:t xml:space="preserve">Chapter 2</w:t>
        </w:r>
      </w:hyperlink>
      <w:r>
        <w:t xml:space="preserve"> established that an unsalted hash of personal data may itself remain personal data. Every access event, invalidation and subject-link removal is appended to an append-only Merkle log, so that the verifiability condition can be checked as an inclusion proof that fails if an entry is altered.</w:t>
      </w:r>
      <w:r>
        <w:t xml:space="preserve"> </w:t>
      </w:r>
      <w:r>
        <w:rPr>
          <w:iCs/>
          <w:i/>
        </w:rPr>
        <w:t xml:space="preserve">No zero-knowledge proof system is implemented at any point</w:t>
      </w:r>
      <w:r>
        <w:t xml:space="preserve">, and none is required. The mechanism’s verifiability rests on commitments, on the recorded invalidation event and on the log, not on succinct arguments. The optional module repeats the record lifecycle with real AES-256-GCM envelope encryption, to show that unreadability follows from key destruction rather than being asserted.</w:t>
      </w:r>
    </w:p>
    <w:p>
      <w:pPr>
        <w:pStyle w:val="BodyText"/>
      </w:pPr>
      <w:r>
        <w:t xml:space="preserve">The constraint system is cross-checked on small instances by a separately written exhaustive search over every assignment of the accessibility variable, as an independent confirmation that the hand-written checker implements the constraints as stated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A bounded SMT check with the Z3 solver poses each proposition as a request for a counterexample over every parameter combination within stated bounds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Both are robustness measures rather than components of the contribution.</w:t>
      </w:r>
    </w:p>
    <w:p>
      <w:pPr>
        <w:pStyle w:val="BodyText"/>
      </w:pPr>
      <w:r>
        <w:t xml:space="preserve">What the sandbox does not do bounds what </w:t>
      </w:r>
      <w:hyperlink w:anchor="ch_5" w:history="1">
        <w:r>
          <w:rPr>
            <w:rStyle w:val="Hyperlink"/>
          </w:rPr>
          <w:t xml:space="preserve">Chapter 5</w:t>
        </w:r>
      </w:hyperlink>
      <w:r>
        <w:t xml:space="preserve">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56"/>
    <w:bookmarkStart w:id="57" w:name="validity-reliability-and-limitations"/>
    <w:p>
      <w:pPr>
        <w:pStyle w:val="Heading2"/>
      </w:pPr>
      <w:bookmarkStart w:id="1041" w:name="sec_3_7"/>
      <w:r>
        <w:t xml:space="preserve">3.7 Validity, Reliability, and Limitations</w:t>
      </w:r>
      <w:bookmarkEnd w:id="1041"/>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w:t>
      </w:r>
      <w:hyperlink w:anchor="ch_4" w:history="1">
        <w:r>
          <w:rPr>
            <w:rStyle w:val="Hyperlink"/>
          </w:rPr>
          <w:t xml:space="preserve">Chapter 4</w:t>
        </w:r>
      </w:hyperlink>
      <w:r>
        <w:t xml:space="preserve"> is in fact the witness the feasibility result requires. This is assessed by argument and by the executable check of </w:t>
      </w:r>
      <w:hyperlink w:anchor="sec_3_6" w:history="1">
        <w:r>
          <w:rPr>
            <w:rStyle w:val="Hyperlink"/>
          </w:rPr>
          <w:t xml:space="preserve">Section 3.6</w:t>
        </w:r>
      </w:hyperlink>
      <w:r>
        <w:t xml:space="preserve">,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The analysis is recorded requirement by requirement in </w:t>
      </w:r>
      <w:hyperlink w:anchor="tbl_4_1" w:history="1">
        <w:r>
          <w:rPr>
            <w:rStyle w:val="Hyperlink"/>
          </w:rPr>
          <w:t xml:space="preserve">Table 4.1</w:t>
        </w:r>
      </w:hyperlink>
      <w:r>
        <w:t xml:space="preserve">, each row naming its source, what the mechanism does, and whether the artefact executes it or meets it by specification.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w:t>
      </w:r>
      <w:hyperlink w:anchor="sec_3_3" w:history="1">
        <w:r>
          <w:rPr>
            <w:rStyle w:val="Hyperlink"/>
          </w:rPr>
          <w:t xml:space="preserve">Section 3.3</w:t>
        </w:r>
      </w:hyperlink>
      <w:r>
        <w:t xml:space="preserve">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w:t>
      </w:r>
      <w:hyperlink w:anchor="ch_2" w:history="1">
        <w:r>
          <w:rPr>
            <w:rStyle w:val="Hyperlink"/>
          </w:rPr>
          <w:t xml:space="preserve">Chapter 2</w:t>
        </w:r>
      </w:hyperlink>
      <w:r>
        <w:t xml:space="preserve">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w:t>
      </w:r>
      <w:hyperlink w:anchor="ch_6" w:history="1">
        <w:r>
          <w:rPr>
            <w:rStyle w:val="Hyperlink"/>
          </w:rPr>
          <w:t xml:space="preserve">Chapter 6</w:t>
        </w:r>
      </w:hyperlink>
      <w:r>
        <w:t xml:space="preserve">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the critique and </w:t>
      </w:r>
      <w:hyperlink w:anchor="sec_6_5" w:history="1">
        <w:r>
          <w:rPr>
            <w:rStyle w:val="Hyperlink"/>
          </w:rPr>
          <w:t xml:space="preserve">Section 6.5</w:t>
        </w:r>
      </w:hyperlink>
      <w:r>
        <w:t xml:space="preserve">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where they are kept at patient-record granularity.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confronts both and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w:t>
      </w:r>
      <w:hyperlink w:anchor="ch_5" w:history="1">
        <w:r>
          <w:rPr>
            <w:rStyle w:val="Hyperlink"/>
          </w:rPr>
          <w:t xml:space="preserve">Chapter 5</w:t>
        </w:r>
      </w:hyperlink>
      <w:r>
        <w:t xml:space="preserve">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w:t>
      </w:r>
      <w:hyperlink w:anchor="ch_4" w:history="1">
        <w:r>
          <w:rPr>
            <w:rStyle w:val="Hyperlink"/>
          </w:rPr>
          <w:t xml:space="preserve">Chapter 4</w:t>
        </w:r>
      </w:hyperlink>
      <w:r>
        <w:t xml:space="preserve">, Corollary 2.3 extends the model with one variable per part of the payload for the one case where that matters, a payload part that auditing needs; a mechanism designed for field-level redaction in general would need that richer state space throughout.</w:t>
      </w:r>
    </w:p>
    <w:bookmarkEnd w:id="57"/>
    <w:bookmarkStart w:id="58" w:name="evaluation-design-for-the-next-cycle"/>
    <w:p>
      <w:pPr>
        <w:pStyle w:val="Heading2"/>
      </w:pPr>
      <w:bookmarkStart w:id="1042" w:name="sec_3_8"/>
      <w:r>
        <w:t xml:space="preserve">3.8 Evaluation Design for the Next Cycle</w:t>
      </w:r>
      <w:bookmarkEnd w:id="1042"/>
    </w:p>
    <w:p>
      <w:pPr>
        <w:pStyle w:val="FirstParagraph"/>
      </w:pPr>
      <w:r>
        <w:t xml:space="preserve">The evaluation reported in this thesis is analytical, as </w:t>
      </w:r>
      <w:hyperlink w:anchor="sec_3_7" w:history="1">
        <w:r>
          <w:rPr>
            <w:rStyle w:val="Hyperlink"/>
          </w:rPr>
          <w:t xml:space="preserve">Section 3.7</w:t>
        </w:r>
      </w:hyperlink>
      <w:r>
        <w:t xml:space="preserve">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matter here. Interview question seven asks practitioners directly whether Article 68(12) reaches the access logs an environment generates (the interpretive question on which Corollary 1.2 depends, identified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of </w:t>
      </w:r>
      <w:hyperlink w:anchor="sec_3_9" w:history="1">
        <w:r>
          <w:rPr>
            <w:rStyle w:val="Hyperlink"/>
          </w:rPr>
          <w:t xml:space="preserve">Section 3.9</w:t>
        </w:r>
      </w:hyperlink>
      <w:r>
        <w:t xml:space="preserve"> below, and of the Declaration of Originality, each of which states that this research involves no human participants. Those statements are accurate for the thesis as submitted.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carries execution of this instrument as the immediate next step in the research programme.</w:t>
      </w:r>
    </w:p>
    <w:bookmarkEnd w:id="58"/>
    <w:bookmarkStart w:id="59" w:name="ethical-considerations"/>
    <w:p>
      <w:pPr>
        <w:pStyle w:val="Heading2"/>
      </w:pPr>
      <w:bookmarkStart w:id="1043" w:name="sec_3_9"/>
      <w:r>
        <w:t xml:space="preserve">3.9 Ethical Considerations</w:t>
      </w:r>
      <w:bookmarkEnd w:id="1043"/>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are described as future work and never as achievements.</w:t>
      </w:r>
    </w:p>
    <w:p>
      <w:pPr>
        <w:pStyle w:val="BodyText"/>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bookmarkEnd w:id="59"/>
    <w:bookmarkEnd w:id="60"/>
    <w:bookmarkStart w:id="76" w:name="X2971a2bc3f1973506a5daa95b277d527922fc52"/>
    <w:p>
      <w:pPr>
        <w:pStyle w:val="Heading1"/>
      </w:pPr>
      <w:bookmarkStart w:id="1044" w:name="ch_4"/>
      <w:r>
        <w:t xml:space="preserve">Chapter 4. The Tri-Lateral Retention Feasibility Model and the Crypto-Erasure by Invalidation Mechanism</w:t>
      </w:r>
      <w:bookmarkEnd w:id="1044"/>
    </w:p>
    <w:p>
      <w:pPr>
        <w:pStyle w:val="FirstParagraph"/>
      </w:pPr>
      <w:r>
        <w:rPr>
          <w:iCs/>
          <w:i/>
        </w:rPr>
        <w:t xml:space="preserve">Proposition statements and proofs in this chapter are the author’s own. Regulatory claims are anchored to the primary instruments cited at each point.</w:t>
      </w:r>
    </w:p>
    <w:bookmarkStart w:id="61" w:name="purpose-and-structure-of-the-chapter"/>
    <w:p>
      <w:pPr>
        <w:pStyle w:val="Heading2"/>
      </w:pPr>
      <w:bookmarkStart w:id="1045" w:name="sec_4_1"/>
      <w:r>
        <w:t xml:space="preserve">4.1 Purpose and Structure of the Chapter</w:t>
      </w:r>
      <w:bookmarkEnd w:id="1045"/>
    </w:p>
    <w:p>
      <w:pPr>
        <w:pStyle w:val="FirstParagraph"/>
      </w:pPr>
      <w:r>
        <w:t xml:space="preserve">A patient asks for her data to be erased. The audit record of who looked at them must stay verifiable for years: ten, on the reported cross-border baseline; one, in a research environment, where a third rule wants health data gone six months after the permit ends. Can an audit record obey all three? This chapter answers: not if verifiable means readable; yes if it means accountable. It gets there in three steps, and each step licenses the next.</w:t>
      </w:r>
    </w:p>
    <w:p>
      <w:pPr>
        <w:pStyle w:val="BodyText"/>
      </w:pPr>
      <w:r>
        <w:t xml:space="preserve">First, it establishes what the law actually requires to be retained, as distinct from what an audit log may happen to retain. This is the necessity analysis begun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four results. Proposition 1 establishes that under plaintext-verifiability semantics the constraint system is infeasible. Proposition 2 establishes that under an alternative semantics the system is jointly satisfiable, and its proof is constructive: it exhibits the mechanism that achieves satisfaction. Proposition 3 states exactly when a deletion ceiling collides with a retention floor and what the ceiling’s anchor decides, and Proposition 4 shows why moving a record out of the regulated environment, the most direct rival design, meets the ceiling but not the right to erasure.</w:t>
      </w:r>
    </w:p>
    <w:p>
      <w:pPr>
        <w:pStyle w:val="BodyText"/>
      </w:pPr>
      <w:r>
        <w:t xml:space="preserve">Third, it specifies that mechanism, Crypto-Erasure by Invalidation, in enough detail to be implemented, analyses the residue it leaves behind against the legal threshold that residue must clear, compares it against rival designs,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w:t>
      </w:r>
      <w:hyperlink w:anchor="sec_4_2" w:history="1">
        <w:r>
          <w:rPr>
            <w:rStyle w:val="Hyperlink"/>
          </w:rPr>
          <w:t xml:space="preserve">Section 4.2</w:t>
        </w:r>
      </w:hyperlink>
      <w:r>
        <w:t xml:space="preserve"> documents that translation claim by claim rather than asserting it.</w:t>
      </w:r>
    </w:p>
    <w:bookmarkEnd w:id="61"/>
    <w:bookmarkStart w:id="62" w:name="Xffef421608dbde39858ce0190b0b9b95157db9d"/>
    <w:p>
      <w:pPr>
        <w:pStyle w:val="Heading2"/>
      </w:pPr>
      <w:bookmarkStart w:id="1046" w:name="sec_4_2"/>
      <w:r>
        <w:t xml:space="preserve">4.2 What Must Be Retained: The Necessity Analysis</w:t>
      </w:r>
      <w:bookmarkEnd w:id="1046"/>
    </w:p>
    <w:p>
      <w:pPr>
        <w:pStyle w:val="FirstParagraph"/>
      </w:pPr>
      <w:r>
        <w:t xml:space="preserve">Everything in this chapter rests on one split: the part of an audit record the law needs kept, and the part it does not. The split is not a modelling convenience. It is derived from the legal position established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the length of the floor therefore exceeds what Article 17(3)(b) protects. Article 5(1)(c) positively requires that it not be retained where the purpose can be achieved without it.</w:t>
      </w:r>
    </w:p>
    <w:p>
      <w:pPr>
        <w:pStyle w:val="BodyText"/>
      </w:pPr>
      <w:r>
        <w:rPr>
          <w:iCs/>
          <w:i/>
        </w:rPr>
        <w:t xml:space="preserve">Per record class.</w:t>
      </w:r>
      <w:r>
        <w:t xml:space="preserve"> </w:t>
      </w:r>
      <w:r>
        <w:t xml:space="preserve">The argument has to be made for each class separately, because the payload is defined by where it comes from (</w:t>
      </w:r>
      <w:hyperlink w:anchor="sec_4_3" w:history="1">
        <w:r>
          <w:rPr>
            <w:rStyle w:val="Hyperlink"/>
          </w:rPr>
          <w:t xml:space="preserve">Section 4.3</w:t>
        </w:r>
      </w:hyperlink>
      <w:r>
        <w:t xml:space="preserve">), not by whether it is needed. For a cross-border record it is specific: the accountability question is which clinician accessed which patient’s record, under which assertion and with what outcome, and the accessor fields with the patient link answer it; the patient’s name and birth date as typed into the query add nothing to that answer. For a Secure Processing Environment record it is weaker. Article 73(1)(e) asks for logs sufficient</w:t>
      </w:r>
      <w:r>
        <w:t xml:space="preserve"> </w:t>
      </w:r>
      <w:r>
        <w:t xml:space="preserve">“</w:t>
      </w:r>
      <w:r>
        <w:t xml:space="preserve">to verify and audit all processing operations in that environment</w:t>
      </w:r>
      <w:r>
        <w:t xml:space="preserve">”</w:t>
      </w:r>
      <w:r>
        <w:t xml:space="preserve">, and an auditor checking that an extraction stayed within its permit may need to know what was run. The thesis therefore does not assume that the whole activity content is unnecessary there; Corollary 2.3 states what follows if part of it is needed.</w:t>
      </w:r>
    </w:p>
    <w:p>
      <w:pPr>
        <w:pStyle w:val="BodyText"/>
      </w:pPr>
      <w:r>
        <w:rPr>
          <w:iCs/>
          <w:i/>
        </w:rPr>
        <w:t xml:space="preserve">The patient link.</w:t>
      </w:r>
      <w:r>
        <w:t xml:space="preserve"> </w:t>
      </w:r>
      <w:r>
        <w:t xml:space="preserve">The link from an access event to the person whose data were accessed is not payload: it is the other half of the accountability question. The Regulation gives natural persons the right to obtain information on any access to their personal electronic health data through the health professional access service, including</w:t>
      </w:r>
      <w:r>
        <w:t xml:space="preserve"> </w:t>
      </w:r>
      <w:r>
        <w:t xml:space="preserve">“</w:t>
      </w:r>
      <w:r>
        <w:t xml:space="preserve">information on the healthcare provider or other individuals who accessed the personal electronic health data</w:t>
      </w:r>
      <w:r>
        <w:t xml:space="preserve">”</w:t>
      </w:r>
      <w:r>
        <w:t xml:space="preserve">,</w:t>
      </w:r>
      <w:r>
        <w:t xml:space="preserve"> </w:t>
      </w:r>
      <w:r>
        <w:t xml:space="preserve">“</w:t>
      </w:r>
      <w:r>
        <w:t xml:space="preserve">the date and time of access</w:t>
      </w:r>
      <w:r>
        <w:t xml:space="preserve">”</w:t>
      </w:r>
      <w:r>
        <w:t xml:space="preserve"> </w:t>
      </w:r>
      <w:r>
        <w:t xml:space="preserve">and</w:t>
      </w:r>
      <w:r>
        <w:t xml:space="preserve"> </w:t>
      </w:r>
      <w:r>
        <w:t xml:space="preserve">“</w:t>
      </w:r>
      <w:r>
        <w:t xml:space="preserve">which personal electronic health data were accessed</w:t>
      </w:r>
      <w:r>
        <w:t xml:space="preserve">”</w:t>
      </w:r>
      <w:r>
        <w:t xml:space="preserve">, available</w:t>
      </w:r>
      <w:r>
        <w:t xml:space="preserve"> </w:t>
      </w:r>
      <w:r>
        <w:t xml:space="preserve">“</w:t>
      </w:r>
      <w:r>
        <w:t xml:space="preserve">for at least three years from each date of access to the data</w:t>
      </w:r>
      <w:r>
        <w:t xml:space="preserve">”</w:t>
      </w:r>
      <w:r>
        <w:t xml:space="preserve"> </w:t>
      </w:r>
      <w:r>
        <w:t xml:space="preserve">(Article 9(1)–(2) EHDS). That information cannot be produced from a record that no longer says whose data were accessed. For the controller that must provide it, or supply the records it is produced from, retaining the link is therefore necessary for compliance with a legal obligation within the meaning of Article 17(3)(b). An erasure request then reaches the payload but not the link, at least for the period Article 9(2) fixes and once Article 9 applies. The argument has two limits. Article 9 is framed around the health professional access service, so whether it binds the controller of a foreign National Contact Point’s audit repository, and covers every cross-border access event, depends on how the access is made and how the Member States assign the duty; where it does not, the patient-facing audit-log interface of MyHealth@EU (</w:t>
      </w:r>
      <w:hyperlink w:anchor="ch_1" w:history="1">
        <w:r>
          <w:rPr>
            <w:rStyle w:val="Hyperlink"/>
          </w:rPr>
          <w:t xml:space="preserve">Chapter 1</w:t>
        </w:r>
      </w:hyperlink>
      <w:r>
        <w:t xml:space="preserve">, </w:t>
      </w:r>
      <w:hyperlink w:anchor="sec_1_2" w:history="1">
        <w:r>
          <w:rPr>
            <w:rStyle w:val="Hyperlink"/>
          </w:rPr>
          <w:t xml:space="preserve">Section 1.2</w:t>
        </w:r>
      </w:hyperlink>
      <w:r>
        <w:t xml:space="preserve">) gives the link a purpose but not a legal obligation, and Article 17(3)(b) does not follow. And beyond the Article 9(2) period the link is kept for the rest of the floor on the strength of the deployment binding, which is illustrative here (</w:t>
      </w:r>
      <w:hyperlink w:anchor="sec_4_3" w:history="1">
        <w:r>
          <w:rPr>
            <w:rStyle w:val="Hyperlink"/>
          </w:rPr>
          <w:t xml:space="preserve">Section 4.3</w:t>
        </w:r>
      </w:hyperlink>
      <w:r>
        <w:t xml:space="preserve">); for that stretch its retention after an erasure request is exactly as contestable as the floor itself. It is removed at the terminal transition (</w:t>
      </w:r>
      <w:hyperlink w:anchor="sec_4_8" w:history="1">
        <w:r>
          <w:rPr>
            <w:rStyle w:val="Hyperlink"/>
          </w:rPr>
          <w:t xml:space="preserve">Section 4.8</w:t>
        </w:r>
      </w:hyperlink>
      <w:r>
        <w:t xml:space="preserve">). In a Secure Processing Environment Article 9 does not apply. There the link is kept after an erasure request until the ceiling only if auditing</w:t>
      </w:r>
      <w:r>
        <w:t xml:space="preserve"> </w:t>
      </w:r>
      <w:r>
        <w:t xml:space="preserve">“</w:t>
      </w:r>
      <w:r>
        <w:t xml:space="preserve">all processing operations</w:t>
      </w:r>
      <w:r>
        <w:t xml:space="preserve">”</w:t>
      </w:r>
      <w:r>
        <w:t xml:space="preserve"> </w:t>
      </w:r>
      <w:r>
        <w:t xml:space="preserve">under Article 73(1)(e) needs it, which is the question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leaves to the supervisory authority, and the ceiling may reach it in any case (</w:t>
      </w:r>
      <w:hyperlink w:anchor="sec_4_6" w:history="1">
        <w:r>
          <w:rPr>
            <w:rStyle w:val="Hyperlink"/>
          </w:rPr>
          <w:t xml:space="preserve">Section 4.6</w:t>
        </w:r>
      </w:hyperlink>
      <w:r>
        <w:t xml:space="preserve">).</w:t>
      </w:r>
    </w:p>
    <w:p>
      <w:pPr>
        <w:pStyle w:val="BodyText"/>
      </w:pPr>
      <w:r>
        <w:t xml:space="preserve">Two sources support it and one limits it.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w:t>
      </w:r>
      <w:hyperlink w:anchor="sec_4_9" w:history="1">
        <w:r>
          <w:rPr>
            <w:rStyle w:val="Hyperlink"/>
          </w:rPr>
          <w:t xml:space="preserve">Section 4.9</w:t>
        </w:r>
      </w:hyperlink>
      <w:r>
        <w:t xml:space="preserve">.</w:t>
      </w:r>
    </w:p>
    <w:bookmarkEnd w:id="62"/>
    <w:bookmarkStart w:id="63" w:name="the-model-objects-and-notation"/>
    <w:p>
      <w:pPr>
        <w:pStyle w:val="Heading2"/>
      </w:pPr>
      <w:bookmarkStart w:id="1047" w:name="sec_4_3"/>
      <w:r>
        <w:t xml:space="preserve">4.3 The Model: Objects and Notation</w:t>
      </w:r>
      <w:bookmarkEnd w:id="1047"/>
    </w:p>
    <w:p>
      <w:pPr>
        <w:pStyle w:val="FirstParagraph"/>
      </w:pPr>
      <w:r>
        <w:t xml:space="preserve">The model is deliberately small: one record, one clock, and one main question asked every month. Can the payload still be read?</w:t>
      </w:r>
    </w:p>
    <w:p>
      <w:pPr>
        <w:pStyle w:val="BodyText"/>
      </w:pPr>
      <w:r>
        <w:t xml:space="preserve">Let the time domain be discretised into months, indexed by</w:t>
      </w:r>
      <w:r>
        <w:t xml:space="preserve"> </w:t>
      </w:r>
      <m:oMath>
        <m:r>
          <m:t>t</m:t>
        </m:r>
        <m:r>
          <m:rPr>
            <m:sty m:val="p"/>
          </m:rPr>
          <m:t>∈</m:t>
        </m:r>
        <m:r>
          <m:rPr>
            <m:scr m:val="double-struck"/>
            <m:sty m:val="p"/>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sepChr m:val=""/>
              <m:endChr m:val=")"/>
              <m:grow/>
            </m:dPr>
            <m:e>
              <m:r>
                <m:t> </m:t>
              </m:r>
              <m:r>
                <m:t>m</m:t>
              </m:r>
              <m:d>
                <m:dPr>
                  <m:begChr m:val="("/>
                  <m:sepChr m:val=""/>
                  <m:endChr m:val=")"/>
                  <m:grow/>
                </m:dPr>
                <m:e>
                  <m:r>
                    <m:t>a</m:t>
                  </m:r>
                </m:e>
              </m:d>
              <m:r>
                <m:rPr>
                  <m:sty m:val="p"/>
                </m:rPr>
                <m:t>,</m:t>
              </m:r>
              <m:r>
                <m:t> </m:t>
              </m:r>
              <m:r>
                <m:t>p</m:t>
              </m:r>
              <m:d>
                <m:dPr>
                  <m:begChr m:val="("/>
                  <m:sepChr m:val=""/>
                  <m:endChr m:val=")"/>
                  <m:grow/>
                </m:dPr>
                <m:e>
                  <m:r>
                    <m:t>a</m:t>
                  </m:r>
                </m:e>
              </m:d>
              <m:r>
                <m:rPr>
                  <m:sty m:val="p"/>
                </m:rPr>
                <m:t>,</m:t>
              </m:r>
              <m:r>
                <m:t> </m:t>
              </m:r>
              <m:r>
                <m:t>c</m:t>
              </m:r>
              <m:d>
                <m:dPr>
                  <m:begChr m:val="("/>
                  <m:sepChr m:val=""/>
                  <m:endChr m:val=")"/>
                  <m:grow/>
                </m:dPr>
                <m:e>
                  <m:r>
                    <m:t>a</m:t>
                  </m:r>
                </m:e>
              </m:d>
              <m:r>
                <m:rPr>
                  <m:sty m:val="p"/>
                </m:rPr>
                <m:t>,</m:t>
              </m:r>
              <m:r>
                <m:t> </m:t>
              </m:r>
              <m:r>
                <m:t>k</m:t>
              </m:r>
              <m:d>
                <m:dPr>
                  <m:begChr m:val="("/>
                  <m:sepChr m:val=""/>
                  <m:endChr m:val=")"/>
                  <m:grow/>
                </m:dPr>
                <m:e>
                  <m:r>
                    <m:t>a</m:t>
                  </m:r>
                </m:e>
              </m:d>
              <m:r>
                <m:rPr>
                  <m:sty m:val="p"/>
                </m:rPr>
                <m:t>,</m:t>
              </m:r>
              <m:r>
                <m:t> </m:t>
              </m:r>
              <m:r>
                <m:t>t</m:t>
              </m:r>
              <m:d>
                <m:dPr>
                  <m:begChr m:val="("/>
                  <m:sepChr m:val=""/>
                  <m:endChr m:val=")"/>
                  <m:grow/>
                </m:dPr>
                <m:e>
                  <m:r>
                    <m:t>a</m:t>
                  </m:r>
                </m:e>
              </m:d>
              <m:r>
                <m:rPr>
                  <m:sty m:val="p"/>
                </m:rPr>
                <m:t>,</m:t>
              </m:r>
              <m:r>
                <m:t> </m:t>
              </m:r>
              <m:r>
                <m:t>F</m:t>
              </m:r>
              <m:d>
                <m:dPr>
                  <m:begChr m:val="("/>
                  <m:sepChr m:val=""/>
                  <m:endChr m:val=")"/>
                  <m:grow/>
                </m:dPr>
                <m:e>
                  <m:r>
                    <m:t>a</m:t>
                  </m:r>
                </m:e>
              </m:d>
              <m:r>
                <m:rPr>
                  <m:sty m:val="p"/>
                </m:rPr>
                <m:t>,</m:t>
              </m:r>
              <m:r>
                <m:t> </m:t>
              </m:r>
              <m:r>
                <m:t>σ</m:t>
              </m:r>
              <m:d>
                <m:dPr>
                  <m:begChr m:val="("/>
                  <m:sepChr m:val=""/>
                  <m:endChr m:val=")"/>
                  <m:grow/>
                </m:dPr>
                <m:e>
                  <m:r>
                    <m:t>a</m:t>
                  </m:r>
                </m:e>
              </m:d>
              <m:r>
                <m:t> </m:t>
              </m:r>
            </m:e>
          </m:d>
        </m:oMath>
      </m:oMathPara>
    </w:p>
    <w:p>
      <w:pPr>
        <w:pStyle w:val="FirstParagraph"/>
      </w:pPr>
      <w:r>
        <w:t xml:space="preserve">where:</w:t>
      </w:r>
    </w:p>
    <w:p>
      <w:pPr>
        <w:pStyle w:val="Compact"/>
        <w:numPr>
          <w:ilvl w:val="0"/>
          <w:numId w:val="1001"/>
        </w:numPr>
      </w:pPr>
      <m:oMath>
        <m:r>
          <m:t>m</m:t>
        </m:r>
        <m:d>
          <m:dPr>
            <m:begChr m:val="("/>
            <m:sepChr m:val=""/>
            <m:end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sepChr m:val=""/>
            <m:endChr m:val=")"/>
            <m:grow/>
          </m:dPr>
          <m:e>
            <m:r>
              <m:t>a</m:t>
            </m:r>
          </m:e>
        </m:d>
        <m:r>
          <m:rPr>
            <m:sty m:val="p"/>
          </m:rPr>
          <m:t>=</m:t>
        </m:r>
        <m:sSub>
          <m:e>
            <m:r>
              <m:t>m</m:t>
            </m:r>
          </m:e>
          <m:sub>
            <m:r>
              <m:t>a</m:t>
            </m:r>
            <m:r>
              <m:t>c</m:t>
            </m:r>
            <m:r>
              <m:t>c</m:t>
            </m:r>
          </m:sub>
        </m:sSub>
        <m:d>
          <m:dPr>
            <m:begChr m:val="("/>
            <m:sepChr m:val=""/>
            <m:endChr m:val=")"/>
            <m:grow/>
          </m:dPr>
          <m:e>
            <m:r>
              <m:t>a</m:t>
            </m:r>
          </m:e>
        </m:d>
        <m:r>
          <m:rPr>
            <m:sty m:val="p"/>
          </m:rPr>
          <m:t>∪</m:t>
        </m:r>
        <m:sSub>
          <m:e>
            <m:r>
              <m:t>m</m:t>
            </m:r>
          </m:e>
          <m:sub>
            <m:r>
              <m:t>s</m:t>
            </m:r>
            <m:r>
              <m:t>u</m:t>
            </m:r>
            <m:r>
              <m:t>b</m:t>
            </m:r>
            <m:r>
              <m:t>j</m:t>
            </m:r>
          </m:sub>
        </m:sSub>
        <m:d>
          <m:dPr>
            <m:begChr m:val="("/>
            <m:sepChr m:val=""/>
            <m:end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sepChr m:val=""/>
            <m:end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relate the event to a data subject: the patient pseudonym and any reference to that subject’s records. The partition does work only in the Secure Processing Environment case (</w:t>
      </w:r>
      <w:hyperlink w:anchor="sec_4_6" w:history="1">
        <w:r>
          <w:rPr>
            <w:rStyle w:val="Hyperlink"/>
          </w:rPr>
          <w:t xml:space="preserve">Section 4.6</w:t>
        </w:r>
      </w:hyperlink>
      <w:r>
        <w:t xml:space="preserve">).</w:t>
      </w:r>
    </w:p>
    <w:p>
      <w:pPr>
        <w:pStyle w:val="Compact"/>
        <w:numPr>
          <w:ilvl w:val="0"/>
          <w:numId w:val="1001"/>
        </w:numPr>
      </w:pPr>
      <m:oMath>
        <m:r>
          <m:t>p</m:t>
        </m:r>
        <m:d>
          <m:dPr>
            <m:begChr m:val="("/>
            <m:sepChr m:val=""/>
            <m:endChr m:val=")"/>
            <m:grow/>
          </m:dPr>
          <m:e>
            <m:r>
              <m:t>a</m:t>
            </m:r>
          </m:e>
        </m:d>
      </m:oMath>
      <w:r>
        <w:t xml:space="preserve"> </w:t>
      </w:r>
      <w:r>
        <w:t xml:space="preserve">is the</w:t>
      </w:r>
      <w:r>
        <w:t xml:space="preserve"> </w:t>
      </w:r>
      <w:r>
        <w:rPr>
          <w:iCs/>
          <w:i/>
        </w:rPr>
        <w:t xml:space="preserve">payload</w:t>
      </w:r>
      <w:r>
        <w:t xml:space="preserve">: the content the record carries about what was accessed, as distinct from who accessed it, when and under what authority. It is defined by its source, which depends on the record class; whether accountability needs it is argued per class in </w:t>
      </w:r>
      <w:hyperlink w:anchor="sec_4_2" w:history="1">
        <w:r>
          <w:rPr>
            <w:rStyle w:val="Hyperlink"/>
          </w:rPr>
          <w:t xml:space="preserve">Section 4.2</w:t>
        </w:r>
      </w:hyperlink>
      <w:r>
        <w:t xml:space="preserve">, and Corollary 2.3 states what follows if part of it is needed.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This is the transaction on which the patient-identification step of the MyHealth@EU flow rests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the eHDSI audit specification that profiles it was not available to this thesis, so the IHE requirement is taken as the baseline any profile starts from. For a Secure Processing Environment record it is the content of the logged activity, where the environment logs at that level: the text and parameters of the query or command run against the permitted dataset, and any output retained with the entry. The Joint Action’s specification requires these logs to cover</w:t>
      </w:r>
      <w:r>
        <w:t xml:space="preserve"> </w:t>
      </w:r>
      <w:r>
        <w:t xml:space="preserve">“</w:t>
      </w:r>
      <w:r>
        <w:t xml:space="preserve">access to electronic health data</w:t>
      </w:r>
      <w:r>
        <w:t xml:space="preserve">”</w:t>
      </w:r>
      <w:r>
        <w:t xml:space="preserve"> </w:t>
      </w:r>
      <w:r>
        <w:t xml:space="preserve">and</w:t>
      </w:r>
      <w:r>
        <w:t xml:space="preserve"> </w:t>
      </w:r>
      <w:r>
        <w:t xml:space="preserve">“</w:t>
      </w:r>
      <w:r>
        <w:t xml:space="preserve">data import, export, or release of outputs</w:t>
      </w:r>
      <w:r>
        <w:t xml:space="preserve">”</w:t>
      </w:r>
      <w:r>
        <w:t xml:space="preserve"> </w:t>
      </w:r>
      <w:r>
        <w:t xml:space="preserve">and fixes no fields (TEHDAS2, 2026, Table 5.4, OPR-17, p. 51); what an environment records under those headings beyond the accessor fields is</w:t>
      </w:r>
      <w:r>
        <w:t xml:space="preserve"> </w:t>
      </w:r>
      <m:oMath>
        <m:r>
          <m:t>p</m:t>
        </m:r>
        <m:d>
          <m:dPr>
            <m:begChr m:val="("/>
            <m:sepChr m:val=""/>
            <m:endChr m:val=")"/>
            <m:grow/>
          </m:dPr>
          <m:e>
            <m:r>
              <m:t>a</m:t>
            </m:r>
          </m:e>
        </m:d>
      </m:oMath>
      <w:r>
        <w:t xml:space="preserve">, and whether auditing</w:t>
      </w:r>
      <w:r>
        <w:t xml:space="preserve"> </w:t>
      </w:r>
      <w:r>
        <w:t xml:space="preserve">“</w:t>
      </w:r>
      <w:r>
        <w:t xml:space="preserve">all processing operations</w:t>
      </w:r>
      <w:r>
        <w:t xml:space="preserve">”</w:t>
      </w:r>
      <w:r>
        <w:t xml:space="preserve"> </w:t>
      </w:r>
      <w:r>
        <w:t xml:space="preserve">needs part of it is the question Corollary 2.3 answers conditionally. The model does not require</w:t>
      </w:r>
      <w:r>
        <w:t xml:space="preserve"> </w:t>
      </w:r>
      <m:oMath>
        <m:r>
          <m:t>p</m:t>
        </m:r>
        <m:d>
          <m:dPr>
            <m:begChr m:val="("/>
            <m:sepChr m:val=""/>
            <m:endChr m:val=")"/>
            <m:grow/>
          </m:dPr>
          <m:e>
            <m:r>
              <m:t>a</m:t>
            </m:r>
          </m:e>
        </m:d>
      </m:oMath>
      <w:r>
        <w:t xml:space="preserve"> </w:t>
      </w:r>
      <w:r>
        <w:t xml:space="preserve">to be a clinical document.</w:t>
      </w:r>
    </w:p>
    <w:p>
      <w:pPr>
        <w:pStyle w:val="Compact"/>
        <w:numPr>
          <w:ilvl w:val="0"/>
          <w:numId w:val="1001"/>
        </w:numPr>
      </w:pPr>
      <m:oMath>
        <m:r>
          <m:t>c</m:t>
        </m:r>
        <m:d>
          <m:dPr>
            <m:begChr m:val="("/>
            <m:sepChr m:val=""/>
            <m:end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sepChr m:val=""/>
            <m:endChr m:val=")"/>
            <m:grow/>
          </m:dPr>
          <m:e>
            <m:r>
              <m:t>a</m:t>
            </m:r>
          </m:e>
        </m:d>
      </m:oMath>
      <w:r>
        <w:t xml:space="preserve"> </w:t>
      </w:r>
      <w:r>
        <w:t xml:space="preserve">=</w:t>
      </w:r>
      <w:r>
        <w:t xml:space="preserve"> </w:t>
      </w:r>
      <m:oMath>
        <m:r>
          <m:rPr>
            <m:sty m:val="p"/>
          </m:rPr>
          <m:t>C</m:t>
        </m:r>
        <m:r>
          <m:rPr>
            <m:sty m:val="p"/>
          </m:rPr>
          <m:t>o</m:t>
        </m:r>
        <m:r>
          <m:rPr>
            <m:sty m:val="p"/>
          </m:rPr>
          <m:t>m</m:t>
        </m:r>
        <m:r>
          <m:rPr>
            <m:sty m:val="p"/>
          </m:rPr>
          <m:t>m</m:t>
        </m:r>
        <m:r>
          <m:rPr>
            <m:sty m:val="p"/>
          </m:rPr>
          <m:t>i</m:t>
        </m:r>
        <m:r>
          <m:rPr>
            <m:sty m:val="p"/>
          </m:rPr>
          <m:t>t</m:t>
        </m:r>
        <m:d>
          <m:dPr>
            <m:begChr m:val="("/>
            <m:sepChr m:val=""/>
            <m:endChr m:val=")"/>
            <m:grow/>
          </m:dPr>
          <m:e>
            <m:r>
              <m:t>p</m:t>
            </m:r>
            <m:d>
              <m:dPr>
                <m:begChr m:val="("/>
                <m:sepChr m:val=""/>
                <m:endChr m:val=")"/>
                <m:grow/>
              </m:dPr>
              <m:e>
                <m:r>
                  <m:t>a</m:t>
                </m:r>
              </m:e>
            </m:d>
            <m:r>
              <m:rPr>
                <m:sty m:val="p"/>
              </m:rPr>
              <m:t>,</m:t>
            </m:r>
            <m:r>
              <m:t>r</m:t>
            </m:r>
            <m:d>
              <m:dPr>
                <m:begChr m:val="("/>
                <m:sepChr m:val=""/>
                <m:endChr m:val=")"/>
                <m:grow/>
              </m:dPr>
              <m:e>
                <m:r>
                  <m:t>a</m:t>
                </m:r>
              </m:e>
            </m:d>
          </m:e>
        </m:d>
      </m:oMath>
      <w:r>
        <w:t xml:space="preserve">, where</w:t>
      </w:r>
      <w:r>
        <w:t xml:space="preserve"> </w:t>
      </w:r>
      <m:oMath>
        <m:r>
          <m:t>r</m:t>
        </m:r>
        <m:d>
          <m:dPr>
            <m:begChr m:val="("/>
            <m:sepChr m:val=""/>
            <m:end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w:t>
      </w:r>
      <w:hyperlink w:anchor="sec_4_9" w:history="1">
        <w:r>
          <w:rPr>
            <w:rStyle w:val="Hyperlink"/>
          </w:rPr>
          <w:t xml:space="preserve">Section 4.9</w:t>
        </w:r>
      </w:hyperlink>
      <w:r>
        <w:t xml:space="preserve"> and is not optional.</w:t>
      </w:r>
    </w:p>
    <w:p>
      <w:pPr>
        <w:pStyle w:val="Compact"/>
        <w:numPr>
          <w:ilvl w:val="0"/>
          <w:numId w:val="1001"/>
        </w:numPr>
      </w:pPr>
      <m:oMath>
        <m:r>
          <m:t>k</m:t>
        </m:r>
        <m:d>
          <m:dPr>
            <m:begChr m:val="("/>
            <m:sepChr m:val=""/>
            <m:end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sepChr m:val=""/>
            <m:endChr m:val=")"/>
            <m:grow/>
          </m:dPr>
          <m:e>
            <m:r>
              <m:t>a</m:t>
            </m:r>
          </m:e>
        </m:d>
      </m:oMath>
      <w:r>
        <w:t xml:space="preserve"> </w:t>
      </w:r>
      <w:r>
        <w:t xml:space="preserve">is stored.</w:t>
      </w:r>
    </w:p>
    <w:p>
      <w:pPr>
        <w:pStyle w:val="Compact"/>
        <w:numPr>
          <w:ilvl w:val="0"/>
          <w:numId w:val="1001"/>
        </w:numPr>
      </w:pPr>
      <m:oMath>
        <m:r>
          <m:t>t</m:t>
        </m:r>
        <m:d>
          <m:dPr>
            <m:begChr m:val="("/>
            <m:sepChr m:val=""/>
            <m:endChr m:val=")"/>
            <m:grow/>
          </m:dPr>
          <m:e>
            <m:r>
              <m:t>a</m:t>
            </m:r>
          </m:e>
        </m:d>
      </m:oMath>
      <w:r>
        <w:t xml:space="preserve"> </w:t>
      </w:r>
      <w:r>
        <w:t xml:space="preserve">is the month in which the access event occurred.</w:t>
      </w:r>
    </w:p>
    <w:p>
      <w:pPr>
        <w:pStyle w:val="Compact"/>
        <w:numPr>
          <w:ilvl w:val="0"/>
          <w:numId w:val="1001"/>
        </w:numPr>
      </w:pPr>
      <m:oMath>
        <m:r>
          <m:t>F</m:t>
        </m:r>
        <m:d>
          <m:dPr>
            <m:begChr m:val="("/>
            <m:sepChr m:val=""/>
            <m:endChr m:val=")"/>
            <m:grow/>
          </m:dPr>
          <m:e>
            <m:r>
              <m:t>a</m:t>
            </m:r>
          </m:e>
        </m:d>
        <m:r>
          <m:rPr>
            <m:sty m:val="p"/>
          </m:rPr>
          <m:t>∈</m:t>
        </m:r>
        <m:r>
          <m:rPr>
            <m:scr m:val="double-struck"/>
            <m:sty m:val="p"/>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pStyle w:val="Compact"/>
        <w:numPr>
          <w:ilvl w:val="0"/>
          <w:numId w:val="1001"/>
        </w:numPr>
      </w:pPr>
      <m:oMath>
        <m:r>
          <m:t>σ</m:t>
        </m:r>
        <m:d>
          <m:dPr>
            <m:begChr m:val="("/>
            <m:sepChr m:val=""/>
            <m:endChr m:val=")"/>
            <m:grow/>
          </m:dPr>
          <m:e>
            <m:r>
              <m:t>a</m:t>
            </m:r>
          </m:e>
        </m:d>
        <m:r>
          <m:rPr>
            <m:sty m:val="p"/>
          </m:rPr>
          <m:t>∈</m:t>
        </m:r>
        <m:r>
          <m:rPr>
            <m:sty m:val="p"/>
          </m:rPr>
          <m:t>{</m:t>
        </m:r>
        <m:r>
          <m:rPr>
            <m:nor/>
          </m:rPr>
          <m:t>primary</m:t>
        </m:r>
        <m:r>
          <m:rPr>
            <m:sty m:val="p"/>
          </m:rPr>
          <m:t>,</m:t>
        </m:r>
        <m:r>
          <m:rPr>
            <m:nor/>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sets out the correspondence. In the present setting it takes two values:</w:t>
      </w:r>
    </w:p>
    <w:p>
      <w:pPr>
        <w:pStyle w:val="Compact"/>
        <w:numPr>
          <w:ilvl w:val="0"/>
          <w:numId w:val="1002"/>
        </w:numPr>
      </w:pPr>
      <m:oMath>
        <m:r>
          <m:t>F</m:t>
        </m:r>
        <m:d>
          <m:dPr>
            <m:begChr m:val="("/>
            <m:sepChr m:val=""/>
            <m:end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pStyle w:val="Compact"/>
        <w:numPr>
          <w:ilvl w:val="0"/>
          <w:numId w:val="1002"/>
        </w:numPr>
      </w:pPr>
      <m:oMath>
        <m:r>
          <m:t>F</m:t>
        </m:r>
        <m:d>
          <m:dPr>
            <m:begChr m:val="("/>
            <m:sepChr m:val=""/>
            <m:end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51); by Proposition 3 a longer floor enlarges the set of records whose permit expiry falls inside it, and by Corollary 2.2 no result depends on the value.</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sepChr m:val=""/>
            <m:end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sepChr m:val=""/>
            <m:end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sepChr m:val=""/>
            <m:endChr m:val=")"/>
            <m:grow/>
          </m:dPr>
          <m:e>
            <m:r>
              <m:t>a</m:t>
            </m:r>
          </m:e>
        </m:d>
      </m:oMath>
      <w:r>
        <w:t xml:space="preserve"> </w:t>
      </w:r>
      <w:r>
        <w:t xml:space="preserve">for records with</w:t>
      </w:r>
      <w:r>
        <w:t xml:space="preserve"> </w:t>
      </w:r>
      <m:oMath>
        <m:r>
          <m:t>σ</m:t>
        </m:r>
        <m:d>
          <m:dPr>
            <m:begChr m:val="("/>
            <m:sepChr m:val=""/>
            <m:end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sepChr m:val=""/>
            <m:end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sepChr m:val=""/>
            <m:end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records this as a stated abstraction, and Corollary 2.3 relaxes it for one case.</w:t>
      </w:r>
    </w:p>
    <w:p>
      <w:pPr>
        <w:pStyle w:val="BodyText"/>
      </w:pPr>
      <w:r>
        <w:t xml:space="preserve">The Secure Processing Environment case needs one further variable, and only on the reading of Article 68(12) that </w:t>
      </w:r>
      <w:hyperlink w:anchor="sec_4_6" w:history="1">
        <w:r>
          <w:rPr>
            <w:rStyle w:val="Hyperlink"/>
          </w:rPr>
          <w:t xml:space="preserve">Section 4.6</w:t>
        </w:r>
      </w:hyperlink>
      <w:r>
        <w:t xml:space="preserve"> identifies. Let</w:t>
      </w:r>
      <w:r>
        <w:t xml:space="preserve"> </w:t>
      </w:r>
      <m:oMath>
        <m:r>
          <m:t>β</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sepChr m:val=""/>
            <m:end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w:t>
      </w:r>
      <w:hyperlink w:anchor="sec_4_5" w:history="1">
        <w:r>
          <w:rPr>
            <w:rStyle w:val="Hyperlink"/>
          </w:rPr>
          <w:t xml:space="preserve">Section 4.5</w:t>
        </w:r>
      </w:hyperlink>
      <w:r>
        <w:t xml:space="preserve">, and the two competing definitions are what the propositions distinguish.</w:t>
      </w:r>
    </w:p>
    <w:bookmarkEnd w:id="63"/>
    <w:bookmarkStart w:id="64" w:name="the-three-constraints"/>
    <w:p>
      <w:pPr>
        <w:pStyle w:val="Heading2"/>
      </w:pPr>
      <w:bookmarkStart w:id="1048" w:name="sec_4_4"/>
      <w:r>
        <w:t xml:space="preserve">4.4 The Three Constraints</w:t>
      </w:r>
      <w:bookmarkEnd w:id="1048"/>
    </w:p>
    <w:p>
      <w:pPr>
        <w:pStyle w:val="FirstParagraph"/>
      </w:pPr>
      <w:r>
        <w:t xml:space="preserve">Each regime now becomes a constraint on the trajectory of</w:t>
      </w:r>
      <w:r>
        <w:t xml:space="preserve"> </w:t>
      </w:r>
      <m:oMath>
        <m:r>
          <m:t>α</m:t>
        </m:r>
      </m:oMath>
      <w:r>
        <w:t xml:space="preserve"> </w:t>
      </w:r>
      <w:r>
        <w:t xml:space="preserve">and</w:t>
      </w:r>
      <w:r>
        <w:t xml:space="preserve"> </w:t>
      </w:r>
      <m:oMath>
        <m:r>
          <m:t>V</m:t>
        </m:r>
      </m:oMath>
      <w:r>
        <w:t xml:space="preserve">: one floor that says how long a record must last, and two limits that say how soon its payload must go.</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w:t>
      </w:r>
    </w:p>
    <w:p>
      <w:pPr>
        <w:pStyle w:val="BodyText"/>
      </w:pPr>
      <m:oMathPara>
        <m:oMathParaPr>
          <m:jc m:val="center"/>
        </m:oMathParaPr>
        <m:oMath>
          <m:r>
            <m:t>V</m:t>
          </m:r>
          <m:d>
            <m:dPr>
              <m:begChr m:val="("/>
              <m:sepChr m:val=""/>
              <m:endChr m:val=")"/>
              <m:grow/>
            </m:dPr>
            <m:e>
              <m:r>
                <m:t>a</m:t>
              </m:r>
              <m:r>
                <m:rPr>
                  <m:sty m:val="p"/>
                </m:rPr>
                <m:t>,</m:t>
              </m:r>
              <m:r>
                <m:t>t</m:t>
              </m:r>
            </m:e>
          </m:d>
          <m:r>
            <m:rPr>
              <m:sty m:val="p"/>
            </m:rPr>
            <m:t>=</m:t>
          </m:r>
          <m:r>
            <m:t>1</m:t>
          </m:r>
          <m:r>
            <m:t>  </m:t>
          </m:r>
          <m:r>
            <m:rPr>
              <m:sty m:val="p"/>
            </m:rPr>
            <m:t>∀</m:t>
          </m:r>
          <m:r>
            <m:t> </m:t>
          </m:r>
          <m:r>
            <m:t>t</m:t>
          </m:r>
          <m:r>
            <m:rPr>
              <m:sty m:val="p"/>
            </m:rPr>
            <m:t>∈</m:t>
          </m:r>
          <m:d>
            <m:dPr>
              <m:begChr m:val="["/>
              <m:sepChr m:val=""/>
              <m:endChr m:val="]"/>
              <m:grow/>
            </m:dPr>
            <m:e>
              <m:r>
                <m:t> </m:t>
              </m:r>
              <m:r>
                <m:t>t</m:t>
              </m:r>
              <m:d>
                <m:dPr>
                  <m:begChr m:val="("/>
                  <m:sepChr m:val=""/>
                  <m:endChr m:val=")"/>
                  <m:grow/>
                </m:dPr>
                <m:e>
                  <m:r>
                    <m:t>a</m:t>
                  </m:r>
                </m:e>
              </m:d>
              <m:r>
                <m:rPr>
                  <m:sty m:val="p"/>
                </m:rPr>
                <m:t>,</m:t>
              </m:r>
              <m:r>
                <m:t> </m:t>
              </m:r>
              <m:r>
                <m:t>t</m:t>
              </m:r>
              <m:d>
                <m:dPr>
                  <m:begChr m:val="("/>
                  <m:sepChr m:val=""/>
                  <m:endChr m:val=")"/>
                  <m:grow/>
                </m:dPr>
                <m:e>
                  <m:r>
                    <m:t>a</m:t>
                  </m:r>
                </m:e>
              </m:d>
              <m:r>
                <m:rPr>
                  <m:sty m:val="p"/>
                </m:rPr>
                <m:t>+</m:t>
              </m:r>
              <m:r>
                <m:t>F</m:t>
              </m:r>
              <m:d>
                <m:dPr>
                  <m:begChr m:val="("/>
                  <m:sepChr m:val=""/>
                  <m:end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sepChr m:val=""/>
            <m:end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sepChr m:val=""/>
            <m:end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the eHDSI deployment baseline as reported, an illustrative value,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sepChr m:val=""/>
            <m:end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sepChr m:val=""/>
              <m:end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explains why this affects the frequencies reported in </w:t>
      </w:r>
      <w:hyperlink w:anchor="ch_5" w:history="1">
        <w:r>
          <w:rPr>
            <w:rStyle w:val="Hyperlink"/>
          </w:rPr>
          <w:t xml:space="preserve">Chapter 5</w:t>
        </w:r>
      </w:hyperlink>
      <w:r>
        <w:t xml:space="preserve"> but not the propositions. In the secondary-use pathway two provisions narrow C2 further. Article 17(3)(d) GDPR disapplies the right where processing is necessary for</w:t>
      </w:r>
      <w:r>
        <w:t xml:space="preserve"> </w:t>
      </w:r>
      <w:r>
        <w:t xml:space="preserve">“</w:t>
      </w:r>
      <w:r>
        <w:t xml:space="preserve">scientific or historical research purposes or statistical purposes in accordance with Article 89(1) in so far as the right referred to in paragraph 1 is likely to render impossible or seriously impair the achievement of the objectives of that processing</w:t>
      </w:r>
      <w:r>
        <w:t xml:space="preserve">”</w:t>
      </w:r>
      <w:r>
        <w:t xml:space="preserve">, and the Regulation gives natural persons instead a right to opt out of secondary use, which is reversible and does not reach processing under data permits issued before it was exercised (Article 71(1) and (3) EHDS). For the environment’s own access logs, which serve Article 73(1)(e) rather than the research, the exemption that applies within the floor is Article 17(3)(b). The effect is that fewer SPE requests reach C2 than the model assumes, and a record that no request reaches faces only the floor and the ceiling, which is the case of Corollary 1.2.</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sepChr m:val=""/>
            <m:end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and, where the record’s subject fields are electronic health data within the environment (</w:t>
      </w:r>
      <w:hyperlink w:anchor="sec_4_6" w:history="1">
        <w:r>
          <w:rPr>
            <w:rStyle w:val="Hyperlink"/>
          </w:rPr>
          <w:t xml:space="preserve">Section 4.6</w:t>
        </w:r>
      </w:hyperlink>
      <w:r>
        <w:t xml:space="preserve">),</w:t>
      </w:r>
    </w:p>
    <w:p>
      <w:pPr>
        <w:pStyle w:val="BodyText"/>
      </w:pPr>
      <m:oMathPara>
        <m:oMathParaPr>
          <m:jc m:val="center"/>
        </m:oMathParaPr>
        <m:oMath>
          <m:r>
            <m:t>β</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w:t>
      </w:r>
      <w:hyperlink w:anchor="sec_4_5" w:history="1">
        <w:r>
          <w:rPr>
            <w:rStyle w:val="Hyperlink"/>
          </w:rPr>
          <w:t xml:space="preserve">Section 4.5</w:t>
        </w:r>
      </w:hyperlink>
      <w:r>
        <w:t xml:space="preserve"> makes explicit.</w:t>
      </w:r>
    </w:p>
    <w:bookmarkEnd w:id="64"/>
    <w:bookmarkStart w:id="65" w:name="two-semantics-of-verifiability"/>
    <w:p>
      <w:pPr>
        <w:pStyle w:val="Heading2"/>
      </w:pPr>
      <w:bookmarkStart w:id="1049" w:name="sec_4_5"/>
      <w:r>
        <w:t xml:space="preserve">4.5 Two Semantics of Verifiability</w:t>
      </w:r>
      <w:bookmarkEnd w:id="1049"/>
    </w:p>
    <w:p>
      <w:pPr>
        <w:pStyle w:val="FirstParagraph"/>
      </w:pPr>
      <w:r>
        <w:t xml:space="preserve">Everything now turns on one undefined word: verifiable. Two definitions are available, and the propositions show that they lead to opposite answers.</w:t>
      </w:r>
    </w:p>
    <w:p>
      <w:pPr>
        <w:pStyle w:val="BodyText"/>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m:oMathPara>
    </w:p>
    <w:p>
      <w:pPr>
        <w:pStyle w:val="FirstParagraph"/>
      </w:pPr>
      <w:r>
        <w:t xml:space="preserve">This is the semantics of an audit log that keeps what was accessed readable for as long as it keeps the record. Under it, an audit record whose payload cannot be produced is treated as an incomplete or broken record, and audit integrity is understood as the continued producibility of what was accessed. The reference implementation of the cross-border gateway is built as such a log: whatever an audit message carries stays readable. In the 2017 OpenNCP source, the audit record repository stored every received audit message whole, in a database column for the message content. The patient identifier sat in a readable column, and a further column held the participant-object query. The repository refused to modify a stored message, and its audit code had no scheduled retention or purge logic, so how long the content stayed readable was left to the operator (OpenNCP Project, 2017). The schema deployed with OpenNCP 9.1.0 in 2026 keeps the same columns (Sundhedsdatastyrelsen, 2026); whether they are populated in a given deployment was not inspected. In the 2017 source the patient-discovery audit carried the patient identifier and the full SOAP security header of the request, which in the model are subject and accessor fields, though not the demographic query that ITI-55 asks gateways to record.</w:t>
      </w:r>
      <w:r>
        <w:t xml:space="preserve"> </w:t>
      </w:r>
      <w:r>
        <w:t xml:space="preserve">“</w:t>
      </w:r>
      <w:r>
        <w:t xml:space="preserve">Verification</w:t>
      </w:r>
      <w:r>
        <w:t xml:space="preserve">”</w:t>
      </w:r>
      <w:r>
        <w:t xml:space="preserve"> </w:t>
      </w:r>
      <w:r>
        <w:t xml:space="preserve">there meant that the sending gateway signed each audit message (enveloped XML signature); the repository stored the signature but did not check it, and kept no hash chain or other tamper evidence beyond its refusal to modify. How other deployments configure retention is not established here. No instrument states this semantics, and none states the alternative.</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sepChr m:val=""/>
              <m:endChr m:val=")"/>
              <m:grow/>
            </m:dPr>
            <m:e>
              <m:r>
                <m:t>a</m:t>
              </m:r>
              <m:r>
                <m:rPr>
                  <m:sty m:val="p"/>
                </m:rPr>
                <m:t>,</m:t>
              </m:r>
              <m:r>
                <m:t>t</m:t>
              </m:r>
            </m:e>
          </m:d>
          <m:r>
            <m:rPr>
              <m:sty m:val="p"/>
            </m:rPr>
            <m:t>=</m:t>
          </m:r>
          <m:r>
            <m:t>1</m:t>
          </m:r>
          <m:r>
            <m:rPr>
              <m:sty m:val="p"/>
            </m:rPr>
            <m:t>⇔</m:t>
          </m:r>
          <m:r>
            <m:rPr>
              <m:nor/>
            </m:rPr>
            <m:t>(i)</m:t>
          </m:r>
          <m:r>
            <m:rPr>
              <m:sty m:val="p"/>
            </m:rPr>
            <m:t>∧</m:t>
          </m:r>
          <m:r>
            <m:rPr>
              <m:nor/>
            </m:rPr>
            <m:t>(ii)</m:t>
          </m:r>
          <m:r>
            <m:rPr>
              <m:sty m:val="p"/>
            </m:rPr>
            <m:t>∧</m:t>
          </m:r>
          <m:r>
            <m:rPr>
              <m:nor/>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sepChr m:val=""/>
            <m:end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sepChr m:val=""/>
            <m:endChr m:val=")"/>
            <m:grow/>
          </m:dPr>
          <m:e>
            <m:r>
              <m:t>a</m:t>
            </m:r>
          </m:e>
        </m:d>
      </m:oMath>
      <w:r>
        <w:t xml:space="preserve"> </w:t>
      </w:r>
      <w:r>
        <w:t xml:space="preserve">unless its removal is recorded under (iii); (ii)</w:t>
      </w:r>
      <w:r>
        <w:t xml:space="preserve"> </w:t>
      </w:r>
      <m:oMath>
        <m:r>
          <m:t>c</m:t>
        </m:r>
        <m:d>
          <m:dPr>
            <m:begChr m:val="("/>
            <m:sepChr m:val=""/>
            <m:endChr m:val=")"/>
            <m:grow/>
          </m:dPr>
          <m:e>
            <m:r>
              <m:t>a</m:t>
            </m:r>
          </m:e>
        </m:d>
      </m:oMath>
      <w:r>
        <w:t xml:space="preserve"> </w:t>
      </w:r>
      <w:r>
        <w:t xml:space="preserve">is present and binding; and (iii) if</w:t>
      </w:r>
      <w:r>
        <w:t xml:space="preserve"> </w:t>
      </w:r>
      <m:oMath>
        <m:r>
          <m:t>α</m:t>
        </m:r>
        <m:d>
          <m:dPr>
            <m:begChr m:val="("/>
            <m:sepChr m:val=""/>
            <m:end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sepChr m:val=""/>
            <m:end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sepChr m:val=""/>
            <m:end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w:t>
      </w:r>
      <w:hyperlink w:anchor="sec_4_10" w:history="1">
        <w:r>
          <w:rPr>
            <w:rStyle w:val="Hyperlink"/>
          </w:rPr>
          <w:t xml:space="preserve">Section 4.10</w:t>
        </w:r>
      </w:hyperlink>
      <w:r>
        <w:t xml:space="preserve"> argues that Semantics II is the better reading of what the instruments require; the propositions below establish what follows from each.</w:t>
      </w:r>
    </w:p>
    <w:bookmarkEnd w:id="65"/>
    <w:bookmarkStart w:id="66" w:name="X92b2126634aa6a7e3b60431749c90a4eaf881bd"/>
    <w:p>
      <w:pPr>
        <w:pStyle w:val="Heading2"/>
      </w:pPr>
      <w:bookmarkStart w:id="1050" w:name="sec_4_6"/>
      <w:r>
        <w:t xml:space="preserve">4.6 Propositions 1 and 3: Infeasibility, and Where the Ceiling Is Anchored</w:t>
      </w:r>
      <w:bookmarkEnd w:id="1050"/>
    </w:p>
    <w:p>
      <w:pPr>
        <w:pStyle w:val="FirstParagraph"/>
      </w:pPr>
      <w:r>
        <w:t xml:space="preserve">Under Semantics I the conflict is not bad luck or rare timing. It is a contradiction, and it can be located to the month.</w:t>
      </w:r>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sepChr m:val=""/>
              <m:endChr m:val=")"/>
              <m:grow/>
            </m:dPr>
            <m:e>
              <m:r>
                <m:t>a</m:t>
              </m:r>
            </m:e>
          </m:d>
          <m:r>
            <m:rPr>
              <m:sty m:val="p"/>
            </m:rPr>
            <m:t>+</m:t>
          </m:r>
          <m:r>
            <m:t>δ</m:t>
          </m:r>
          <m:r>
            <m:rPr>
              <m:sty m:val="p"/>
            </m:rPr>
            <m:t>≤</m:t>
          </m:r>
          <m:r>
            <m:t>t</m:t>
          </m:r>
          <m:d>
            <m:dPr>
              <m:begChr m:val="("/>
              <m:sepChr m:val=""/>
              <m:endChr m:val=")"/>
              <m:grow/>
            </m:dPr>
            <m:e>
              <m:r>
                <m:t>a</m:t>
              </m:r>
            </m:e>
          </m:d>
          <m:r>
            <m:rPr>
              <m:sty m:val="p"/>
            </m:rPr>
            <m:t>+</m:t>
          </m:r>
          <m:r>
            <m:t>F</m:t>
          </m:r>
          <m:d>
            <m:dPr>
              <m:begChr m:val="("/>
              <m:sepChr m:val=""/>
              <m:endChr m:val=")"/>
              <m:grow/>
            </m:dPr>
            <m:e>
              <m:r>
                <m:t>a</m:t>
              </m:r>
            </m:e>
          </m:d>
          <m:r>
            <m:t> </m:t>
          </m:r>
          <m:r>
            <m:rPr>
              <m:nor/>
            </m:rPr>
            <m:t>or</m:t>
          </m:r>
          <m:r>
            <m:t> </m:t>
          </m:r>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F</m:t>
          </m:r>
          <m:d>
            <m:dPr>
              <m:begChr m:val="("/>
              <m:sepChr m:val=""/>
              <m:end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sepChr m:val=""/>
            <m:end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sepChr m:val=""/>
            <m:endChr m:val=")"/>
            <m:grow/>
          </m:dPr>
          <m:e>
            <m:r>
              <m:t>a</m:t>
            </m:r>
          </m:e>
        </m:d>
        <m:r>
          <m:rPr>
            <m:sty m:val="p"/>
          </m:rPr>
          <m:t>+</m:t>
        </m:r>
        <m:r>
          <m:t>F</m:t>
        </m:r>
        <m:d>
          <m:dPr>
            <m:begChr m:val="("/>
            <m:sepChr m:val=""/>
            <m:end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sepChr m:val=""/>
            <m:end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sepChr m:val=""/>
            <m:end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sepChr m:val=""/>
            <m:endChr m:val=")"/>
            <m:grow/>
          </m:dPr>
          <m:e>
            <m:r>
              <m:t>a</m:t>
            </m:r>
            <m:r>
              <m:rPr>
                <m:sty m:val="p"/>
              </m:rPr>
              <m:t>,</m:t>
            </m:r>
            <m:sSup>
              <m:e>
                <m:r>
                  <m:t>t</m:t>
                </m:r>
              </m:e>
              <m:sup>
                <m:r>
                  <m:rPr>
                    <m:sty m:val="p"/>
                  </m:rPr>
                  <m:t>*</m:t>
                </m:r>
              </m:sup>
            </m:sSup>
          </m:e>
        </m:d>
        <m:r>
          <m:rPr>
            <m:sty m:val="p"/>
          </m:rPr>
          <m:t>=</m:t>
        </m:r>
        <m:r>
          <m:t>α</m:t>
        </m:r>
        <m:d>
          <m:dPr>
            <m:begChr m:val="("/>
            <m:sepChr m:val=""/>
            <m:endChr m:val=")"/>
            <m:grow/>
          </m:dPr>
          <m:e>
            <m:r>
              <m:t>a</m:t>
            </m:r>
            <m:r>
              <m:rPr>
                <m:sty m:val="p"/>
              </m:rPr>
              <m:t>,</m:t>
            </m:r>
            <m:sSup>
              <m:e>
                <m:r>
                  <m:t>t</m:t>
                </m:r>
              </m:e>
              <m:sup>
                <m:r>
                  <m:rPr>
                    <m:sty m:val="p"/>
                  </m:rPr>
                  <m:t>*</m:t>
                </m:r>
              </m:sup>
            </m:sSup>
          </m:e>
        </m:d>
      </m:oMath>
      <w:r>
        <w:t xml:space="preserve">, so C1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sepChr m:val=""/>
            <m:end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sepChr m:val=""/>
            <m:end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sepChr m:val=""/>
            <m:endChr m:val=")"/>
            <m:grow/>
          </m:dPr>
          <m:e>
            <m:r>
              <m:t>a</m:t>
            </m:r>
          </m:e>
        </m:d>
        <m:r>
          <m:rPr>
            <m:sty m:val="p"/>
          </m:rPr>
          <m:t>≤</m:t>
        </m:r>
        <m:r>
          <m:t>t</m:t>
        </m:r>
        <m:d>
          <m:dPr>
            <m:begChr m:val="("/>
            <m:sepChr m:val=""/>
            <m:end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sepChr m:val=""/>
            <m:endChr m:val=")"/>
            <m:grow/>
          </m:dPr>
          <m:e>
            <m:r>
              <m:t>a</m:t>
            </m:r>
          </m:e>
        </m:d>
        <m:r>
          <m:rPr>
            <m:sty m:val="p"/>
          </m:rPr>
          <m:t>=</m:t>
        </m:r>
        <m:r>
          <m:t>12</m:t>
        </m:r>
      </m:oMath>
      <w:r>
        <w:t xml:space="preserve"> </w:t>
      </w:r>
      <w:r>
        <w:t xml:space="preserve">and</w:t>
      </w:r>
      <w:r>
        <w:t xml:space="preserve"> </w:t>
      </w:r>
      <m:oMath>
        <m:r>
          <m:t>σ</m:t>
        </m:r>
        <m:d>
          <m:dPr>
            <m:begChr m:val="("/>
            <m:sepChr m:val=""/>
            <m:end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a conditional extension of the problem statement; the request-driven conflict of Corollary 1.1 does not depend on it.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p. 31).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Little turns on which reading prevails.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conditional extension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w:t>
      </w:r>
      <w:hyperlink w:anchor="sec_4_7" w:history="1">
        <w:r>
          <w:rPr>
            <w:rStyle w:val="Hyperlink"/>
          </w:rPr>
          <w:t xml:space="preserve">Section 4.7</w:t>
        </w:r>
      </w:hyperlink>
      <w:r>
        <w:t xml:space="preserve">). </w:t>
      </w:r>
      <w:hyperlink w:anchor="ch_6" w:history="1">
        <w:r>
          <w:rPr>
            <w:rStyle w:val="Hyperlink"/>
          </w:rPr>
          <w:t xml:space="preserve">Chapter 6</w:t>
        </w:r>
      </w:hyperlink>
      <w:r>
        <w:t xml:space="preserve">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are both cases of one condition,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sepChr m:val=""/>
            <m:end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sepChr m:val=""/>
            <m:endChr m:val=")"/>
            <m:grow/>
          </m:dPr>
          <m:e>
            <m:r>
              <m:t>a</m:t>
            </m:r>
          </m:e>
        </m:d>
        <m:r>
          <m:rPr>
            <m:sty m:val="p"/>
          </m:rPr>
          <m:t>+</m:t>
        </m:r>
        <m:r>
          <m:t>L</m:t>
        </m:r>
        <m:r>
          <m:rPr>
            <m:sty m:val="p"/>
          </m:rPr>
          <m:t>&gt;</m:t>
        </m:r>
        <m:r>
          <m:t>t</m:t>
        </m:r>
        <m:d>
          <m:dPr>
            <m:begChr m:val="("/>
            <m:sepChr m:val=""/>
            <m:endChr m:val=")"/>
            <m:grow/>
          </m:dPr>
          <m:e>
            <m:r>
              <m:t>a</m:t>
            </m:r>
          </m:e>
        </m:d>
        <m:r>
          <m:rPr>
            <m:sty m:val="p"/>
          </m:rPr>
          <m:t>+</m:t>
        </m:r>
        <m:r>
          <m:t>F</m:t>
        </m:r>
      </m:oMath>
      <w:r>
        <w:t xml:space="preserve">. Hence (i) if the ceiling is anchored to the same event as the floor,</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sepChr m:val=""/>
            <m:endChr m:val=")"/>
            <m:grow/>
          </m:dPr>
          <m:e>
            <m:r>
              <m:t>a</m:t>
            </m:r>
          </m:e>
        </m:d>
        <m:r>
          <m:rPr>
            <m:sty m:val="p"/>
          </m:rPr>
          <m:t>−</m:t>
        </m:r>
        <m:r>
          <m:t>t</m:t>
        </m:r>
        <m:d>
          <m:dPr>
            <m:begChr m:val="("/>
            <m:sepChr m:val=""/>
            <m:end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sepChr m:val=""/>
            <m:endChr m:val=")"/>
            <m:grow/>
          </m:dPr>
          <m:e>
            <m:r>
              <m:t>a</m:t>
            </m:r>
          </m:e>
        </m:d>
        <m:r>
          <m:rPr>
            <m:sty m:val="p"/>
          </m:rPr>
          <m:t>+</m:t>
        </m:r>
        <m:r>
          <m:t>F</m:t>
        </m:r>
      </m:oMath>
      <w:r>
        <w:t xml:space="preserve">; the ceiling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sepChr m:val=""/>
            <m:endChr m:val=")"/>
            <m:grow/>
          </m:dPr>
          <m:e>
            <m:r>
              <m:t>a</m:t>
            </m:r>
          </m:e>
        </m:d>
        <m:r>
          <m:rPr>
            <m:sty m:val="p"/>
          </m:rPr>
          <m:t>+</m:t>
        </m:r>
        <m:r>
          <m:t>L</m:t>
        </m:r>
      </m:oMath>
      <w:r>
        <w:t xml:space="preserve">. Since</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oMath>
      <w:r>
        <w:t xml:space="preserve">, some month of the window carries both demands if and only if</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r>
          <m:rPr>
            <m:sty m:val="p"/>
          </m:rPr>
          <m:t>+</m:t>
        </m:r>
        <m:r>
          <m:t>F</m:t>
        </m:r>
      </m:oMath>
      <w:r>
        <w:t xml:space="preserve">. Cases (i) and (ii) substitute</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66"/>
    <w:bookmarkStart w:id="67" w:name="X6dfe5408d6382a293db062cfe2ac490646497a6"/>
    <w:p>
      <w:pPr>
        <w:pStyle w:val="Heading2"/>
      </w:pPr>
      <w:bookmarkStart w:id="1051" w:name="sec_4_7"/>
      <w:r>
        <w:t xml:space="preserve">4.7 Proposition 2: Feasibility under Accountability-Preserving Verifiability</w:t>
      </w:r>
      <w:bookmarkEnd w:id="1051"/>
    </w:p>
    <w:p>
      <w:pPr>
        <w:pStyle w:val="FirstParagraph"/>
      </w:pPr>
      <w:r>
        <w:t xml:space="preserve">Change what verifiable means and, in the model as formalised, the contradiction disappears for every record, every pattern of requests and every floor. The proof builds the trajectory that does it, and that trajectory is the mechanism.</w:t>
      </w:r>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sepChr m:val=""/>
            <m:end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sepChr m:val=""/>
            <m:endChr m:val=")"/>
            <m:grow/>
          </m:dPr>
          <m:e>
            <m:r>
              <m:t>a</m:t>
            </m:r>
          </m:e>
        </m:d>
        <m:r>
          <m:rPr>
            <m:sty m:val="p"/>
          </m:rPr>
          <m:t>}</m:t>
        </m:r>
      </m:oMath>
      <w:r>
        <w:t xml:space="preserve">, and for every floor parameter</w:t>
      </w:r>
      <w:r>
        <w:t xml:space="preserve"> </w:t>
      </w:r>
      <m:oMath>
        <m:r>
          <m:t>F</m:t>
        </m:r>
        <m:d>
          <m:dPr>
            <m:begChr m:val="("/>
            <m:sepChr m:val=""/>
            <m:endChr m:val=")"/>
            <m:grow/>
          </m:dPr>
          <m:e>
            <m:r>
              <m:t>a</m:t>
            </m:r>
          </m:e>
        </m:d>
        <m:r>
          <m:rPr>
            <m:sty m:val="p"/>
          </m:rPr>
          <m:t>∈</m:t>
        </m:r>
        <m:r>
          <m:rPr>
            <m:scr m:val="double-struck"/>
            <m:sty m:val="p"/>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sepChr m:val=""/>
              <m:endChr m:val=")"/>
              <m:grow/>
            </m:dPr>
            <m:e>
              <m:r>
                <m:t>a</m:t>
              </m:r>
            </m:e>
          </m:d>
          <m:r>
            <m:rPr>
              <m:sty m:val="p"/>
            </m:rPr>
            <m:t>=</m:t>
          </m:r>
          <m:r>
            <m:rPr>
              <m:sty m:val="p"/>
            </m:rPr>
            <m:t>min</m:t>
          </m:r>
          <m:d>
            <m:dPr>
              <m:begChr m:val="("/>
              <m:sepChr m:val=""/>
              <m:endChr m:val=")"/>
              <m:grow/>
            </m:dPr>
            <m:e>
              <m:r>
                <m:t> </m:t>
              </m:r>
              <m:sSub>
                <m:e>
                  <m:r>
                    <m:t>t</m:t>
                  </m:r>
                </m:e>
                <m:sub>
                  <m:r>
                    <m:t>r</m:t>
                  </m:r>
                </m:sub>
              </m:sSub>
              <m:d>
                <m:dPr>
                  <m:begChr m:val="("/>
                  <m:sepChr m:val=""/>
                  <m:endChr m:val=")"/>
                  <m:grow/>
                </m:dPr>
                <m:e>
                  <m:r>
                    <m:t>a</m:t>
                  </m:r>
                </m:e>
              </m:d>
              <m:r>
                <m:rPr>
                  <m:sty m:val="p"/>
                </m:rPr>
                <m:t>+</m:t>
              </m:r>
              <m:r>
                <m:t>δ</m:t>
              </m:r>
              <m:r>
                <m:rPr>
                  <m:sty m:val="p"/>
                </m:rPr>
                <m:t>,</m:t>
              </m:r>
              <m:r>
                <m:t> </m:t>
              </m:r>
              <m:r>
                <m:t> </m:t>
              </m:r>
              <m:sSub>
                <m:e>
                  <m:r>
                    <m:t>t</m:t>
                  </m:r>
                </m:e>
                <m:sub>
                  <m:r>
                    <m:t>π</m:t>
                  </m:r>
                </m:sub>
              </m:sSub>
              <m:d>
                <m:dPr>
                  <m:begChr m:val="("/>
                  <m:sepChr m:val=""/>
                  <m:end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w:t>
      </w:r>
      <w:r>
        <w:t xml:space="preserve"> </w:t>
      </w:r>
      <m:oMath>
        <m:r>
          <m:rPr>
            <m:sty m:val="p"/>
          </m:rPr>
          <m:t>min</m:t>
        </m:r>
        <m:d>
          <m:dPr>
            <m:begChr m:val="("/>
            <m:sepChr m:val=""/>
            <m:endChr m:val=")"/>
            <m:grow/>
          </m:dPr>
          <m:e>
            <m:r>
              <m:rPr>
                <m:sty m:val="p"/>
              </m:rPr>
              <m:t>∞</m:t>
            </m:r>
            <m:r>
              <m:rPr>
                <m:sty m:val="p"/>
              </m:rPr>
              <m:t>,</m:t>
            </m:r>
            <m:r>
              <m:rPr>
                <m:sty m:val="p"/>
              </m:rPr>
              <m:t>∞</m:t>
            </m:r>
          </m:e>
        </m:d>
        <m:r>
          <m:rPr>
            <m:sty m:val="p"/>
          </m:rPr>
          <m:t>=</m:t>
        </m:r>
        <m:r>
          <m:rPr>
            <m:sty m:val="p"/>
          </m:rPr>
          <m:t>∞</m:t>
        </m:r>
      </m:oMath>
      <w:r>
        <w:t xml:space="preserve">. Construct the trajectory:</w:t>
      </w:r>
    </w:p>
    <w:p>
      <w:pPr>
        <w:pStyle w:val="Compact"/>
        <w:numPr>
          <w:ilvl w:val="0"/>
          <w:numId w:val="1003"/>
        </w:numPr>
      </w:pPr>
      <w:r>
        <w:t xml:space="preserve">For</w:t>
      </w:r>
      <w:r>
        <w:t xml:space="preserve"> </w:t>
      </w:r>
      <m:oMath>
        <m:r>
          <m:t>t</m:t>
        </m:r>
        <m:r>
          <m:rPr>
            <m:sty m:val="p"/>
          </m:rPr>
          <m:t>&lt;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1</m:t>
        </m:r>
      </m:oMath>
      <w:r>
        <w:t xml:space="preserve">. Retain</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k</m:t>
        </m:r>
        <m:d>
          <m:dPr>
            <m:begChr m:val="("/>
            <m:sepChr m:val=""/>
            <m:endChr m:val=")"/>
            <m:grow/>
          </m:dPr>
          <m:e>
            <m:r>
              <m:t>a</m:t>
            </m:r>
          </m:e>
        </m:d>
      </m:oMath>
      <w:r>
        <w:t xml:space="preserve">, and</w:t>
      </w:r>
      <w:r>
        <w:t xml:space="preserve"> </w:t>
      </w:r>
      <m:oMath>
        <m:r>
          <m:t>p</m:t>
        </m:r>
        <m:d>
          <m:dPr>
            <m:begChr m:val="("/>
            <m:sepChr m:val=""/>
            <m:endChr m:val=")"/>
            <m:grow/>
          </m:dPr>
          <m:e>
            <m:r>
              <m:t>a</m:t>
            </m:r>
          </m:e>
        </m:d>
      </m:oMath>
      <w:r>
        <w:t xml:space="preserve">.</w:t>
      </w:r>
    </w:p>
    <w:p>
      <w:pPr>
        <w:pStyle w:val="Compact"/>
        <w:numPr>
          <w:ilvl w:val="0"/>
          <w:numId w:val="1003"/>
        </w:numPr>
      </w:pPr>
      <w:r>
        <w:t xml:space="preserve">At</w:t>
      </w:r>
      <w:r>
        <w:t xml:space="preserve"> </w:t>
      </w:r>
      <m:oMath>
        <m:r>
          <m:t>t</m:t>
        </m:r>
        <m:r>
          <m:rPr>
            <m:sty m:val="p"/>
          </m:rPr>
          <m:t>=</m:t>
        </m:r>
        <m:sSup>
          <m:e>
            <m:r>
              <m:t>t</m:t>
            </m:r>
          </m:e>
          <m:sup>
            <m:r>
              <m:t>I</m:t>
            </m:r>
          </m:sup>
        </m:sSup>
        <m:d>
          <m:dPr>
            <m:begChr m:val="("/>
            <m:sepChr m:val=""/>
            <m:endChr m:val=")"/>
            <m:grow/>
          </m:dPr>
          <m:e>
            <m:r>
              <m:t>a</m:t>
            </m:r>
          </m:e>
        </m:d>
      </m:oMath>
      <w:r>
        <w:t xml:space="preserve">, if finite: destroy</w:t>
      </w:r>
      <w:r>
        <w:t xml:space="preserve"> </w:t>
      </w:r>
      <m:oMath>
        <m:r>
          <m:t>k</m:t>
        </m:r>
        <m:d>
          <m:dPr>
            <m:begChr m:val="("/>
            <m:sepChr m:val=""/>
            <m:end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sepChr m:val=""/>
            <m:endChr m:val=")"/>
            <m:grow/>
          </m:dPr>
          <m:e>
            <m:r>
              <m:t>a</m:t>
            </m:r>
          </m:e>
        </m:d>
      </m:oMath>
      <w:r>
        <w:t xml:space="preserve"> </w:t>
      </w:r>
      <w:r>
        <w:t xml:space="preserve">as well and set</w:t>
      </w:r>
      <w:r>
        <w:t xml:space="preserve"> </w:t>
      </w:r>
      <m:oMath>
        <m:r>
          <m:t>β</m:t>
        </m:r>
        <m:d>
          <m:dPr>
            <m:begChr m:val="("/>
            <m:sepChr m:val=""/>
            <m:end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sepChr m:val=""/>
            <m:end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sepChr m:val=""/>
            <m:endChr m:val=")"/>
            <m:grow/>
          </m:dPr>
          <m:e>
            <m:r>
              <m:t>a</m:t>
            </m:r>
          </m:e>
        </m:d>
      </m:oMath>
      <w:r>
        <w:t xml:space="preserve"> </w:t>
      </w:r>
      <w:r>
        <w:t xml:space="preserve">and</w:t>
      </w:r>
      <w:r>
        <w:t xml:space="preserve"> </w:t>
      </w:r>
      <m:oMath>
        <m:r>
          <m:t>c</m:t>
        </m:r>
        <m:d>
          <m:dPr>
            <m:begChr m:val="("/>
            <m:sepChr m:val=""/>
            <m:endChr m:val=")"/>
            <m:grow/>
          </m:dPr>
          <m:e>
            <m:r>
              <m:t>a</m:t>
            </m:r>
          </m:e>
        </m:d>
      </m:oMath>
      <w:r>
        <w:t xml:space="preserve"> </w:t>
      </w:r>
      <w:r>
        <w:t xml:space="preserve">unchanged.</w:t>
      </w:r>
    </w:p>
    <w:p>
      <w:pPr>
        <w:pStyle w:val="Compact"/>
        <w:numPr>
          <w:ilvl w:val="0"/>
          <w:numId w:val="1003"/>
        </w:numPr>
      </w:pPr>
      <w:r>
        <w:t xml:space="preserve">For</w:t>
      </w:r>
      <w:r>
        <w:t xml:space="preserve"> </w:t>
      </w:r>
      <m:oMath>
        <m:r>
          <m:t>t</m:t>
        </m:r>
        <m:r>
          <m:rPr>
            <m:sty m:val="p"/>
          </m:rPr>
          <m:t>&gt;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0</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sepChr m:val=""/>
            <m:endChr m:val=")"/>
            <m:grow/>
          </m:dPr>
          <m:e>
            <m:r>
              <m:t>a</m:t>
            </m:r>
          </m:e>
        </m:d>
        <m:r>
          <m:rPr>
            <m:sty m:val="p"/>
          </m:rPr>
          <m:t>,</m:t>
        </m:r>
        <m:r>
          <m:t>c</m:t>
        </m:r>
        <m:d>
          <m:dPr>
            <m:begChr m:val="("/>
            <m:sepChr m:val=""/>
            <m:endChr m:val=")"/>
            <m:grow/>
          </m:dPr>
          <m:e>
            <m:r>
              <m:t>a</m:t>
            </m:r>
          </m:e>
        </m:d>
      </m:oMath>
      <w:r>
        <w:t xml:space="preserve">, and</w:t>
      </w:r>
      <w:r>
        <w:t xml:space="preserve"> </w:t>
      </w:r>
      <m:oMath>
        <m:r>
          <m:t>ι</m:t>
        </m:r>
        <m:d>
          <m:dPr>
            <m:begChr m:val="("/>
            <m:sepChr m:val=""/>
            <m:endChr m:val=")"/>
            <m:grow/>
          </m:dPr>
          <m:e>
            <m:r>
              <m:t>a</m:t>
            </m:r>
          </m:e>
        </m:d>
      </m:oMath>
      <w:r>
        <w:t xml:space="preserve">.</w:t>
      </w:r>
    </w:p>
    <w:p>
      <w:pPr>
        <w:pStyle w:val="Compact"/>
        <w:numPr>
          <w:ilvl w:val="0"/>
          <w:numId w:val="1003"/>
        </w:numPr>
      </w:pPr>
      <w:r>
        <w:t xml:space="preserve">If C3 reaches the subject fields and</w:t>
      </w:r>
      <w:r>
        <w:t xml:space="preserve"> </w:t>
      </w:r>
      <m:oMath>
        <m:sSup>
          <m:e>
            <m:r>
              <m:t>t</m:t>
            </m:r>
          </m:e>
          <m:sup>
            <m:r>
              <m:t>I</m:t>
            </m:r>
          </m:sup>
        </m:sSup>
        <m:d>
          <m:dPr>
            <m:begChr m:val="("/>
            <m:sepChr m:val=""/>
            <m:endChr m:val=")"/>
            <m:grow/>
          </m:dPr>
          <m:e>
            <m:r>
              <m:t>a</m:t>
            </m:r>
          </m:e>
        </m:d>
        <m:r>
          <m:rPr>
            <m:sty m:val="p"/>
          </m:rPr>
          <m:t>&lt;</m:t>
        </m:r>
        <m:sSub>
          <m:e>
            <m:r>
              <m:t>t</m:t>
            </m:r>
          </m:e>
          <m:sub>
            <m:r>
              <m:t>π</m:t>
            </m:r>
          </m:sub>
        </m:sSub>
        <m:d>
          <m:dPr>
            <m:begChr m:val="("/>
            <m:sepChr m:val=""/>
            <m:end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sepChr m:val=""/>
            <m:endChr m:val=")"/>
            <m:grow/>
          </m:dPr>
          <m:e>
            <m:r>
              <m:t>a</m:t>
            </m:r>
          </m:e>
        </m:d>
      </m:oMath>
      <w:r>
        <w:t xml:space="preserve"> </w:t>
      </w:r>
      <w:r>
        <w:t xml:space="preserve">at</w:t>
      </w:r>
      <w:r>
        <w:t xml:space="preserve"> </w:t>
      </w:r>
      <m:oMath>
        <m:sSub>
          <m:e>
            <m:r>
              <m:t>t</m:t>
            </m:r>
          </m:e>
          <m:sub>
            <m:r>
              <m:t>π</m:t>
            </m:r>
          </m:sub>
        </m:sSub>
        <m:d>
          <m:dPr>
            <m:begChr m:val="("/>
            <m:sepChr m:val=""/>
            <m:endChr m:val=")"/>
            <m:grow/>
          </m:dPr>
          <m:e>
            <m:r>
              <m:t>a</m:t>
            </m:r>
          </m:e>
        </m:d>
        <m:r>
          <m:rPr>
            <m:sty m:val="p"/>
          </m:rPr>
          <m:t>+</m:t>
        </m:r>
        <m:r>
          <m:t>6</m:t>
        </m:r>
      </m:oMath>
      <w:r>
        <w:t xml:space="preserve">, set</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sepChr m:val=""/>
            <m:end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r</m:t>
            </m:r>
          </m:sub>
        </m:sSub>
        <m:d>
          <m:dPr>
            <m:begChr m:val="("/>
            <m:sepChr m:val=""/>
            <m:endChr m:val=")"/>
            <m:grow/>
          </m:dPr>
          <m:e>
            <m:r>
              <m:t>a</m:t>
            </m:r>
          </m:e>
        </m:d>
        <m:r>
          <m:rPr>
            <m:sty m:val="p"/>
          </m:rPr>
          <m:t>+</m:t>
        </m:r>
        <m:r>
          <m:t>δ</m:t>
        </m:r>
      </m:oMath>
      <w:r>
        <w:t xml:space="preserve"> </w:t>
      </w:r>
      <w:r>
        <w:t xml:space="preserve">by construction, and by steps 2–3,</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sepChr m:val=""/>
            <m:endChr m:val=")"/>
            <m:grow/>
          </m:dPr>
          <m:e>
            <m:r>
              <m:t>a</m:t>
            </m:r>
          </m:e>
        </m:d>
      </m:oMath>
      <w:r>
        <w:t xml:space="preserve">, hence for all</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 If</w:t>
      </w:r>
      <w:r>
        <w:t xml:space="preserve"> </w:t>
      </w:r>
      <m:oMath>
        <m:sSub>
          <m:e>
            <m:r>
              <m:t>t</m:t>
            </m:r>
          </m:e>
          <m:sub>
            <m:r>
              <m:t>r</m:t>
            </m:r>
          </m:sub>
        </m:sSub>
        <m:d>
          <m:dPr>
            <m:begChr m:val="("/>
            <m:sepChr m:val=""/>
            <m:end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sepChr m:val=""/>
            <m:endChr m:val=")"/>
            <m:grow/>
          </m:dPr>
          <m:e>
            <m:r>
              <m:t>a</m:t>
            </m:r>
          </m:e>
        </m:d>
      </m:oMath>
      <w:r>
        <w:t xml:space="preserve"> </w:t>
      </w:r>
      <w:r>
        <w:t xml:space="preserve">= secondary and</w:t>
      </w:r>
      <w:r>
        <w:t xml:space="preserve"> </w:t>
      </w:r>
      <m:oMath>
        <m:sSub>
          <m:e>
            <m:r>
              <m:t>t</m:t>
            </m:r>
          </m:e>
          <m:sub>
            <m:r>
              <m:t>π</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π</m:t>
            </m:r>
          </m:sub>
        </m:sSub>
        <m:d>
          <m:dPr>
            <m:begChr m:val="("/>
            <m:sepChr m:val=""/>
            <m:endChr m:val=")"/>
            <m:grow/>
          </m:dPr>
          <m:e>
            <m:r>
              <m:t>a</m:t>
            </m:r>
          </m:e>
        </m:d>
        <m:r>
          <m:rPr>
            <m:sty m:val="p"/>
          </m:rPr>
          <m:t>+</m:t>
        </m:r>
        <m:r>
          <m:t>6</m:t>
        </m:r>
      </m:oMath>
      <w:r>
        <w:t xml:space="preserve">, and by the same steps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sepChr m:val=""/>
            <m:end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sepChr m:val=""/>
            <m:end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sepChr m:val=""/>
            <m:endChr m:val=")"/>
            <m:grow/>
          </m:dPr>
          <m:e>
            <m:r>
              <m:t>a</m:t>
            </m:r>
          </m:e>
        </m:d>
      </m:oMath>
      <w:r>
        <w:t xml:space="preserve">, and the only removal of</w:t>
      </w:r>
      <w:r>
        <w:t xml:space="preserve"> </w:t>
      </w:r>
      <m:oMath>
        <m:sSub>
          <m:e>
            <m:r>
              <m:t>m</m:t>
            </m:r>
          </m:e>
          <m:sub>
            <m:r>
              <m:t>s</m:t>
            </m:r>
            <m:r>
              <m:t>u</m:t>
            </m:r>
            <m:r>
              <m:t>b</m:t>
            </m:r>
            <m:r>
              <m:t>j</m:t>
            </m:r>
          </m:sub>
        </m:sSub>
        <m:d>
          <m:dPr>
            <m:begChr m:val="("/>
            <m:sepChr m:val=""/>
            <m:endChr m:val=")"/>
            <m:grow/>
          </m:dPr>
          <m:e>
            <m:r>
              <m:t>a</m:t>
            </m:r>
          </m:e>
        </m:d>
      </m:oMath>
      <w:r>
        <w:t xml:space="preserve"> </w:t>
      </w:r>
      <w:r>
        <w:t xml:space="preserve">is recorded in</w:t>
      </w:r>
      <w:r>
        <w:t xml:space="preserve"> </w:t>
      </w:r>
      <m:oMath>
        <m:r>
          <m:t>ι</m:t>
        </m:r>
        <m:d>
          <m:dPr>
            <m:begChr m:val="("/>
            <m:sepChr m:val=""/>
            <m:endChr m:val=")"/>
            <m:grow/>
          </m:dPr>
          <m:e>
            <m:r>
              <m:t>a</m:t>
            </m:r>
          </m:e>
        </m:d>
      </m:oMath>
      <w:r>
        <w:t xml:space="preserve">. Condition (ii) holds because no step removes</w:t>
      </w:r>
      <w:r>
        <w:t xml:space="preserve"> </w:t>
      </w:r>
      <m:oMath>
        <m:r>
          <m:t>c</m:t>
        </m:r>
        <m:d>
          <m:dPr>
            <m:begChr m:val="("/>
            <m:sepChr m:val=""/>
            <m:endChr m:val=")"/>
            <m:grow/>
          </m:dPr>
          <m:e>
            <m:r>
              <m:t>a</m:t>
            </m:r>
          </m:e>
        </m:d>
      </m:oMath>
      <w:r>
        <w:t xml:space="preserve">; the commitment is not derived from</w:t>
      </w:r>
      <w:r>
        <w:t xml:space="preserve"> </w:t>
      </w:r>
      <m:oMath>
        <m:r>
          <m:t>k</m:t>
        </m:r>
        <m:d>
          <m:dPr>
            <m:begChr m:val="("/>
            <m:sepChr m:val=""/>
            <m:endChr m:val=")"/>
            <m:grow/>
          </m:dPr>
          <m:e>
            <m:r>
              <m:t>a</m:t>
            </m:r>
          </m:e>
        </m:d>
      </m:oMath>
      <w:r>
        <w:t xml:space="preserve"> </w:t>
      </w:r>
      <w:r>
        <w:t xml:space="preserve">and its persistence is unaffected by key destruction. For condition (iii): if</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sepChr m:val=""/>
            <m:endChr m:val=")"/>
            <m:grow/>
          </m:dPr>
          <m:e>
            <m:r>
              <m:t>a</m:t>
            </m:r>
          </m:e>
        </m:d>
      </m:oMath>
      <w:r>
        <w:t xml:space="preserve">, and step 2 has placed</w:t>
      </w:r>
      <w:r>
        <w:t xml:space="preserve"> </w:t>
      </w:r>
      <m:oMath>
        <m:r>
          <m:t>ι</m:t>
        </m:r>
        <m:d>
          <m:dPr>
            <m:begChr m:val="("/>
            <m:sepChr m:val=""/>
            <m:endChr m:val=")"/>
            <m:grow/>
          </m:dPr>
          <m:e>
            <m:r>
              <m:t>a</m:t>
            </m:r>
          </m:e>
        </m:d>
      </m:oMath>
      <w:r>
        <w:t xml:space="preserve"> </w:t>
      </w:r>
      <w:r>
        <w:t xml:space="preserve">in the audit trail, where step 3 retains it, and</w:t>
      </w:r>
      <w:r>
        <w:t xml:space="preserve"> </w:t>
      </w:r>
      <m:oMath>
        <m:r>
          <m:t>ι</m:t>
        </m:r>
        <m:d>
          <m:dPr>
            <m:begChr m:val="("/>
            <m:sepChr m:val=""/>
            <m:endChr m:val=")"/>
            <m:grow/>
          </m:dPr>
          <m:e>
            <m:r>
              <m:t>a</m:t>
            </m:r>
          </m:e>
        </m:d>
      </m:oMath>
      <w:r>
        <w:t xml:space="preserve"> </w:t>
      </w:r>
      <w:r>
        <w:t xml:space="preserve">is covered by (i). Hence</w:t>
      </w:r>
      <w:r>
        <w:t xml:space="preserve"> </w:t>
      </w:r>
      <m:oMath>
        <m:sSup>
          <m:e>
            <m:r>
              <m:t>V</m:t>
            </m:r>
          </m:e>
          <m:sup>
            <m:r>
              <m:t>I</m:t>
            </m:r>
            <m:r>
              <m:t>I</m:t>
            </m:r>
          </m:sup>
        </m:sSup>
        <m:d>
          <m:dPr>
            <m:begChr m:val="("/>
            <m:sepChr m:val=""/>
            <m:endChr m:val=")"/>
            <m:grow/>
          </m:dPr>
          <m:e>
            <m:r>
              <m:t>a</m:t>
            </m:r>
            <m:r>
              <m:rPr>
                <m:sty m:val="p"/>
              </m:rPr>
              <m:t>,</m:t>
            </m:r>
            <m:r>
              <m:t>t</m:t>
            </m:r>
          </m:e>
        </m:d>
        <m:r>
          <m:rPr>
            <m:sty m:val="p"/>
          </m:rPr>
          <m:t>=</m:t>
        </m:r>
        <m:r>
          <m:t>1</m:t>
        </m:r>
      </m:oMath>
      <w:r>
        <w:t xml:space="preserve"> </w:t>
      </w:r>
      <w:r>
        <w:t xml:space="preserve">throughout the window. The terminal transition of </w:t>
      </w:r>
      <w:hyperlink w:anchor="sec_4_8" w:history="1">
        <w:r>
          <w:rPr>
            <w:rStyle w:val="Hyperlink"/>
          </w:rPr>
          <w:t xml:space="preserve">Section 4.8</w:t>
        </w:r>
      </w:hyperlink>
      <w:r>
        <w:t xml:space="preserve">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sepChr m:val=""/>
            <m:end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sepChr m:val=""/>
            <m:end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Corollary 2.3 (sensitivity to what auditing needs).</w:t>
      </w:r>
      <w:r>
        <w:t xml:space="preserve"> </w:t>
      </w:r>
      <w:r>
        <w:t xml:space="preserve">Extend the model with one accessibility variable per part of the payload, which the single-variable model of </w:t>
      </w:r>
      <w:hyperlink w:anchor="sec_4_3" w:history="1">
        <w:r>
          <w:rPr>
            <w:rStyle w:val="Hyperlink"/>
          </w:rPr>
          <w:t xml:space="preserve">Section 4.3</w:t>
        </w:r>
      </w:hyperlink>
      <w:r>
        <w:t xml:space="preserve"> cannot express, and partition the payload as</w:t>
      </w:r>
      <w:r>
        <w:t xml:space="preserve"> </w:t>
      </w:r>
      <m:oMath>
        <m:r>
          <m:t>p</m:t>
        </m:r>
        <m:d>
          <m:dPr>
            <m:begChr m:val="("/>
            <m:sepChr m:val=""/>
            <m:endChr m:val=")"/>
            <m:grow/>
          </m:dPr>
          <m:e>
            <m:r>
              <m:t>a</m:t>
            </m:r>
          </m:e>
        </m:d>
        <m:r>
          <m:rPr>
            <m:sty m:val="p"/>
          </m:rPr>
          <m:t>=</m:t>
        </m:r>
        <m:sSub>
          <m:e>
            <m:r>
              <m:t>p</m:t>
            </m:r>
          </m:e>
          <m:sub>
            <m:r>
              <m:t>n</m:t>
            </m:r>
          </m:sub>
        </m:sSub>
        <m:d>
          <m:dPr>
            <m:begChr m:val="("/>
            <m:sepChr m:val=""/>
            <m:endChr m:val=")"/>
            <m:grow/>
          </m:dPr>
          <m:e>
            <m:r>
              <m:t>a</m:t>
            </m:r>
          </m:e>
        </m:d>
        <m:r>
          <m:rPr>
            <m:sty m:val="p"/>
          </m:rPr>
          <m:t>∪</m:t>
        </m:r>
        <m:sSub>
          <m:e>
            <m:r>
              <m:t>p</m:t>
            </m:r>
          </m:e>
          <m:sub>
            <m:r>
              <m:t>r</m:t>
            </m:r>
          </m:sub>
        </m:sSub>
        <m:d>
          <m:dPr>
            <m:begChr m:val="("/>
            <m:sepChr m:val=""/>
            <m:endChr m:val=")"/>
            <m:grow/>
          </m:dPr>
          <m:e>
            <m:r>
              <m:t>a</m:t>
            </m:r>
          </m:e>
        </m:d>
      </m:oMath>
      <w:r>
        <w:t xml:space="preserve">, where</w:t>
      </w:r>
      <w:r>
        <w:t xml:space="preserve"> </w:t>
      </w:r>
      <m:oMath>
        <m:sSub>
          <m:e>
            <m:r>
              <m:t>p</m:t>
            </m:r>
          </m:e>
          <m:sub>
            <m:r>
              <m:t>n</m:t>
            </m:r>
          </m:sub>
        </m:sSub>
        <m:d>
          <m:dPr>
            <m:begChr m:val="("/>
            <m:sepChr m:val=""/>
            <m:endChr m:val=")"/>
            <m:grow/>
          </m:dPr>
          <m:e>
            <m:r>
              <m:t>a</m:t>
            </m:r>
          </m:e>
        </m:d>
      </m:oMath>
      <w:r>
        <w:t xml:space="preserve"> </w:t>
      </w:r>
      <w:r>
        <w:t xml:space="preserve">is any part that auditing turns out to need, and retain</w:t>
      </w:r>
      <w:r>
        <w:t xml:space="preserve"> </w:t>
      </w:r>
      <m:oMath>
        <m:sSub>
          <m:e>
            <m:r>
              <m:t>p</m:t>
            </m:r>
          </m:e>
          <m:sub>
            <m:r>
              <m:t>n</m:t>
            </m:r>
          </m:sub>
        </m:sSub>
        <m:d>
          <m:dPr>
            <m:begChr m:val="("/>
            <m:sepChr m:val=""/>
            <m:endChr m:val=")"/>
            <m:grow/>
          </m:dPr>
          <m:e>
            <m:r>
              <m:t>a</m:t>
            </m:r>
          </m:e>
        </m:d>
      </m:oMath>
      <w:r>
        <w:t xml:space="preserve"> </w:t>
      </w:r>
      <w:r>
        <w:t xml:space="preserve">with the accessor fields. The trajectory of Proposition 2, with</w:t>
      </w:r>
      <w:r>
        <w:t xml:space="preserve"> </w:t>
      </w:r>
      <m:oMath>
        <m:sSub>
          <m:e>
            <m:r>
              <m:t>p</m:t>
            </m:r>
          </m:e>
          <m:sub>
            <m:r>
              <m:t>r</m:t>
            </m:r>
          </m:sub>
        </m:sSub>
        <m:d>
          <m:dPr>
            <m:begChr m:val="("/>
            <m:sepChr m:val=""/>
            <m:endChr m:val=")"/>
            <m:grow/>
          </m:dPr>
          <m:e>
            <m:r>
              <m:t>a</m:t>
            </m:r>
          </m:e>
        </m:d>
      </m:oMath>
      <w:r>
        <w:t xml:space="preserve"> </w:t>
      </w:r>
      <w:r>
        <w:t xml:space="preserve">in place of</w:t>
      </w:r>
      <w:r>
        <w:t xml:space="preserve"> </w:t>
      </w:r>
      <m:oMath>
        <m:r>
          <m:t>p</m:t>
        </m:r>
        <m:d>
          <m:dPr>
            <m:begChr m:val="("/>
            <m:sepChr m:val=""/>
            <m:endChr m:val=")"/>
            <m:grow/>
          </m:dPr>
          <m:e>
            <m:r>
              <m:t>a</m:t>
            </m:r>
          </m:e>
        </m:d>
      </m:oMath>
      <w:r>
        <w:t xml:space="preserve">, satisfies C1 and C2, and it satisfies C3 unless</w:t>
      </w:r>
      <w:r>
        <w:t xml:space="preserve"> </w:t>
      </w:r>
      <m:oMath>
        <m:sSub>
          <m:e>
            <m:r>
              <m:t>p</m:t>
            </m:r>
          </m:e>
          <m:sub>
            <m:r>
              <m:t>n</m:t>
            </m:r>
          </m:sub>
        </m:sSub>
        <m:d>
          <m:dPr>
            <m:begChr m:val="("/>
            <m:sepChr m:val=""/>
            <m:endChr m:val=")"/>
            <m:grow/>
          </m:dPr>
          <m:e>
            <m:r>
              <m:t>a</m:t>
            </m:r>
          </m:e>
        </m:d>
      </m:oMath>
      <w:r>
        <w:t xml:space="preserve"> </w:t>
      </w:r>
      <w:r>
        <w:t xml:space="preserve">is itself electronic health data within the environment on the broad reading of Article 68(12). In that case C1 and C3 collide over</w:t>
      </w:r>
      <w:r>
        <w:t xml:space="preserve"> </w:t>
      </w:r>
      <m:oMath>
        <m:sSub>
          <m:e>
            <m:r>
              <m:t>p</m:t>
            </m:r>
          </m:e>
          <m:sub>
            <m:r>
              <m:t>n</m:t>
            </m:r>
          </m:sub>
        </m:sSub>
        <m:d>
          <m:dPr>
            <m:begChr m:val="("/>
            <m:sepChr m:val=""/>
            <m:endChr m:val=")"/>
            <m:grow/>
          </m:dPr>
          <m:e>
            <m:r>
              <m:t>a</m:t>
            </m:r>
          </m:e>
        </m:d>
      </m:oMath>
      <w:r>
        <w:t xml:space="preserve">, by the argument of Proposition 3, for exactly the records it identifies under case (ii). The collision follows from keeping</w:t>
      </w:r>
      <w:r>
        <w:t xml:space="preserve"> </w:t>
      </w:r>
      <m:oMath>
        <m:sSub>
          <m:e>
            <m:r>
              <m:t>p</m:t>
            </m:r>
          </m:e>
          <m:sub>
            <m:r>
              <m:t>n</m:t>
            </m:r>
          </m:sub>
        </m:sSub>
        <m:d>
          <m:dPr>
            <m:begChr m:val="("/>
            <m:sepChr m:val=""/>
            <m:endChr m:val=")"/>
            <m:grow/>
          </m:dPr>
          <m:e>
            <m:r>
              <m:t>a</m:t>
            </m:r>
          </m:e>
        </m:d>
      </m:oMath>
      <w:r>
        <w:t xml:space="preserve"> </w:t>
      </w:r>
      <w:r>
        <w:t xml:space="preserve">intact under condition (i) without the logged-removal exception that the subject fields have. Relocation (</w:t>
      </w:r>
      <w:hyperlink w:anchor="sec_4_10" w:history="1">
        <w:r>
          <w:rPr>
            <w:rStyle w:val="Hyperlink"/>
          </w:rPr>
          <w:t xml:space="preserve">Section 4.10</w:t>
        </w:r>
      </w:hyperlink>
      <w:r>
        <w:t xml:space="preserve">, Rival 6) is the exit this thesis identifies; logging at dataset granularity, the narrow reading, or anonymising</w:t>
      </w:r>
      <w:r>
        <w:t xml:space="preserve"> </w:t>
      </w:r>
      <m:oMath>
        <m:sSub>
          <m:e>
            <m:r>
              <m:t>p</m:t>
            </m:r>
          </m:e>
          <m:sub>
            <m:r>
              <m:t>n</m:t>
            </m:r>
          </m:sub>
        </m:sSub>
        <m:d>
          <m:dPr>
            <m:begChr m:val="("/>
            <m:sepChr m:val=""/>
            <m:endChr m:val=")"/>
            <m:grow/>
          </m:dPr>
          <m:e>
            <m:r>
              <m:t>a</m:t>
            </m:r>
          </m:e>
        </m:d>
      </m:oMath>
      <w:r>
        <w:t xml:space="preserve"> </w:t>
      </w:r>
      <w:r>
        <w:t xml:space="preserve">are others.</w:t>
      </w:r>
    </w:p>
    <w:p>
      <w:pPr>
        <w:pStyle w:val="BodyText"/>
      </w:pPr>
      <w:r>
        <w:rPr>
          <w:iCs/>
          <w:i/>
        </w:rPr>
        <w:t xml:space="preserve">Proof sketch.</w:t>
      </w:r>
      <w:r>
        <w:t xml:space="preserve"> </w:t>
      </w:r>
      <w:r>
        <w:t xml:space="preserve">Replace</w:t>
      </w:r>
      <w:r>
        <w:t xml:space="preserve"> </w:t>
      </w:r>
      <m:oMath>
        <m:r>
          <m:t>p</m:t>
        </m:r>
      </m:oMath>
      <w:r>
        <w:t xml:space="preserve"> </w:t>
      </w:r>
      <w:r>
        <w:t xml:space="preserve">by</w:t>
      </w:r>
      <w:r>
        <w:t xml:space="preserve"> </w:t>
      </w:r>
      <m:oMath>
        <m:sSub>
          <m:e>
            <m:r>
              <m:t>p</m:t>
            </m:r>
          </m:e>
          <m:sub>
            <m:r>
              <m:t>r</m:t>
            </m:r>
          </m:sub>
        </m:sSub>
      </m:oMath>
      <w:r>
        <w:t xml:space="preserve"> </w:t>
      </w:r>
      <w:r>
        <w:t xml:space="preserve">in steps 1–4 and add</w:t>
      </w:r>
      <w:r>
        <w:t xml:space="preserve"> </w:t>
      </w:r>
      <m:oMath>
        <m:sSub>
          <m:e>
            <m:r>
              <m:t>p</m:t>
            </m:r>
          </m:e>
          <m:sub>
            <m:r>
              <m:t>n</m:t>
            </m:r>
          </m:sub>
        </m:sSub>
      </m:oMath>
      <w:r>
        <w:t xml:space="preserve"> </w:t>
      </w:r>
      <w:r>
        <w:t xml:space="preserve">to the fields that condition (i) of Semantics II keeps intact. C1 holds as before. C2 holds for</w:t>
      </w:r>
      <w:r>
        <w:t xml:space="preserve"> </w:t>
      </w:r>
      <m:oMath>
        <m:sSub>
          <m:e>
            <m:r>
              <m:t>p</m:t>
            </m:r>
          </m:e>
          <m:sub>
            <m:r>
              <m:t>r</m:t>
            </m:r>
          </m:sub>
        </m:sSub>
      </m:oMath>
      <w:r>
        <w:t xml:space="preserve"> </w:t>
      </w:r>
      <w:r>
        <w:t xml:space="preserve">as before, and for</w:t>
      </w:r>
      <w:r>
        <w:t xml:space="preserve"> </w:t>
      </w:r>
      <m:oMath>
        <m:sSub>
          <m:e>
            <m:r>
              <m:t>p</m:t>
            </m:r>
          </m:e>
          <m:sub>
            <m:r>
              <m:t>n</m:t>
            </m:r>
          </m:sub>
        </m:sSub>
      </m:oMath>
      <w:r>
        <w:t xml:space="preserve"> </w:t>
      </w:r>
      <w:r>
        <w:t xml:space="preserve">through Article 17(3)(b), which applies because</w:t>
      </w:r>
      <w:r>
        <w:t xml:space="preserve"> </w:t>
      </w:r>
      <m:oMath>
        <m:sSub>
          <m:e>
            <m:r>
              <m:t>p</m:t>
            </m:r>
          </m:e>
          <m:sub>
            <m:r>
              <m:t>n</m:t>
            </m:r>
          </m:sub>
        </m:sSub>
      </m:oMath>
      <w:r>
        <w:t xml:space="preserve"> </w:t>
      </w:r>
      <w:r>
        <w:t xml:space="preserve">is by assumption necessary. C3 constrains whatever is electronic health data within the environment: if</w:t>
      </w:r>
      <w:r>
        <w:t xml:space="preserve"> </w:t>
      </w:r>
      <m:oMath>
        <m:sSub>
          <m:e>
            <m:r>
              <m:t>p</m:t>
            </m:r>
          </m:e>
          <m:sub>
            <m:r>
              <m:t>n</m:t>
            </m:r>
          </m:sub>
        </m:sSub>
      </m:oMath>
      <w:r>
        <w:t xml:space="preserve"> </w:t>
      </w:r>
      <w:r>
        <w:t xml:space="preserve">is not, C3 is met as before; if it is, C3 requires it gone from</w:t>
      </w:r>
      <w:r>
        <w:t xml:space="preserve"> </w:t>
      </w:r>
      <m:oMath>
        <m:sSub>
          <m:e>
            <m:r>
              <m:t>t</m:t>
            </m:r>
          </m:e>
          <m:sub>
            <m:r>
              <m:t>π</m:t>
            </m:r>
          </m:sub>
        </m:sSub>
        <m:d>
          <m:dPr>
            <m:begChr m:val="("/>
            <m:sepChr m:val=""/>
            <m:endChr m:val=")"/>
            <m:grow/>
          </m:dPr>
          <m:e>
            <m:r>
              <m:t>a</m:t>
            </m:r>
          </m:e>
        </m:d>
        <m:r>
          <m:rPr>
            <m:sty m:val="p"/>
          </m:rPr>
          <m:t>+</m:t>
        </m:r>
        <m:r>
          <m:t>6</m:t>
        </m:r>
      </m:oMath>
      <w:r>
        <w:t xml:space="preserve"> </w:t>
      </w:r>
      <w:r>
        <w:t xml:space="preserve">while C1 requires it until</w:t>
      </w:r>
      <w:r>
        <w:t xml:space="preserve"> </w:t>
      </w:r>
      <m:oMath>
        <m:r>
          <m:t>t</m:t>
        </m:r>
        <m:d>
          <m:dPr>
            <m:begChr m:val="("/>
            <m:sepChr m:val=""/>
            <m:endChr m:val=")"/>
            <m:grow/>
          </m:dPr>
          <m:e>
            <m:r>
              <m:t>a</m:t>
            </m:r>
          </m:e>
        </m:d>
        <m:r>
          <m:rPr>
            <m:sty m:val="p"/>
          </m:rPr>
          <m:t>+</m:t>
        </m:r>
        <m:r>
          <m:t>F</m:t>
        </m:r>
        <m:d>
          <m:dPr>
            <m:begChr m:val="("/>
            <m:sepChr m:val=""/>
            <m:endChr m:val=")"/>
            <m:grow/>
          </m:dPr>
          <m:e>
            <m:r>
              <m:t>a</m:t>
            </m:r>
          </m:e>
        </m:d>
      </m:oMath>
      <w:r>
        <w:t xml:space="preserve">, and the argument of Proposition 3 gives the records for which these overlap. ∎</w:t>
      </w:r>
    </w:p>
    <w:p>
      <w:pPr>
        <w:pStyle w:val="BodyText"/>
      </w:pPr>
      <w:r>
        <w:t xml:space="preserve">Feasibility therefore survives any enlargement of what auditing needs, except an enlargement into data concerning health inside a Secure Processing Environment, where it fails as Corollary 1.2 does and has the same exits.</w:t>
      </w:r>
    </w:p>
    <w:p>
      <w:pPr>
        <w:pStyle w:val="BodyText"/>
      </w:pPr>
      <w:r>
        <w:rPr>
          <w:iCs/>
          <w:i/>
        </w:rPr>
        <w:t xml:space="preserve">A note on what kind of result this is.</w:t>
      </w:r>
      <w:r>
        <w:t xml:space="preserve"> </w:t>
      </w:r>
      <w:r>
        <w:t xml:space="preserve">The results of this chapter are stated as propositions rather than theorems, because their proofs are short once the semantics are fixed. The weight of the argument lies elsewhere: in </w:t>
      </w:r>
      <w:hyperlink w:anchor="sec_4_2" w:history="1">
        <w:r>
          <w:rPr>
            <w:rStyle w:val="Hyperlink"/>
          </w:rPr>
          <w:t xml:space="preserve">Section 4.2</w:t>
        </w:r>
      </w:hyperlink>
      <w:r>
        <w:t xml:space="preserve">’s necessity analysis, which justifies Semantics II, and in Propositions 3 and 4, which say where the conflict arises and where cryptography is necessary. One objection is that Proposition 2 proves little, because Semantics II was defined in full knowledge of the trajectory that satisfies it. The objection has force. The response concedes its premise and denies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plaintext verifiability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plaintext verifiability admits no solution at all. Proposition 2 then shows that a principled and minimal departure suffices. The legal defensibility of Semantics II is argued in </w:t>
      </w:r>
      <w:hyperlink w:anchor="sec_4_2" w:history="1">
        <w:r>
          <w:rPr>
            <w:rStyle w:val="Hyperlink"/>
          </w:rPr>
          <w:t xml:space="preserve">Section 4.2</w:t>
        </w:r>
      </w:hyperlink>
      <w:r>
        <w:t xml:space="preserve"> and its want of authority is confronted in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w:t>
      </w:r>
      <w:hyperlink w:anchor="sec_4_9" w:history="1">
        <w:r>
          <w:rPr>
            <w:rStyle w:val="Hyperlink"/>
          </w:rPr>
          <w:t xml:space="preserve">Section 4.9</w:t>
        </w:r>
      </w:hyperlink>
      <w:r>
        <w:t xml:space="preserve"> addresses) nor that key destruction can be verified by an external party, which </w:t>
      </w:r>
      <w:hyperlink w:anchor="sec_4_9" w:history="1">
        <w:r>
          <w:rPr>
            <w:rStyle w:val="Hyperlink"/>
          </w:rPr>
          <w:t xml:space="preserve">Section 4.9</w:t>
        </w:r>
      </w:hyperlink>
      <w:r>
        <w:t xml:space="preserve"> and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concede it cannot. The invalidation entry specified in </w:t>
      </w:r>
      <w:hyperlink w:anchor="sec_4_8" w:history="1">
        <w:r>
          <w:rPr>
            <w:rStyle w:val="Hyperlink"/>
          </w:rPr>
          <w:t xml:space="preserve">Section 4.8</w:t>
        </w:r>
      </w:hyperlink>
      <w:r>
        <w:t xml:space="preserve">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mark that boundary, and </w:t>
      </w:r>
      <w:hyperlink w:anchor="ch_6" w:history="1">
        <w:r>
          <w:rPr>
            <w:rStyle w:val="Hyperlink"/>
          </w:rPr>
          <w:t xml:space="preserve">Chapter 6</w:t>
        </w:r>
      </w:hyperlink>
      <w:r>
        <w:t xml:space="preserve"> treats it as the outer limit of the contribution. Proposition 2 is a mathematical result about a model, and its value is that it converts a question that has been debated qualitatively into one with a definite answer under stated assumptions.</w:t>
      </w:r>
    </w:p>
    <w:bookmarkEnd w:id="67"/>
    <w:bookmarkStart w:id="71" w:name="Xbab0c38be3b68c0190d99bdc4068769bc35fcf9"/>
    <w:p>
      <w:pPr>
        <w:pStyle w:val="Heading2"/>
      </w:pPr>
      <w:bookmarkStart w:id="1052" w:name="sec_4_8"/>
      <w:r>
        <w:t xml:space="preserve">4.8 The Mechanism: Crypto-Erasure by Invalidation</w:t>
      </w:r>
      <w:bookmarkEnd w:id="1052"/>
    </w:p>
    <w:p>
      <w:pPr>
        <w:pStyle w:val="FirstParagraph"/>
      </w:pPr>
      <w:r>
        <w:t xml:space="preserve">The proof of Proposition 2 is also a build sheet: the trajectory it constructs is the specification of the mechanism. This section states it as an implementable design: what is encrypted, what is committed, what is destroyed, and what is logged when it is. Figure 4.1 shows the whole of it on one page.</w:t>
      </w:r>
    </w:p>
    <w:p>
      <w:pPr>
        <w:pStyle w:val="CaptionedFigure"/>
      </w:pPr>
      <w:r>
        <w:drawing>
          <wp:inline>
            <wp:extent cx="5753100" cy="3410821"/>
            <wp:effectExtent b="0" l="0" r="0" t="0"/>
            <wp:docPr descr="Figure 4.1. Crypto-Erasure by Invalidation at the audit boundary. Green arrows are writes at access time; purple dashed arrows are the two triggers; red dashed arrows are the destruction at the earlier of the erasure deadline and the deletion ceiling, which the invalidation entry then records in the registry and the log. The subject fields are removed only for patient-level Secure Processing Environment logs, at the ceiling. The Merkle log holds accessor fields, commitments and invalidation entries, never the payload or the subject fields." title="" id="69" name="Picture"/>
            <a:graphic>
              <a:graphicData uri="http://schemas.openxmlformats.org/drawingml/2006/picture">
                <pic:pic>
                  <pic:nvPicPr>
                    <pic:cNvPr descr="figures/fig4_1_cei_mechanism.png" id="70" name="Picture"/>
                    <pic:cNvPicPr>
                      <a:picLocks noChangeArrowheads="1" noChangeAspect="1"/>
                    </pic:cNvPicPr>
                  </pic:nvPicPr>
                  <pic:blipFill>
                    <a:blip r:embed="rId68"/>
                    <a:stretch>
                      <a:fillRect/>
                    </a:stretch>
                  </pic:blipFill>
                  <pic:spPr bwMode="auto">
                    <a:xfrm>
                      <a:off x="0" y="0"/>
                      <a:ext cx="5753100" cy="3410821"/>
                    </a:xfrm>
                    <a:prstGeom prst="rect">
                      <a:avLst/>
                    </a:prstGeom>
                    <a:noFill/>
                    <a:ln w="9525">
                      <a:noFill/>
                      <a:headEnd/>
                      <a:tailEnd/>
                    </a:ln>
                  </pic:spPr>
                </pic:pic>
              </a:graphicData>
            </a:graphic>
          </wp:inline>
        </w:drawing>
      </w:r>
    </w:p>
    <w:p>
      <w:pPr>
        <w:pStyle w:val="ImageCaption"/>
      </w:pPr>
      <w:r>
        <w:t xml:space="preserve">Figure 4.1. Crypto-Erasure by Invalidation at the audit boundary. Green arrows are writes at access time; purple dashed arrows are the two triggers; red dashed arrows are the destruction at the earlier of the erasure deadline and the deletion ceiling, which the invalidation entry then records in the registry and the log. The subject fields are removed only for patient-level Secure Processing Environment logs, at the ceiling. The Merkle log holds accessor fields, commitments and invalidation entries, never the payload or the subject fields.</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sepChr m:val=""/>
            <m:end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sepChr m:val=""/>
            <m:endChr m:val=")"/>
            <m:grow/>
          </m:dPr>
          <m:e>
            <m:r>
              <m:t>a</m:t>
            </m:r>
          </m:e>
        </m:d>
      </m:oMath>
      <w:r>
        <w:t xml:space="preserve"> </w:t>
      </w:r>
      <w:r>
        <w:t xml:space="preserve">is effected by destruction of the wrapped data key and any cached copies, within the documented custody boundary. This is the hierarchy that key-management guidance prescribes, in which data keys are protected by key-encrypting keys and destruction means removing</w:t>
      </w:r>
      <w:r>
        <w:t xml:space="preserve"> </w:t>
      </w:r>
      <w:r>
        <w:t xml:space="preserve">“</w:t>
      </w:r>
      <w:r>
        <w:t xml:space="preserve">all traces of a cryptographic key so that it cannot be recovered by either physical or electronic means</w:t>
      </w:r>
      <w:r>
        <w:t xml:space="preserve">”</w:t>
      </w:r>
      <w:r>
        <w:t xml:space="preserve"> </w:t>
      </w:r>
      <w:r>
        <w:t xml:space="preserve">(Barker, 2020, </w:t>
      </w:r>
      <w:hyperlink w:anchor="sec_2_1" w:history="1">
        <w:r>
          <w:rPr>
            <w:rStyle w:val="Hyperlink"/>
          </w:rPr>
          <w:t xml:space="preserve">Section 2.1</w:t>
        </w:r>
      </w:hyperlink>
      <w:r>
        <w:t xml:space="preserve">). The optional module of the artefact executes it: per-record 256-bit data keys under AES in Galois/Counter Mode (Dworkin, 2007), each wrapped under a key-encrypting key and destroyed at the record’s invalidation month (Appendix A, A.15). The custody object stands in for a hardware security module, so destruction there is destruction in program memory.</w:t>
      </w:r>
    </w:p>
    <w:p>
      <w:pPr>
        <w:pStyle w:val="BodyText"/>
      </w:pPr>
      <w:r>
        <w:rPr>
          <w:iCs/>
          <w:i/>
        </w:rPr>
        <w:t xml:space="preserve">Ciphertext.</w:t>
      </w:r>
      <w:r>
        <w:t xml:space="preserve"> </w:t>
      </w:r>
      <w:r>
        <w:t xml:space="preserve">At</w:t>
      </w:r>
      <w:r>
        <w:t xml:space="preserve"> </w:t>
      </w:r>
      <m:oMath>
        <m:sSup>
          <m:e>
            <m:r>
              <m:t>t</m:t>
            </m:r>
          </m:e>
          <m:sup>
            <m:r>
              <m:t>I</m:t>
            </m:r>
          </m:sup>
        </m:sSup>
        <m:d>
          <m:dPr>
            <m:begChr m:val="("/>
            <m:sepChr m:val=""/>
            <m:endChr m:val=")"/>
            <m:grow/>
          </m:dPr>
          <m:e>
            <m:r>
              <m:t>a</m:t>
            </m:r>
          </m:e>
        </m:d>
      </m:oMath>
      <w:r>
        <w:t xml:space="preserve"> </w:t>
      </w:r>
      <w:r>
        <w:t xml:space="preserve">the ciphertext of</w:t>
      </w:r>
      <w:r>
        <w:t xml:space="preserve"> </w:t>
      </w:r>
      <m:oMath>
        <m:r>
          <m:t>p</m:t>
        </m:r>
        <m:d>
          <m:dPr>
            <m:begChr m:val="("/>
            <m:sepChr m:val=""/>
            <m:endChr m:val=")"/>
            <m:grow/>
          </m:dPr>
          <m:e>
            <m:r>
              <m:t>a</m:t>
            </m:r>
          </m:e>
        </m:d>
      </m:oMath>
      <w:r>
        <w:t xml:space="preserve"> </w:t>
      </w:r>
      <w:r>
        <w:t xml:space="preserve">is deleted from the audit store together with</w:t>
      </w:r>
      <w:r>
        <w:t xml:space="preserve"> </w:t>
      </w:r>
      <m:oMath>
        <m:r>
          <m:t>k</m:t>
        </m:r>
        <m:d>
          <m:dPr>
            <m:begChr m:val="("/>
            <m:sepChr m:val=""/>
            <m:end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w:t>
      </w:r>
      <w:hyperlink w:anchor="sec_4_9" w:history="1">
        <w:r>
          <w:rPr>
            <w:rStyle w:val="Hyperlink"/>
          </w:rPr>
          <w:t xml:space="preserve">Section 4.9</w:t>
        </w:r>
      </w:hyperlink>
      <w:r>
        <w:t xml:space="preserve">). Key destruction remains the operative erasure for copies the store cannot delete at once, such as replicas and backups: they become unreadable at</w:t>
      </w:r>
      <w:r>
        <w:t xml:space="preserve"> </w:t>
      </w:r>
      <m:oMath>
        <m:sSup>
          <m:e>
            <m:r>
              <m:t>t</m:t>
            </m:r>
          </m:e>
          <m:sup>
            <m:r>
              <m:t>I</m:t>
            </m:r>
          </m:sup>
        </m:sSup>
        <m:d>
          <m:dPr>
            <m:begChr m:val="("/>
            <m:sepChr m:val=""/>
            <m:end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 p. 43). The same requirement continues: deletion must proceed</w:t>
      </w:r>
      <w:r>
        <w:t xml:space="preserve"> </w:t>
      </w:r>
      <w:r>
        <w:t xml:space="preserve">“</w:t>
      </w:r>
      <w:r>
        <w:t xml:space="preserve">while ensuring compliance with applicable legal obligations and traceability or reproducibility requirements where relevant</w:t>
      </w:r>
      <w:r>
        <w:t xml:space="preserve">”</w:t>
      </w:r>
      <w:r>
        <w:t xml:space="preserve">, and its rationale leaves it to</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The specification asks for the balance and does not say how it is struck; for the logs, this mechanism is one way to strike it.</w:t>
      </w:r>
    </w:p>
    <w:p>
      <w:pPr>
        <w:pStyle w:val="BodyText"/>
      </w:pPr>
      <w:r>
        <w:rPr>
          <w:iCs/>
          <w:i/>
        </w:rPr>
        <w:t xml:space="preserve">Commitment.</w:t>
      </w:r>
      <w:r>
        <w:t xml:space="preserve"> </w:t>
      </w:r>
      <m:oMath>
        <m:r>
          <m:t>c</m:t>
        </m:r>
        <m:d>
          <m:dPr>
            <m:begChr m:val="("/>
            <m:sepChr m:val=""/>
            <m:endChr m:val=")"/>
            <m:grow/>
          </m:dPr>
          <m:e>
            <m:r>
              <m:t>a</m:t>
            </m:r>
          </m:e>
        </m:d>
      </m:oMath>
      <w:r>
        <w:t xml:space="preserve"> </w:t>
      </w:r>
      <w:r>
        <w:t xml:space="preserve">=</w:t>
      </w:r>
      <w:r>
        <w:t xml:space="preserve"> </w:t>
      </w:r>
      <m:oMath>
        <m:r>
          <m:rPr>
            <m:sty m:val="p"/>
          </m:rPr>
          <m:t>C</m:t>
        </m:r>
        <m:r>
          <m:rPr>
            <m:sty m:val="p"/>
          </m:rPr>
          <m:t>o</m:t>
        </m:r>
        <m:r>
          <m:rPr>
            <m:sty m:val="p"/>
          </m:rPr>
          <m:t>m</m:t>
        </m:r>
        <m:r>
          <m:rPr>
            <m:sty m:val="p"/>
          </m:rPr>
          <m:t>m</m:t>
        </m:r>
        <m:r>
          <m:rPr>
            <m:sty m:val="p"/>
          </m:rPr>
          <m:t>i</m:t>
        </m:r>
        <m:r>
          <m:rPr>
            <m:sty m:val="p"/>
          </m:rPr>
          <m:t>t</m:t>
        </m:r>
        <m:d>
          <m:dPr>
            <m:begChr m:val="("/>
            <m:sepChr m:val=""/>
            <m:endChr m:val=")"/>
            <m:grow/>
          </m:dPr>
          <m:e>
            <m:r>
              <m:t>p</m:t>
            </m:r>
            <m:d>
              <m:dPr>
                <m:begChr m:val="("/>
                <m:sepChr m:val=""/>
                <m:endChr m:val=")"/>
                <m:grow/>
              </m:dPr>
              <m:e>
                <m:r>
                  <m:t>a</m:t>
                </m:r>
              </m:e>
            </m:d>
            <m:r>
              <m:rPr>
                <m:sty m:val="p"/>
              </m:rPr>
              <m:t>,</m:t>
            </m:r>
            <m:r>
              <m:t>r</m:t>
            </m:r>
            <m:d>
              <m:dPr>
                <m:begChr m:val="("/>
                <m:sepChr m:val=""/>
                <m:endChr m:val=")"/>
                <m:grow/>
              </m:dPr>
              <m:e>
                <m:r>
                  <m:t>a</m:t>
                </m:r>
              </m:e>
            </m:d>
          </m:e>
        </m:d>
      </m:oMath>
      <w:r>
        <w:t xml:space="preserve"> </w:t>
      </w:r>
      <w:r>
        <w:t xml:space="preserve">with a per-record salt</w:t>
      </w:r>
      <w:r>
        <w:t xml:space="preserve"> </w:t>
      </w:r>
      <m:oMath>
        <m:r>
          <m:t>r</m:t>
        </m:r>
        <m:d>
          <m:dPr>
            <m:begChr m:val="("/>
            <m:sepChr m:val=""/>
            <m:endChr m:val=")"/>
            <m:grow/>
          </m:dPr>
          <m:e>
            <m:r>
              <m:t>a</m:t>
            </m:r>
          </m:e>
        </m:d>
      </m:oMath>
      <w:r>
        <w:t xml:space="preserve">. The salt is stored with the metadata until invalidation and is destroyed together with</w:t>
      </w:r>
      <w:r>
        <w:t xml:space="preserve"> </w:t>
      </w:r>
      <m:oMath>
        <m:r>
          <m:t>k</m:t>
        </m:r>
        <m:d>
          <m:dPr>
            <m:begChr m:val="("/>
            <m:sepChr m:val=""/>
            <m:endChr m:val=")"/>
            <m:grow/>
          </m:dPr>
          <m:e>
            <m:r>
              <m:t>a</m:t>
            </m:r>
          </m:e>
        </m:d>
      </m:oMath>
      <w:r>
        <w:t xml:space="preserve"> </w:t>
      </w:r>
      <w:r>
        <w:t xml:space="preserve">at</w:t>
      </w:r>
      <w:r>
        <w:t xml:space="preserve"> </w:t>
      </w:r>
      <m:oMath>
        <m:sSup>
          <m:e>
            <m:r>
              <m:t>t</m:t>
            </m:r>
          </m:e>
          <m:sup>
            <m:r>
              <m:t>I</m:t>
            </m:r>
          </m:sup>
        </m:sSup>
        <m:d>
          <m:dPr>
            <m:begChr m:val="("/>
            <m:sepChr m:val=""/>
            <m:end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sepChr m:val=""/>
            <m:endChr m:val=")"/>
            <m:grow/>
          </m:dPr>
          <m:e>
            <m:r>
              <m:t>a</m:t>
            </m:r>
          </m:e>
        </m:d>
      </m:oMath>
      <w:r>
        <w:t xml:space="preserve"> </w:t>
      </w:r>
      <w:r>
        <w:t xml:space="preserve">(</w:t>
      </w:r>
      <w:hyperlink w:anchor="sec_4_9" w:history="1">
        <w:r>
          <w:rPr>
            <w:rStyle w:val="Hyperlink"/>
          </w:rPr>
          <w:t xml:space="preserve">Section 4.9</w:t>
        </w:r>
      </w:hyperlink>
      <w:r>
        <w:t xml:space="preserve">). Destroying the salt does not weaken binding, which is a property of the commitment value: no second payload can be opened against</w:t>
      </w:r>
      <w:r>
        <w:t xml:space="preserve"> </w:t>
      </w:r>
      <m:oMath>
        <m:r>
          <m:t>c</m:t>
        </m:r>
        <m:d>
          <m:dPr>
            <m:begChr m:val="("/>
            <m:sepChr m:val=""/>
            <m:endChr m:val=")"/>
            <m:grow/>
          </m:dPr>
          <m:e>
            <m:r>
              <m:t>a</m:t>
            </m:r>
          </m:e>
        </m:d>
      </m:oMath>
      <w:r>
        <w:t xml:space="preserve">, and after</w:t>
      </w:r>
      <w:r>
        <w:t xml:space="preserve"> </w:t>
      </w:r>
      <m:oMath>
        <m:sSup>
          <m:e>
            <m:r>
              <m:t>t</m:t>
            </m:r>
          </m:e>
          <m:sup>
            <m:r>
              <m:t>I</m:t>
            </m:r>
          </m:sup>
        </m:sSup>
        <m:d>
          <m:dPr>
            <m:begChr m:val="("/>
            <m:sepChr m:val=""/>
            <m:end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sepChr m:val=""/>
            <m:end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sepChr m:val=""/>
            <m:endChr m:val=")"/>
            <m:grow/>
          </m:dPr>
          <m:e>
            <m:r>
              <m:t>a</m:t>
            </m:r>
          </m:e>
        </m:d>
      </m:oMath>
      <w:r>
        <w:t xml:space="preserve"> </w:t>
      </w:r>
      <w:r>
        <w:t xml:space="preserve">and lacking</w:t>
      </w:r>
      <w:r>
        <w:t xml:space="preserve"> </w:t>
      </w:r>
      <m:oMath>
        <m:r>
          <m:t>r</m:t>
        </m:r>
        <m:d>
          <m:dPr>
            <m:begChr m:val="("/>
            <m:sepChr m:val=""/>
            <m:endChr m:val=")"/>
            <m:grow/>
          </m:dPr>
          <m:e>
            <m:r>
              <m:t>a</m:t>
            </m:r>
          </m:e>
        </m:d>
      </m:oMath>
      <w:r>
        <w:t xml:space="preserve"> </w:t>
      </w:r>
      <w:r>
        <w:t xml:space="preserve">must learn nothing about</w:t>
      </w:r>
      <w:r>
        <w:t xml:space="preserve"> </w:t>
      </w:r>
      <m:oMath>
        <m:r>
          <m:t>p</m:t>
        </m:r>
        <m:d>
          <m:dPr>
            <m:begChr m:val="("/>
            <m:sepChr m:val=""/>
            <m:endChr m:val=")"/>
            <m:grow/>
          </m:dPr>
          <m:e>
            <m:r>
              <m:t>a</m:t>
            </m:r>
          </m:e>
        </m:d>
      </m:oMath>
      <w:r>
        <w:t xml:space="preserve">. A bare unsalted hash of the payload does not satisfy this and must not be used, for the reason given in </w:t>
      </w:r>
      <w:hyperlink w:anchor="sec_4_9" w:history="1">
        <w:r>
          <w:rPr>
            <w:rStyle w:val="Hyperlink"/>
          </w:rPr>
          <w:t xml:space="preserve">Section 4.9</w:t>
        </w:r>
      </w:hyperlink>
      <w:r>
        <w:t xml:space="preserve">.</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sepChr m:val=""/>
            <m:end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 Key-management guidance anticipates exactly this record: once a key is destroyed,</w:t>
      </w:r>
      <w:r>
        <w:t xml:space="preserve"> </w:t>
      </w:r>
      <w:r>
        <w:t xml:space="preserve">“</w:t>
      </w:r>
      <w:r>
        <w:t xml:space="preserve">its previous existence may be recorded (e.g., in metadata or audit logs)</w:t>
      </w:r>
      <w:r>
        <w:t xml:space="preserve">”</w:t>
      </w:r>
      <w:r>
        <w:t xml:space="preserve"> </w:t>
      </w:r>
      <w:r>
        <w:t xml:space="preserve">(Barker, 2020, </w:t>
      </w:r>
      <w:hyperlink w:anchor="sec_7_6" w:history="1">
        <w:r>
          <w:rPr>
            <w:rStyle w:val="Hyperlink"/>
          </w:rPr>
          <w:t xml:space="preserve">Section 7.6</w:t>
        </w:r>
      </w:hyperlink>
      <w:r>
        <w:t xml:space="preserve">). The invalidation entry is that record, given a legal ground and an authorising actor.</w:t>
      </w:r>
    </w:p>
    <w:p>
      <w:pPr>
        <w:pStyle w:val="BodyText"/>
      </w:pPr>
      <w:r>
        <w:rPr>
          <w:iCs/>
          <w:i/>
        </w:rPr>
        <w:t xml:space="preserve">Tamper evidence.</w:t>
      </w:r>
      <w:r>
        <w:t xml:space="preserve"> </w:t>
      </w:r>
      <w:r>
        <w:t xml:space="preserve">An append-only registry is only as good as the means of detecting an append-only violation. Secure audit logging has addressed this since Schneier and Kelsey (1999), whose hash-chained logs make earlier entries unalterable without detection; Merkle trees (Merkle, 1988) let the same assurance be checked for a single entry with a logarithmic proof (Crosby &amp; Wallach, 2009), and Certificate Transparency standardised that construction for public logs (Laurie, Langley, &amp; Kasper, 2013). The mechanism appends every access event, invalidation and subject-link removal to such a log, with the leaf and node hashing of RFC 6962, and Semantics II condition (i) is checked as an inclusion proof against the log’s root rather than as the presence of fields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What enters a leaf is chosen so that the log never needs erasing: the accessor fields, the creation month and the commitment, never the payload and never the subject fields. The tension that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found unresolved in blockchain audit logging, an immutable trail facing an erasure right, therefore does not arise: what the right and the ceiling reach is held outside the log and destroyed there, and what the log holds is what accountability requires. Redactable and chameleon-hash designs,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resolve the same tension the other way, by letting a key holder rewrite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 Dynamic accumulators of the Camenisch and Lysyanskaya type also require a trusted accumulator manager holding a trapdoor, which adds a trust assumption stated in </w:t>
      </w:r>
      <w:hyperlink w:anchor="sec_4_9" w:history="1">
        <w:r>
          <w:rPr>
            <w:rStyle w:val="Hyperlink"/>
          </w:rPr>
          <w:t xml:space="preserve">Section 4.9</w:t>
        </w:r>
      </w:hyperlink>
      <w:r>
        <w:t xml:space="preserve">.</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sepChr m:val=""/>
            <m:endChr m:val=")"/>
            <m:grow/>
          </m:dPr>
          <m:e>
            <m:r>
              <m:t>a</m:t>
            </m:r>
          </m:e>
        </m:d>
      </m:oMath>
      <w:r>
        <w:t xml:space="preserve">. A specific payload was bound to that event, which follows from</w:t>
      </w:r>
      <w:r>
        <w:t xml:space="preserve"> </w:t>
      </w:r>
      <m:oMath>
        <m:r>
          <m:t>c</m:t>
        </m:r>
        <m:d>
          <m:dPr>
            <m:begChr m:val="("/>
            <m:sepChr m:val=""/>
            <m:endChr m:val=")"/>
            <m:grow/>
          </m:dPr>
          <m:e>
            <m:r>
              <m:t>a</m:t>
            </m:r>
          </m:e>
        </m:d>
      </m:oMath>
      <w:r>
        <w:t xml:space="preserve">. The payload was invalidated, and the auditor can see when, on what legal ground, and by whom, from</w:t>
      </w:r>
      <w:r>
        <w:t xml:space="preserve"> </w:t>
      </w:r>
      <m:oMath>
        <m:r>
          <m:t>ι</m:t>
        </m:r>
        <m:d>
          <m:dPr>
            <m:begChr m:val="("/>
            <m:sepChr m:val=""/>
            <m:endChr m:val=")"/>
            <m:grow/>
          </m:dPr>
          <m:e>
            <m:r>
              <m:t>a</m:t>
            </m:r>
          </m:e>
        </m:d>
      </m:oMath>
      <w:r>
        <w:t xml:space="preserve">. And the record’s current validity status is as claimed, which follows from the accumulator witness where that layer is used, and otherwise from a scan of the registry. Each of these entries is, moreover, in the log as first written, which follows from its inclusion proof against the published root. What the auditor cannot do is read the payload. This is the intended state, and it is the difference between this mechanism and the practitioner crypto-shredding pattern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w:t>
      </w:r>
      <w:hyperlink w:anchor="sec_4_4" w:history="1">
        <w:r>
          <w:rPr>
            <w:rStyle w:val="Hyperlink"/>
          </w:rPr>
          <w:t xml:space="preserve">Section 4.4</w:t>
        </w:r>
      </w:hyperlink>
      <w:r>
        <w:t xml:space="preserve"> govern the record’s behaviour through its retention window, but the window ends, and the model would be incomplete if it said nothing about what follows. After</w:t>
      </w:r>
      <w:r>
        <w:t xml:space="preserve"> </w:t>
      </w:r>
      <m:oMath>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sepChr m:val=""/>
            <m:end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sepChr m:val=""/>
            <m:endChr m:val=")"/>
            <m:grow/>
          </m:dPr>
          <m:e>
            <m:r>
              <m:t>a</m:t>
            </m:r>
          </m:e>
        </m:d>
        <m:r>
          <m:rPr>
            <m:sty m:val="p"/>
          </m:rPr>
          <m:t>+</m:t>
        </m:r>
        <m:r>
          <m:t>F</m:t>
        </m:r>
        <m:d>
          <m:dPr>
            <m:begChr m:val="("/>
            <m:sepChr m:val=""/>
            <m:endChr m:val=")"/>
            <m:grow/>
          </m:dPr>
          <m:e>
            <m:r>
              <m:t>a</m:t>
            </m:r>
          </m:e>
        </m:d>
        <m:r>
          <m:rPr>
            <m:sty m:val="p"/>
          </m:rPr>
          <m:t>+</m:t>
        </m:r>
        <m:r>
          <m:t>1</m:t>
        </m:r>
      </m:oMath>
      <w:r>
        <w:t xml:space="preserve">, the record undergoes a second invalidation, in which the identifying fields of</w:t>
      </w:r>
      <w:r>
        <w:t xml:space="preserve"> </w:t>
      </w:r>
      <m:oMath>
        <m:r>
          <m:t>m</m:t>
        </m:r>
        <m:d>
          <m:dPr>
            <m:begChr m:val="("/>
            <m:sepChr m:val=""/>
            <m:endChr m:val=")"/>
            <m:grow/>
          </m:dPr>
          <m:e>
            <m:r>
              <m:t>a</m:t>
            </m:r>
          </m:e>
        </m:d>
      </m:oMath>
      <w:r>
        <w:t xml:space="preserve"> </w:t>
      </w:r>
      <w:r>
        <w:t xml:space="preserve">are destroyed, together with</w:t>
      </w:r>
      <w:r>
        <w:t xml:space="preserve"> </w:t>
      </w:r>
      <m:oMath>
        <m:r>
          <m:t>k</m:t>
        </m:r>
        <m:d>
          <m:dPr>
            <m:begChr m:val="("/>
            <m:sepChr m:val=""/>
            <m:endChr m:val=")"/>
            <m:grow/>
          </m:dPr>
          <m:e>
            <m:r>
              <m:t>a</m:t>
            </m:r>
          </m:e>
        </m:d>
      </m:oMath>
      <w:r>
        <w:t xml:space="preserve">, the salt</w:t>
      </w:r>
      <w:r>
        <w:t xml:space="preserve"> </w:t>
      </w:r>
      <m:oMath>
        <m:r>
          <m:t>r</m:t>
        </m:r>
        <m:d>
          <m:dPr>
            <m:begChr m:val="("/>
            <m:sepChr m:val=""/>
            <m:end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w:t>
      </w:r>
      <w:hyperlink w:anchor="sec_4_9" w:history="1">
        <w:r>
          <w:rPr>
            <w:rStyle w:val="Hyperlink"/>
          </w:rPr>
          <w:t xml:space="preserve">Section 4.9</w:t>
        </w:r>
      </w:hyperlink>
      <w:r>
        <w:t xml:space="preserve">. Where a longer-running obligation applies to the same record (a national archival duty, or litigation hold) the terminal transition is deferred and the floor parameter</w:t>
      </w:r>
      <w:r>
        <w:t xml:space="preserve"> </w:t>
      </w:r>
      <m:oMath>
        <m:r>
          <m:t>F</m:t>
        </m:r>
        <m:d>
          <m:dPr>
            <m:begChr m:val="("/>
            <m:sepChr m:val=""/>
            <m:end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The patient link is retained there through the floor, for the reason </w:t>
      </w:r>
      <w:hyperlink w:anchor="sec_4_2" w:history="1">
        <w:r>
          <w:rPr>
            <w:rStyle w:val="Hyperlink"/>
          </w:rPr>
          <w:t xml:space="preserve">Section 4.2</w:t>
        </w:r>
      </w:hyperlink>
      <w:r>
        <w:t xml:space="preserve"> gives, and removed at the terminal transition.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sepChr m:val=""/>
            <m:end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puts it to the supervisory authority.</w:t>
      </w:r>
    </w:p>
    <w:bookmarkEnd w:id="71"/>
    <w:bookmarkStart w:id="72" w:name="residue-analysis"/>
    <w:p>
      <w:pPr>
        <w:pStyle w:val="Heading2"/>
      </w:pPr>
      <w:bookmarkStart w:id="1053" w:name="sec_4_9"/>
      <w:r>
        <w:t xml:space="preserve">4.9 Residue Analysis</w:t>
      </w:r>
      <w:bookmarkEnd w:id="1053"/>
    </w:p>
    <w:p>
      <w:pPr>
        <w:pStyle w:val="FirstParagraph"/>
      </w:pPr>
      <w:r>
        <w:t xml:space="preserve">A mechanism that erases by destroying keys is only as good as what it leaves behind. Proposition 2 leaves a residue:</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ι</m:t>
        </m:r>
        <m:d>
          <m:dPr>
            <m:begChr m:val="("/>
            <m:sepChr m:val=""/>
            <m:endChr m:val=")"/>
            <m:grow/>
          </m:dPr>
          <m:e>
            <m:r>
              <m:t>a</m:t>
            </m:r>
          </m:e>
        </m:d>
      </m:oMath>
      <w:r>
        <w:t xml:space="preserve">, the leaf hashes of the audit log and, where the optional layer is used, the accumulator state. The salt</w:t>
      </w:r>
      <w:r>
        <w:t xml:space="preserve"> </w:t>
      </w:r>
      <m:oMath>
        <m:r>
          <m:t>r</m:t>
        </m:r>
        <m:d>
          <m:dPr>
            <m:begChr m:val="("/>
            <m:sepChr m:val=""/>
            <m:endChr m:val=")"/>
            <m:grow/>
          </m:dPr>
          <m:e>
            <m:r>
              <m:t>a</m:t>
            </m:r>
          </m:e>
        </m:d>
      </m:oMath>
      <w:r>
        <w:t xml:space="preserve">, the key</w:t>
      </w:r>
      <w:r>
        <w:t xml:space="preserve"> </w:t>
      </w:r>
      <m:oMath>
        <m:r>
          <m:t>k</m:t>
        </m:r>
        <m:d>
          <m:dPr>
            <m:begChr m:val="("/>
            <m:sepChr m:val=""/>
            <m:endChr m:val=")"/>
            <m:grow/>
          </m:dPr>
          <m:e>
            <m:r>
              <m:t>a</m:t>
            </m:r>
          </m:e>
        </m:d>
      </m:oMath>
      <w:r>
        <w:t xml:space="preserve"> </w:t>
      </w:r>
      <w:r>
        <w:t xml:space="preserve">and the ciphertext of</w:t>
      </w:r>
      <w:r>
        <w:t xml:space="preserve"> </w:t>
      </w:r>
      <m:oMath>
        <m:r>
          <m:t>p</m:t>
        </m:r>
        <m:d>
          <m:dPr>
            <m:begChr m:val="("/>
            <m:sepChr m:val=""/>
            <m:endChr m:val=")"/>
            <m:grow/>
          </m:dPr>
          <m:e>
            <m:r>
              <m:t>a</m:t>
            </m:r>
          </m:e>
        </m:d>
      </m:oMath>
      <w:r>
        <w:t xml:space="preserve"> </w:t>
      </w:r>
      <w:r>
        <w:t xml:space="preserve">are destroyed at invalidation (</w:t>
      </w:r>
      <w:hyperlink w:anchor="sec_4_8" w:history="1">
        <w:r>
          <w:rPr>
            <w:rStyle w:val="Hyperlink"/>
          </w:rPr>
          <w:t xml:space="preserve">Section 4.8</w:t>
        </w:r>
      </w:hyperlink>
      <w:r>
        <w:t xml:space="preserve">). Whether the mechanism is lawful depends on whether this residue sits on the correct side of the threshold at which data cease to be personal. This section performs that analysis, and it is included because </w:t>
      </w:r>
      <w:hyperlink w:anchor="ch_2" w:history="1">
        <w:r>
          <w:rPr>
            <w:rStyle w:val="Hyperlink"/>
          </w:rPr>
          <w:t xml:space="preserve">Chapter 2</w:t>
        </w:r>
      </w:hyperlink>
      <w:r>
        <w:t xml:space="preserve">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sepChr m:val=""/>
            <m:end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sepChr m:val=""/>
            <m:end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sepChr m:val=""/>
            <m:end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sepChr m:val=""/>
            <m:endChr m:val=")"/>
            <m:grow/>
          </m:dPr>
          <m:e>
            <m:r>
              <m:t>a</m:t>
            </m:r>
          </m:e>
        </m:d>
      </m:oMath>
      <w:r>
        <w:t xml:space="preserve">, and the ability to confirm a guess about it from the audit store, which depended on</w:t>
      </w:r>
      <w:r>
        <w:t xml:space="preserve"> </w:t>
      </w:r>
      <m:oMath>
        <m:r>
          <m:t>r</m:t>
        </m:r>
        <m:d>
          <m:dPr>
            <m:begChr m:val="("/>
            <m:sepChr m:val=""/>
            <m:endChr m:val=")"/>
            <m:grow/>
          </m:dPr>
          <m:e>
            <m:r>
              <m:t>a</m:t>
            </m:r>
          </m:e>
        </m:d>
      </m:oMath>
      <w:r>
        <w:t xml:space="preserve">.</w:t>
      </w:r>
    </w:p>
    <w:p>
      <w:pPr>
        <w:pStyle w:val="BodyText"/>
      </w:pPr>
      <w:r>
        <w:t xml:space="preserve">The audit log raises the same threat one level up, and the same response answers it. A leaf hash must outlive the record’s fields, since the root depends on it, and it is computed over the accessor fields and the commitment. After the terminal transition the commitment survives and the accessor fields do not; an adversary who can enumerate candidate accessors, a small set in any one environment, could then recompute the leaf and confirm which accessor it was. The specification therefore places a per-entry random nonce in every leaf, held with the record and destroyed at the terminal transition with the identifying fields, so that a surviving leaf hash confirms nothing. The artefact does not implement the terminal transition, and its leaves omit the nonce accordingly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w:t>
      </w:r>
    </w:p>
    <w:p>
      <w:pPr>
        <w:pStyle w:val="BodyText"/>
      </w:pPr>
      <w:r>
        <w:rPr>
          <w:iCs/>
          <w:i/>
        </w:rPr>
        <w:t xml:space="preserve">The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an altered entry fails its inclusion proof, and a rewritten history is exposed by a consistency proof between an earlier root and the current one, provided earlier roots are published or countersigned (Laurie, Langley, &amp; Kasper, 2013). The artefact implements inclusion proofs only.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w:t>
      </w:r>
      <w:hyperlink w:anchor="sec_4_8" w:history="1">
        <w:r>
          <w:rPr>
            <w:rStyle w:val="Hyperlink"/>
          </w:rPr>
          <w:t xml:space="preserve">Section 4.8</w:t>
        </w:r>
      </w:hyperlink>
      <w:r>
        <w:t xml:space="preserve">)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w:t>
      </w:r>
      <w:hyperlink w:anchor="ch_6" w:history="1">
        <w:r>
          <w:rPr>
            <w:rStyle w:val="Hyperlink"/>
          </w:rPr>
          <w:t xml:space="preserve">Chapter 6</w:t>
        </w:r>
      </w:hyperlink>
      <w:r>
        <w:t xml:space="preserve"> rather than resolved here.</w:t>
      </w:r>
    </w:p>
    <w:bookmarkEnd w:id="72"/>
    <w:bookmarkStart w:id="73" w:name="rival-designs-and-proposition-4"/>
    <w:p>
      <w:pPr>
        <w:pStyle w:val="Heading2"/>
      </w:pPr>
      <w:bookmarkStart w:id="1054" w:name="sec_4_10"/>
      <w:r>
        <w:t xml:space="preserve">4.10 Rival Designs and Proposition 4</w:t>
      </w:r>
      <w:bookmarkEnd w:id="1054"/>
    </w:p>
    <w:p>
      <w:pPr>
        <w:pStyle w:val="FirstParagraph"/>
      </w:pPr>
      <w:r>
        <w:t xml:space="preserve">If a simpler design solved the problem, this mechanism would be unnecessary. Six alternative designs are therefore tested against it. Five are rejected for stated reasons; the sixth is accepted for the ceiling alone and bounded by Proposition 4.</w:t>
      </w:r>
    </w:p>
    <w:p>
      <w:pPr>
        <w:pStyle w:val="BodyText"/>
      </w:pPr>
      <w:r>
        <w:rPr>
          <w:iCs/>
          <w:i/>
        </w:rPr>
        <w:t xml:space="preserve">Rival 1: Rely on the Article 17(3)(b) exemption and retain in full.</w:t>
      </w:r>
      <w:r>
        <w:t xml:space="preserve"> </w:t>
      </w:r>
      <w:r>
        <w:t xml:space="preserve">This is the dissolution argument answered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w:t>
      </w:r>
      <w:hyperlink w:anchor="sec_4_2" w:history="1">
        <w:r>
          <w:rPr>
            <w:rStyle w:val="Hyperlink"/>
          </w:rPr>
          <w:t xml:space="preserve">Section 4.2</w:t>
        </w:r>
      </w:hyperlink>
      <w:r>
        <w:t xml:space="preserve"> above. It fails on the necessity boundary: the exemption protects retention that the legal obligation requires, and </w:t>
      </w:r>
      <w:hyperlink w:anchor="sec_4_2" w:history="1">
        <w:r>
          <w:rPr>
            <w:rStyle w:val="Hyperlink"/>
          </w:rPr>
          <w:t xml:space="preserve">Section 4.2</w:t>
        </w:r>
      </w:hyperlink>
      <w:r>
        <w:t xml:space="preserve">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w:t>
      </w:r>
      <w:hyperlink w:anchor="sec_4_3" w:history="1">
        <w:r>
          <w:rPr>
            <w:rStyle w:val="Hyperlink"/>
          </w:rPr>
          <w:t xml:space="preserve">Section 4.3</w:t>
        </w:r>
      </w:hyperlink>
      <w:r>
        <w:t xml:space="preserve">).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w:t>
      </w:r>
      <w:r>
        <w:t xml:space="preserve"> </w:t>
      </w:r>
      <w:r>
        <w:t xml:space="preserve">“</w:t>
      </w:r>
      <w:r>
        <w:t xml:space="preserve">access to electronic health data</w:t>
      </w:r>
      <w:r>
        <w:t xml:space="preserve">”</w:t>
      </w:r>
      <w:r>
        <w:t xml:space="preserve">, and requires logging to be</w:t>
      </w:r>
      <w:r>
        <w:t xml:space="preserve"> </w:t>
      </w:r>
      <w:r>
        <w:t xml:space="preserve">“</w:t>
      </w:r>
      <w:r>
        <w:t xml:space="preserve">proportionate, risk-based, and technically feasible</w:t>
      </w:r>
      <w:r>
        <w:t xml:space="preserve">”</w:t>
      </w:r>
      <w:r>
        <w:t xml:space="preserve"> </w:t>
      </w:r>
      <w:r>
        <w:t xml:space="preserve">and to</w:t>
      </w:r>
      <w:r>
        <w:t xml:space="preserve"> </w:t>
      </w:r>
      <w:r>
        <w:t xml:space="preserve">“</w:t>
      </w:r>
      <w:r>
        <w:t xml:space="preserve">avoid unnecessary collection of detailed user behaviour not required for auditability or misuse detection</w:t>
      </w:r>
      <w:r>
        <w:t xml:space="preserve">”</w:t>
      </w:r>
      <w:r>
        <w:t xml:space="preserve"> </w:t>
      </w:r>
      <w:r>
        <w:t xml:space="preserve">(TEHDAS2, 2026, Table 5.4, OPR-17, p. 51).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commitment bound into the log at write time constrains this only for a party that kept its own opening; once the salt and payload are destroyed no auditor can open it, so the advantage over this rival is narrower than first stated. The mechanism’s advantage over Rival 4 is precisely the verifiability that </w:t>
      </w:r>
      <w:hyperlink w:anchor="ch_2" w:history="1">
        <w:r>
          <w:rPr>
            <w:rStyle w:val="Hyperlink"/>
          </w:rPr>
          <w:t xml:space="preserve">Chapter 2</w:t>
        </w:r>
      </w:hyperlink>
      <w:r>
        <w:t xml:space="preserve">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w:t>
      </w:r>
      <w:hyperlink w:anchor="sec_4_9" w:history="1">
        <w:r>
          <w:rPr>
            <w:rStyle w:val="Hyperlink"/>
          </w:rPr>
          <w:t xml:space="preserve">Section 4.9</w:t>
        </w:r>
      </w:hyperlink>
      <w:r>
        <w:t xml:space="preserve"> applied in reverse. A copy whose key still exists is recoverable, and recoverable ciphertext held together with the means of decryption remains personal data under the threshold set out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as a legal premise rather than a mathematical consequence,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w:t>
      </w:r>
      <w:hyperlink w:anchor="sec_4_7" w:history="1">
        <w:r>
          <w:rPr>
            <w:rStyle w:val="Hyperlink"/>
          </w:rPr>
          <w:t xml:space="preserve">Section 4.7</w:t>
        </w:r>
      </w:hyperlink>
      <w:r>
        <w:t xml:space="preserve">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w:t>
      </w:r>
      <w:hyperlink w:anchor="ch_6" w:history="1">
        <w:r>
          <w:rPr>
            <w:rStyle w:val="Hyperlink"/>
          </w:rPr>
          <w:t xml:space="preserve">Chapter 6</w:t>
        </w:r>
      </w:hyperlink>
      <w:r>
        <w:t xml:space="preserve"> engages this critique at length rather than dismissing it.</w:t>
      </w:r>
    </w:p>
    <w:bookmarkEnd w:id="73"/>
    <w:bookmarkStart w:id="74" w:name="X51924fffb4499c77bcb597712556eecab7674b1"/>
    <w:p>
      <w:pPr>
        <w:pStyle w:val="Heading2"/>
      </w:pPr>
      <w:bookmarkStart w:id="1055" w:name="sec_4_11"/>
      <w:r>
        <w:t xml:space="preserve">4.11 Integration with the Norwegian Infrastructure</w:t>
      </w:r>
      <w:bookmarkEnd w:id="1055"/>
    </w:p>
    <w:p>
      <w:pPr>
        <w:pStyle w:val="FirstParagraph"/>
      </w:pPr>
      <w:r>
        <w:t xml:space="preserve">A mechanism is only as useful as the point at which it can be installed. This one is specified against the Norwegian infrastructure as verified in </w:t>
      </w:r>
      <w:hyperlink w:anchor="ch_2" w:history="1">
        <w:r>
          <w:rPr>
            <w:rStyle w:val="Hyperlink"/>
          </w:rPr>
          <w:t xml:space="preserve">Chapter 2</w:t>
        </w:r>
      </w:hyperlink>
      <w:r>
        <w:t xml:space="preserve">, </w:t>
      </w:r>
      <w:hyperlink w:anchor="sec_2_6" w:history="1">
        <w:r>
          <w:rPr>
            <w:rStyle w:val="Hyperlink"/>
          </w:rPr>
          <w:t xml:space="preserve">Section 2.6</w:t>
        </w:r>
      </w:hyperlink>
      <w:r>
        <w:t xml:space="preserve">, not against an idealisation of it.</w:t>
      </w:r>
    </w:p>
    <w:p>
      <w:pPr>
        <w:pStyle w:val="BodyText"/>
      </w:pPr>
      <w:r>
        <w:rPr>
          <w:iCs/>
          <w:i/>
        </w:rPr>
        <w:t xml:space="preserve">Primary use: the National Contact Point.</w:t>
      </w:r>
      <w:r>
        <w:t xml:space="preserve"> </w:t>
      </w:r>
      <w:r>
        <w:t xml:space="preserve">Norway’s NCPeH is in live pilot operation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describes.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 The reference architecture of the Joint Action’s specification locates the same boundary (TEHDAS2, 2026, Figure 5.13, p. 60). It divides a Secure Processing Environment into a control-and-management layer, comprising user authentication and identification, activity monitoring and access control, and the project workspaces in which data users work. The mechanism belongs to the activity-monitoring component, which writes the logs, and takes each permit’s expiry from the coordination portal of the health data access body, which issues the permit. It touches neither the project workspace nor the interfaces to data users and data holders.</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November 2024 draft is specific on logging (SPUHiN, 2024; requirement numbers as in the draft). Tamper-proof, identifiable logs of access to the environment are mandatory</w:t>
      </w:r>
      <w:r>
        <w:t xml:space="preserve"> </w:t>
      </w:r>
      <w:r>
        <w:t xml:space="preserve">“</w:t>
      </w:r>
      <w:r>
        <w:t xml:space="preserve">for at least one year</w:t>
      </w:r>
      <w:r>
        <w:t xml:space="preserve">”</w:t>
      </w:r>
      <w:r>
        <w:t xml:space="preserve"> </w:t>
      </w:r>
      <w:r>
        <w:t xml:space="preserve">(P13). Logs of when files are extracted and by whom are mandatory, kept for one year (P24). Logs of activities inside the environment are recommended (P14). A defined termination procedure is mandatory (P31), and its implementation examples include the handling of back-ups and log files. That is the one-year floor of Article 73(1)(e) in national form. None of the requirements inspected says how those logs are to be reconciled with deletion.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w:t>
      </w:r>
      <w:hyperlink w:anchor="ch_2" w:history="1">
        <w:r>
          <w:rPr>
            <w:rStyle w:val="Hyperlink"/>
          </w:rPr>
          <w:t xml:space="preserve">Chapter 2</w:t>
        </w:r>
      </w:hyperlink>
      <w:r>
        <w:t xml:space="preserve">’s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w:t>
      </w:r>
      <w:hyperlink w:anchor="ch_6" w:history="1">
        <w:r>
          <w:rPr>
            <w:rStyle w:val="Hyperlink"/>
          </w:rPr>
          <w:t xml:space="preserve">Chapter 6</w:t>
        </w:r>
      </w:hyperlink>
      <w:r>
        <w:t xml:space="preserve"> treats the implications of this timing for the thesis’s policy relevance.</w:t>
      </w:r>
    </w:p>
    <w:p>
      <w:pPr>
        <w:pStyle w:val="BodyText"/>
      </w:pPr>
      <w:r>
        <w:rPr>
          <w:iCs/>
          <w:i/>
        </w:rPr>
        <w:t xml:space="preserve">Traceability.</w:t>
      </w:r>
      <w:r>
        <w:t xml:space="preserve"> </w:t>
      </w:r>
      <w:hyperlink w:anchor="tbl_4_1" w:history="1">
        <w:r>
          <w:rPr>
            <w:rStyle w:val="Hyperlink"/>
          </w:rPr>
          <w:t xml:space="preserve">Table 4.1</w:t>
        </w:r>
      </w:hyperlink>
      <w:r>
        <w:t xml:space="preserve">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p>
    <w:p>
      <w:pPr>
        <w:pStyle w:val="TableCaption"/>
      </w:pPr>
      <w:bookmarkStart w:id="1002" w:name="tbl_4_1"/>
      <w:r>
        <w:rPr>
          <w:b/>
          <w:color w:val="1F3864"/>
        </w:rPr>
        <w:t xml:space="preserve">Table 4.1.</w:t>
      </w:r>
      <w:r>
        <w:t xml:space="preserve"> Requirements traced to the mechanism</w:t>
      </w:r>
      <w:bookmarkEnd w:id="1002"/>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584"/>
        <w:gridCol w:w="1584"/>
        <w:gridCol w:w="1584"/>
        <w:gridCol w:w="1584"/>
        <w:gridCol w:w="1584"/>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Requirement</w:t>
            </w:r>
          </w:p>
        </w:tc>
        <w:tc>
          <w:tcPr>
            <w:tcBorders>
              <w:bottom w:val="single" w:sz="8" w:space="0" w:color="333333"/>
            </w:tcBorders>
            <w:shd w:val="clear" w:color="auto" w:fill="E8EDF4"/>
          </w:tcPr>
          <w:p>
            <w:pPr>
              <w:pStyle w:val="Compact"/>
              <w:jc w:val="left"/>
            </w:pPr>
            <w:r>
              <w:rPr>
                <w:b/>
                <w:sz w:val="20"/>
                <w:szCs w:val="20"/>
              </w:rPr>
              <w:t xml:space="preserve">Source</w:t>
            </w:r>
          </w:p>
        </w:tc>
        <w:tc>
          <w:tcPr>
            <w:tcBorders>
              <w:bottom w:val="single" w:sz="8" w:space="0" w:color="333333"/>
            </w:tcBorders>
            <w:shd w:val="clear" w:color="auto" w:fill="E8EDF4"/>
          </w:tcPr>
          <w:p>
            <w:pPr>
              <w:pStyle w:val="Compact"/>
              <w:jc w:val="left"/>
            </w:pPr>
            <w:r>
              <w:rPr>
                <w:b/>
                <w:sz w:val="20"/>
                <w:szCs w:val="20"/>
              </w:rPr>
              <w:t xml:space="preserve">What the mechanism does</w:t>
            </w:r>
          </w:p>
        </w:tc>
        <w:tc>
          <w:tcPr>
            <w:tcBorders>
              <w:bottom w:val="single" w:sz="8" w:space="0" w:color="333333"/>
            </w:tcBorders>
            <w:shd w:val="clear" w:color="auto" w:fill="E8EDF4"/>
          </w:tcPr>
          <w:p>
            <w:pPr>
              <w:pStyle w:val="Compact"/>
              <w:jc w:val="left"/>
            </w:pPr>
            <w:r>
              <w:rPr>
                <w:b/>
                <w:sz w:val="20"/>
                <w:szCs w:val="20"/>
              </w:rPr>
              <w:t xml:space="preserve">Where</w:t>
            </w:r>
          </w:p>
        </w:tc>
        <w:tc>
          <w:tcPr>
            <w:tcBorders>
              <w:bottom w:val="single" w:sz="8" w:space="0" w:color="333333"/>
            </w:tcBorders>
            <w:shd w:val="clear" w:color="auto" w:fill="E8EDF4"/>
          </w:tcPr>
          <w:p>
            <w:pPr>
              <w:pStyle w:val="Compact"/>
              <w:jc w:val="left"/>
            </w:pPr>
            <w:r>
              <w:rPr>
                <w:b/>
                <w:sz w:val="20"/>
                <w:szCs w:val="20"/>
              </w:rPr>
              <w:t xml:space="preserve">Status</w:t>
            </w:r>
          </w:p>
        </w:tc>
      </w:tr>
      <w:tr>
        <w:trPr>
          <w:cantSplit/>
        </w:trPr>
        <w:tc>
          <w:tcPr/>
          <w:p>
            <w:pPr>
              <w:pStyle w:val="Compact"/>
              <w:jc w:val="left"/>
            </w:pPr>
            <w:r>
              <w:rPr>
                <w:sz w:val="20"/>
                <w:szCs w:val="20"/>
              </w:rPr>
              <w:t xml:space="preserve">Electronic health data within the SPE deleted within six months of permit expiry</w:t>
            </w:r>
          </w:p>
        </w:tc>
        <w:tc>
          <w:tcPr/>
          <w:p>
            <w:pPr>
              <w:pStyle w:val="Compact"/>
              <w:jc w:val="left"/>
            </w:pPr>
            <w:r>
              <w:rPr>
                <w:sz w:val="20"/>
                <w:szCs w:val="20"/>
              </w:rPr>
              <w:t xml:space="preserve">EHDS Art. 68(12)</w:t>
            </w:r>
          </w:p>
        </w:tc>
        <w:tc>
          <w:tcPr/>
          <w:p>
            <w:pPr>
              <w:pStyle w:val="Compact"/>
              <w:jc w:val="left"/>
            </w:pPr>
            <w:r>
              <w:rPr>
                <w:sz w:val="20"/>
                <w:szCs w:val="20"/>
              </w:rPr>
              <w:t xml:space="preserve">Payload key, salt and ciphertext destroyed at</w:t>
            </w:r>
            <w:r>
              <w:rPr>
                <w:sz w:val="20"/>
                <w:szCs w:val="20"/>
              </w:rPr>
              <w:t xml:space="preserve"> </w:t>
            </w:r>
            <m:oMath>
              <m:sSub>
                <m:e>
                  <m:r>
                    <m:t>t</m:t>
                  </m:r>
                </m:e>
                <m:sub>
                  <m:r>
                    <m:t>π</m:t>
                  </m:r>
                </m:sub>
              </m:sSub>
              <m:r>
                <m:rPr>
                  <m:sty m:val="p"/>
                </m:rPr>
                <m:t>+</m:t>
              </m:r>
              <m:r>
                <m:t>6</m:t>
              </m:r>
            </m:oMath>
            <w:r>
              <w:rPr>
                <w:sz w:val="20"/>
                <w:szCs w:val="20"/>
              </w:rPr>
              <w:t xml:space="preserve">; subject fields of patient-level logs removed at the same month</w:t>
            </w:r>
          </w:p>
        </w:tc>
        <w:tc>
          <w:tcPr/>
          <w:p>
            <w:pPr>
              <w:pStyle w:val="Compact"/>
              <w:jc w:val="left"/>
            </w:pPr>
            <w:hyperlink w:anchor="sec_4_7" w:history="1">
              <w:r>
                <w:rPr>
                  <w:rStyle w:val="Hyperlink"/>
                  <w:sz w:val="20"/>
                  <w:szCs w:val="20"/>
                </w:rPr>
                <w:t xml:space="preserve">§4.7</w:t>
              </w:r>
            </w:hyperlink>
            <w:r>
              <w:rPr>
                <w:sz w:val="20"/>
                <w:szCs w:val="20"/>
              </w:rPr>
              <w:t xml:space="preserve"> steps 2–4;</w:t>
            </w:r>
            <w:r>
              <w:rPr>
                <w:sz w:val="20"/>
                <w:szCs w:val="20"/>
              </w:rPr>
              <w:t xml:space="preserve"> </w:t>
            </w:r>
            <w:r>
              <w:rPr>
                <w:rStyle w:val="VerbatimChar"/>
                <w:sz w:val="20"/>
                <w:szCs w:val="20"/>
              </w:rPr>
              <w:t xml:space="preserve">apply_invalidation()</w:t>
            </w:r>
          </w:p>
        </w:tc>
        <w:tc>
          <w:tcPr/>
          <w:p>
            <w:pPr>
              <w:pStyle w:val="Compact"/>
              <w:jc w:val="left"/>
            </w:pPr>
            <w:r>
              <w:rPr>
                <w:sz w:val="20"/>
                <w:szCs w:val="20"/>
              </w:rPr>
              <w:t xml:space="preserve">Met in the artefact (C3 over</w:t>
            </w:r>
            <w:r>
              <w:rPr>
                <w:sz w:val="20"/>
                <w:szCs w:val="20"/>
              </w:rPr>
              <w:t xml:space="preserve"> </w:t>
            </w:r>
            <m:oMath>
              <m:r>
                <m:t>α</m:t>
              </m:r>
            </m:oMath>
            <w:r>
              <w:rPr>
                <w:sz w:val="20"/>
                <w:szCs w:val="20"/>
              </w:rPr>
              <w:t xml:space="preserve"> </w:t>
            </w:r>
            <w:r>
              <w:rPr>
                <w:sz w:val="20"/>
                <w:szCs w:val="20"/>
              </w:rPr>
              <w:t xml:space="preserve">and</w:t>
            </w:r>
            <w:r>
              <w:rPr>
                <w:sz w:val="20"/>
                <w:szCs w:val="20"/>
              </w:rPr>
              <w:t xml:space="preserve"> </w:t>
            </w:r>
            <m:oMath>
              <m:r>
                <m:t>β</m:t>
              </m:r>
            </m:oMath>
            <w:r>
              <w:rPr>
                <w:sz w:val="20"/>
                <w:szCs w:val="20"/>
              </w:rPr>
              <w:t xml:space="preserve">: 0 violations)</w:t>
            </w:r>
          </w:p>
        </w:tc>
      </w:tr>
      <w:tr>
        <w:trPr>
          <w:cantSplit/>
        </w:trPr>
        <w:tc>
          <w:tcPr/>
          <w:p>
            <w:pPr>
              <w:pStyle w:val="Compact"/>
              <w:jc w:val="left"/>
            </w:pPr>
            <w:r>
              <w:rPr>
                <w:sz w:val="20"/>
                <w:szCs w:val="20"/>
              </w:rPr>
              <w:t xml:space="preserve">Same,</w:t>
            </w:r>
            <w:r>
              <w:rPr>
                <w:sz w:val="20"/>
                <w:szCs w:val="20"/>
              </w:rPr>
              <w:t xml:space="preserve"> </w:t>
            </w:r>
            <w:r>
              <w:rPr>
                <w:sz w:val="20"/>
                <w:szCs w:val="20"/>
              </w:rPr>
              <w:t xml:space="preserve">“</w:t>
            </w:r>
            <w:r>
              <w:rPr>
                <w:sz w:val="20"/>
                <w:szCs w:val="20"/>
              </w:rPr>
              <w:t xml:space="preserve">deleted or rendered unrecoverable … including any backups or redundant copies</w:t>
            </w:r>
            <w:r>
              <w:rPr>
                <w:sz w:val="20"/>
                <w:szCs w:val="20"/>
              </w:rPr>
              <w:t xml:space="preserve">”</w:t>
            </w:r>
          </w:p>
        </w:tc>
        <w:tc>
          <w:tcPr/>
          <w:p>
            <w:pPr>
              <w:pStyle w:val="Compact"/>
              <w:jc w:val="left"/>
            </w:pPr>
            <w:r>
              <w:rPr>
                <w:sz w:val="20"/>
                <w:szCs w:val="20"/>
              </w:rPr>
              <w:t xml:space="preserve">TEHDAS2 D7.4, Table 5.2, OPR-6, p. 43</w:t>
            </w:r>
          </w:p>
        </w:tc>
        <w:tc>
          <w:tcPr/>
          <w:p>
            <w:pPr>
              <w:pStyle w:val="Compact"/>
              <w:jc w:val="left"/>
            </w:pPr>
            <w:r>
              <w:rPr>
                <w:sz w:val="20"/>
                <w:szCs w:val="20"/>
              </w:rPr>
              <w:t xml:space="preserve">Key destruction renders copies the store cannot delete at once unrecoverable</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Ciphertext</w:t>
            </w:r>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Met in the optional module with real AES-256-GCM (138 of 138 refused); destruction in program memory, not hardware (</w:t>
            </w:r>
            <w:hyperlink w:anchor="sec_4_9" w:history="1">
              <w:r>
                <w:rPr>
                  <w:rStyle w:val="Hyperlink"/>
                  <w:sz w:val="20"/>
                  <w:szCs w:val="20"/>
                </w:rPr>
                <w:t xml:space="preserve">§4.9</w:t>
              </w:r>
            </w:hyperlink>
            <w:r>
              <w:rPr>
                <w:sz w:val="20"/>
                <w:szCs w:val="20"/>
              </w:rPr>
              <w:t xml:space="preserve">, </w:t>
            </w:r>
            <w:hyperlink w:anchor="sec_6_3" w:history="1">
              <w:r>
                <w:rPr>
                  <w:rStyle w:val="Hyperlink"/>
                  <w:sz w:val="20"/>
                  <w:szCs w:val="20"/>
                </w:rPr>
                <w:t xml:space="preserve">§6.3</w:t>
              </w:r>
            </w:hyperlink>
            <w:r>
              <w:rPr>
                <w:sz w:val="20"/>
                <w:szCs w:val="20"/>
              </w:rPr>
              <w:t xml:space="preserve">)</w:t>
            </w:r>
          </w:p>
        </w:tc>
      </w:tr>
      <w:tr>
        <w:trPr>
          <w:cantSplit/>
        </w:trPr>
        <w:tc>
          <w:tcPr/>
          <w:p>
            <w:pPr>
              <w:pStyle w:val="Compact"/>
              <w:jc w:val="left"/>
            </w:pPr>
            <w:r>
              <w:rPr>
                <w:sz w:val="20"/>
                <w:szCs w:val="20"/>
              </w:rPr>
              <w:t xml:space="preserve">Identifiable logs of access and activities, kept for the period needed to audit, at least one year</w:t>
            </w:r>
          </w:p>
        </w:tc>
        <w:tc>
          <w:tcPr/>
          <w:p>
            <w:pPr>
              <w:pStyle w:val="Compact"/>
              <w:jc w:val="left"/>
            </w:pPr>
            <w:r>
              <w:rPr>
                <w:sz w:val="20"/>
                <w:szCs w:val="20"/>
              </w:rPr>
              <w:t xml:space="preserve">EHDS Art. 73(1)(e)</w:t>
            </w:r>
          </w:p>
        </w:tc>
        <w:tc>
          <w:tcPr/>
          <w:p>
            <w:pPr>
              <w:pStyle w:val="Compact"/>
              <w:jc w:val="left"/>
            </w:pPr>
            <w:r>
              <w:rPr>
                <w:sz w:val="20"/>
                <w:szCs w:val="20"/>
              </w:rPr>
              <w:t xml:space="preserve">Accessor fields kept identifiable for the full floor; activity committed</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7" w:history="1">
              <w:r>
                <w:rPr>
                  <w:rStyle w:val="Hyperlink"/>
                  <w:sz w:val="20"/>
                  <w:szCs w:val="20"/>
                </w:rPr>
                <w:t xml:space="preserve">§4.7</w:t>
              </w:r>
            </w:hyperlink>
            <w:r>
              <w:rPr>
                <w:sz w:val="20"/>
                <w:szCs w:val="20"/>
              </w:rPr>
              <w:t xml:space="preserve">;</w:t>
            </w:r>
            <w:r>
              <w:rPr>
                <w:sz w:val="20"/>
                <w:szCs w:val="20"/>
              </w:rPr>
              <w:t xml:space="preserve"> </w:t>
            </w:r>
            <w:r>
              <w:rPr>
                <w:rStyle w:val="VerbatimChar"/>
                <w:sz w:val="20"/>
                <w:szCs w:val="20"/>
              </w:rPr>
              <w:t xml:space="preserve">V_II()</w:t>
            </w:r>
          </w:p>
        </w:tc>
        <w:tc>
          <w:tcPr/>
          <w:p>
            <w:pPr>
              <w:pStyle w:val="Compact"/>
              <w:jc w:val="left"/>
            </w:pPr>
            <w:r>
              <w:rPr>
                <w:sz w:val="20"/>
                <w:szCs w:val="20"/>
              </w:rPr>
              <w:t xml:space="preserve">Met in the artefact (C1 under Semantics II: 0 violations)</w:t>
            </w:r>
          </w:p>
        </w:tc>
      </w:tr>
      <w:tr>
        <w:trPr>
          <w:cantSplit/>
        </w:trPr>
        <w:tc>
          <w:tcPr/>
          <w:p>
            <w:pPr>
              <w:pStyle w:val="Compact"/>
              <w:jc w:val="left"/>
            </w:pPr>
            <w:r>
              <w:rPr>
                <w:sz w:val="20"/>
                <w:szCs w:val="20"/>
              </w:rPr>
              <w:t xml:space="preserve">“</w:t>
            </w:r>
            <w:r>
              <w:rPr>
                <w:sz w:val="20"/>
                <w:szCs w:val="20"/>
              </w:rPr>
              <w:t xml:space="preserve">All SPE logs MUST identify the actor</w:t>
            </w:r>
            <w:r>
              <w:rPr>
                <w:sz w:val="20"/>
                <w:szCs w:val="20"/>
              </w:rPr>
              <w:t xml:space="preserve">”</w:t>
            </w:r>
          </w:p>
        </w:tc>
        <w:tc>
          <w:tcPr/>
          <w:p>
            <w:pPr>
              <w:pStyle w:val="Compact"/>
              <w:jc w:val="left"/>
            </w:pPr>
            <w:r>
              <w:rPr>
                <w:sz w:val="20"/>
                <w:szCs w:val="20"/>
              </w:rPr>
              <w:t xml:space="preserve">D7.4, Table 5.1, EHDSR-7, p. 31</w:t>
            </w:r>
          </w:p>
        </w:tc>
        <w:tc>
          <w:tcPr/>
          <w:p>
            <w:pPr>
              <w:pStyle w:val="Compact"/>
              <w:jc w:val="left"/>
            </w:pPr>
            <w:r>
              <w:rPr>
                <w:sz w:val="20"/>
                <w:szCs w:val="20"/>
              </w:rPr>
              <w:t xml:space="preserve">Actor is an accessor field, never removed within the floor</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w:t>
            </w:r>
            <w:r>
              <w:rPr>
                <w:sz w:val="20"/>
                <w:szCs w:val="20"/>
              </w:rPr>
              <w:t xml:space="preserve">All SPE logs MUST be kept at least for one year</w:t>
            </w:r>
            <w:r>
              <w:rPr>
                <w:sz w:val="20"/>
                <w:szCs w:val="20"/>
              </w:rPr>
              <w:t xml:space="preserve">”</w:t>
            </w:r>
          </w:p>
        </w:tc>
        <w:tc>
          <w:tcPr/>
          <w:p>
            <w:pPr>
              <w:pStyle w:val="Compact"/>
              <w:jc w:val="left"/>
            </w:pPr>
            <w:r>
              <w:rPr>
                <w:sz w:val="20"/>
                <w:szCs w:val="20"/>
              </w:rPr>
              <w:t xml:space="preserve">D7.4, Table 5.1, EHDSR-8, p. 31; OPR-18, p. 51 (five years recommended)</w:t>
            </w:r>
          </w:p>
        </w:tc>
        <w:tc>
          <w:tcPr/>
          <w:p>
            <w:pPr>
              <w:pStyle w:val="Compact"/>
              <w:jc w:val="left"/>
            </w:pPr>
            <w:r>
              <w:rPr>
                <w:sz w:val="20"/>
                <w:szCs w:val="20"/>
              </w:rPr>
              <w:t xml:space="preserve">Floor parameter</w:t>
            </w:r>
            <w:r>
              <w:rPr>
                <w:sz w:val="20"/>
                <w:szCs w:val="20"/>
              </w:rPr>
              <w:t xml:space="preserve"> </w:t>
            </w:r>
            <m:oMath>
              <m:r>
                <m:t>F</m:t>
              </m:r>
              <m:r>
                <m:rPr>
                  <m:sty m:val="p"/>
                </m:rPr>
                <m:t>=</m:t>
              </m:r>
              <m:r>
                <m:t>12</m:t>
              </m:r>
            </m:oMath>
            <w:r>
              <w:rPr>
                <w:sz w:val="20"/>
                <w:szCs w:val="20"/>
              </w:rPr>
              <w:t xml:space="preserve">; any longer value is a parameter change (Corollary 2.2)</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Logs available for verification and auditing</w:t>
            </w:r>
          </w:p>
        </w:tc>
        <w:tc>
          <w:tcPr/>
          <w:p>
            <w:pPr>
              <w:pStyle w:val="Compact"/>
              <w:jc w:val="left"/>
            </w:pPr>
            <w:r>
              <w:rPr>
                <w:sz w:val="20"/>
                <w:szCs w:val="20"/>
              </w:rPr>
              <w:t xml:space="preserve">D7.4, Table 5.1, EHDSR-6, p. 31; OPR-8, p. 46</w:t>
            </w:r>
          </w:p>
        </w:tc>
        <w:tc>
          <w:tcPr/>
          <w:p>
            <w:pPr>
              <w:pStyle w:val="Compact"/>
              <w:jc w:val="left"/>
            </w:pPr>
            <w:r>
              <w:rPr>
                <w:sz w:val="20"/>
                <w:szCs w:val="20"/>
              </w:rPr>
              <w:t xml:space="preserve">Every access, invalidation and subject-link removal in an append-only Merkle log; inclusion proofs</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(200/200 verify; tamper tests fail)</w:t>
            </w:r>
          </w:p>
        </w:tc>
      </w:tr>
      <w:tr>
        <w:trPr>
          <w:cantSplit/>
        </w:trPr>
        <w:tc>
          <w:tcPr/>
          <w:p>
            <w:pPr>
              <w:pStyle w:val="Compact"/>
              <w:jc w:val="left"/>
            </w:pPr>
            <w:r>
              <w:rPr>
                <w:sz w:val="20"/>
                <w:szCs w:val="20"/>
              </w:rPr>
              <w:t xml:space="preserve">Logs protected against tampering</w:t>
            </w:r>
          </w:p>
        </w:tc>
        <w:tc>
          <w:tcPr/>
          <w:p>
            <w:pPr>
              <w:pStyle w:val="Compact"/>
              <w:jc w:val="left"/>
            </w:pPr>
            <w:r>
              <w:rPr>
                <w:sz w:val="20"/>
                <w:szCs w:val="20"/>
              </w:rPr>
              <w:t xml:space="preserve">D7.4, Table 5.4, OPR-17, and OPR-18, p. 51</w:t>
            </w:r>
          </w:p>
        </w:tc>
        <w:tc>
          <w:tcPr/>
          <w:p>
            <w:pPr>
              <w:pStyle w:val="Compact"/>
              <w:jc w:val="left"/>
            </w:pPr>
            <w:r>
              <w:rPr>
                <w:sz w:val="20"/>
                <w:szCs w:val="20"/>
              </w:rPr>
              <w:t xml:space="preserve">Append-only Merkle log; an altered entry fails its inclusion proof</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(both tamper tests fail</w:t>
            </w:r>
            <w:r>
              <w:rPr>
                <w:sz w:val="20"/>
                <w:szCs w:val="20"/>
              </w:rPr>
              <w:t xml:space="preserve"> </w:t>
            </w:r>
            <m:oMath>
              <m:sSup>
                <m:e>
                  <m:r>
                    <m:t>V</m:t>
                  </m:r>
                </m:e>
                <m:sup>
                  <m:r>
                    <m:t>I</m:t>
                  </m:r>
                  <m:r>
                    <m:t>I</m:t>
                  </m:r>
                </m:sup>
              </m:sSup>
            </m:oMath>
            <w:r>
              <w:rPr>
                <w:sz w:val="20"/>
                <w:szCs w:val="20"/>
              </w:rPr>
              <w:t xml:space="preserve">)</w:t>
            </w:r>
          </w:p>
        </w:tc>
      </w:tr>
      <w:tr>
        <w:trPr>
          <w:cantSplit/>
        </w:trPr>
        <w:tc>
          <w:tcPr/>
          <w:p>
            <w:pPr>
              <w:pStyle w:val="Compact"/>
              <w:jc w:val="left"/>
            </w:pPr>
            <w:r>
              <w:rPr>
                <w:sz w:val="20"/>
                <w:szCs w:val="20"/>
              </w:rPr>
              <w:t xml:space="preserve">Logging proportionate; no unnecessary detail on user behaviour; must cover access to electronic health data</w:t>
            </w:r>
          </w:p>
        </w:tc>
        <w:tc>
          <w:tcPr/>
          <w:p>
            <w:pPr>
              <w:pStyle w:val="Compact"/>
              <w:jc w:val="left"/>
            </w:pPr>
            <w:r>
              <w:rPr>
                <w:sz w:val="20"/>
                <w:szCs w:val="20"/>
              </w:rPr>
              <w:t xml:space="preserve">D7.4, Table 5.4, OPR-17, p. 51</w:t>
            </w:r>
          </w:p>
        </w:tc>
        <w:tc>
          <w:tcPr/>
          <w:p>
            <w:pPr>
              <w:pStyle w:val="Compact"/>
              <w:jc w:val="left"/>
            </w:pPr>
            <w:r>
              <w:rPr>
                <w:sz w:val="20"/>
                <w:szCs w:val="20"/>
              </w:rPr>
              <w:t xml:space="preserve">Accessor fields kept; subject fields only where the log is kept per patient record, and removed at the ceiling</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10" w:history="1">
              <w:r>
                <w:rPr>
                  <w:rStyle w:val="Hyperlink"/>
                  <w:sz w:val="20"/>
                  <w:szCs w:val="20"/>
                </w:rPr>
                <w:t xml:space="preserve">§4.10</w:t>
              </w:r>
            </w:hyperlink>
            <w:r>
              <w:rPr>
                <w:sz w:val="20"/>
                <w:szCs w:val="20"/>
              </w:rPr>
              <w:t xml:space="preserve"> Rival 3</w:t>
            </w:r>
          </w:p>
        </w:tc>
        <w:tc>
          <w:tcPr/>
          <w:p>
            <w:pPr>
              <w:pStyle w:val="Compact"/>
              <w:jc w:val="left"/>
            </w:pPr>
            <w:r>
              <w:rPr>
                <w:sz w:val="20"/>
                <w:szCs w:val="20"/>
              </w:rPr>
              <w:t xml:space="preserve">Met by specification; granularity is the operator’s choice, which the specification leaves open</w:t>
            </w:r>
          </w:p>
        </w:tc>
      </w:tr>
      <w:tr>
        <w:trPr>
          <w:cantSplit/>
        </w:trPr>
        <w:tc>
          <w:tcPr/>
          <w:p>
            <w:pPr>
              <w:pStyle w:val="Compact"/>
              <w:jc w:val="left"/>
            </w:pPr>
            <w:r>
              <w:rPr>
                <w:sz w:val="20"/>
                <w:szCs w:val="20"/>
              </w:rPr>
              <w:t xml:space="preserve">Deletion</w:t>
            </w:r>
            <w:r>
              <w:rPr>
                <w:sz w:val="20"/>
                <w:szCs w:val="20"/>
              </w:rPr>
              <w:t xml:space="preserve"> </w:t>
            </w:r>
            <w:r>
              <w:rPr>
                <w:sz w:val="20"/>
                <w:szCs w:val="20"/>
              </w:rPr>
              <w:t xml:space="preserve">“</w:t>
            </w:r>
            <w:r>
              <w:rPr>
                <w:sz w:val="20"/>
                <w:szCs w:val="20"/>
              </w:rPr>
              <w:t xml:space="preserve">while ensuring compliance with applicable legal obligations and traceability or reproducibility requirements</w:t>
            </w:r>
            <w:r>
              <w:rPr>
                <w:sz w:val="20"/>
                <w:szCs w:val="20"/>
              </w:rPr>
              <w:t xml:space="preserve">”</w:t>
            </w:r>
            <w:r>
              <w:rPr>
                <w:sz w:val="20"/>
                <w:szCs w:val="20"/>
              </w:rPr>
              <w:t xml:space="preserve">; the deletion and retention policy to</w:t>
            </w:r>
            <w:r>
              <w:rPr>
                <w:sz w:val="20"/>
                <w:szCs w:val="20"/>
              </w:rPr>
              <w:t xml:space="preserve"> </w:t>
            </w:r>
            <w:r>
              <w:rPr>
                <w:sz w:val="20"/>
                <w:szCs w:val="20"/>
              </w:rPr>
              <w:t xml:space="preserve">“</w:t>
            </w:r>
            <w:r>
              <w:rPr>
                <w:sz w:val="20"/>
                <w:szCs w:val="20"/>
              </w:rPr>
              <w:t xml:space="preserve">balance these obligations</w:t>
            </w:r>
            <w:r>
              <w:rPr>
                <w:sz w:val="20"/>
                <w:szCs w:val="20"/>
              </w:rPr>
              <w:t xml:space="preserve">”</w:t>
            </w:r>
          </w:p>
        </w:tc>
        <w:tc>
          <w:tcPr/>
          <w:p>
            <w:pPr>
              <w:pStyle w:val="Compact"/>
              <w:jc w:val="left"/>
            </w:pPr>
            <w:r>
              <w:rPr>
                <w:sz w:val="20"/>
                <w:szCs w:val="20"/>
              </w:rPr>
              <w:t xml:space="preserve">D7.4, Table 5.2, OPR-6, p. 43</w:t>
            </w:r>
          </w:p>
        </w:tc>
        <w:tc>
          <w:tcPr/>
          <w:p>
            <w:pPr>
              <w:pStyle w:val="Compact"/>
              <w:jc w:val="left"/>
            </w:pPr>
            <w:r>
              <w:rPr>
                <w:sz w:val="20"/>
                <w:szCs w:val="20"/>
              </w:rPr>
              <w:t xml:space="preserve">Supplies the balance for the logs: what accountability needs is kept, what the ceiling reaches is invalidated</w:t>
            </w:r>
          </w:p>
        </w:tc>
        <w:tc>
          <w:tcPr/>
          <w:p>
            <w:pPr>
              <w:pStyle w:val="Compact"/>
              <w:jc w:val="left"/>
            </w:pPr>
            <w:hyperlink w:anchor="sec_4_7" w:history="1">
              <w:r>
                <w:rPr>
                  <w:rStyle w:val="Hyperlink"/>
                  <w:sz w:val="20"/>
                  <w:szCs w:val="20"/>
                </w:rPr>
                <w:t xml:space="preserve">§4.7</w:t>
              </w:r>
            </w:hyperlink>
            <w:r>
              <w:rPr>
                <w:sz w:val="20"/>
                <w:szCs w:val="20"/>
              </w:rPr>
              <w:t xml:space="preserve">, </w:t>
            </w:r>
            <w:hyperlink w:anchor="sec_4_8" w:history="1">
              <w:r>
                <w:rPr>
                  <w:rStyle w:val="Hyperlink"/>
                  <w:sz w:val="20"/>
                  <w:szCs w:val="20"/>
                </w:rPr>
                <w:t xml:space="preserve">§4.8</w:t>
              </w:r>
            </w:hyperlink>
          </w:p>
        </w:tc>
        <w:tc>
          <w:tcPr/>
          <w:p>
            <w:pPr>
              <w:pStyle w:val="Compact"/>
              <w:jc w:val="left"/>
            </w:pPr>
            <w:r>
              <w:rPr>
                <w:sz w:val="20"/>
                <w:szCs w:val="20"/>
              </w:rPr>
              <w:t xml:space="preserve">Met by specification: the specification asks for the balance and leaves its form open</w:t>
            </w:r>
          </w:p>
        </w:tc>
      </w:tr>
      <w:tr>
        <w:trPr>
          <w:cantSplit/>
        </w:trPr>
        <w:tc>
          <w:tcPr/>
          <w:p>
            <w:pPr>
              <w:pStyle w:val="Compact"/>
              <w:jc w:val="left"/>
            </w:pPr>
            <w:r>
              <w:rPr>
                <w:sz w:val="20"/>
                <w:szCs w:val="20"/>
              </w:rPr>
              <w:t xml:space="preserve">Whether the audit purpose needs the subject link after the ceiling</w:t>
            </w:r>
          </w:p>
        </w:tc>
        <w:tc>
          <w:tcPr/>
          <w:p>
            <w:pPr>
              <w:pStyle w:val="Compact"/>
              <w:jc w:val="left"/>
            </w:pPr>
            <w:r>
              <w:rPr>
                <w:sz w:val="20"/>
                <w:szCs w:val="20"/>
              </w:rPr>
              <w:t xml:space="preserve">EHDS Art. 73(1)(e) read with Art. 68(12)</w:t>
            </w:r>
          </w:p>
        </w:tc>
        <w:tc>
          <w:tcPr/>
          <w:p>
            <w:pPr>
              <w:pStyle w:val="Compact"/>
              <w:jc w:val="left"/>
            </w:pPr>
            <w:r>
              <w:rPr>
                <w:sz w:val="20"/>
                <w:szCs w:val="20"/>
              </w:rPr>
              <w:t xml:space="preserve">Removes it; keeps accessor fields</w:t>
            </w:r>
          </w:p>
        </w:tc>
        <w:tc>
          <w:tcPr/>
          <w:p>
            <w:pPr>
              <w:pStyle w:val="Compact"/>
              <w:jc w:val="left"/>
            </w:pPr>
            <w:hyperlink w:anchor="sec_4_6" w:history="1">
              <w:r>
                <w:rPr>
                  <w:rStyle w:val="Hyperlink"/>
                  <w:sz w:val="20"/>
                  <w:szCs w:val="20"/>
                </w:rPr>
                <w:t xml:space="preserve">§4.6</w:t>
              </w:r>
            </w:hyperlink>
            <w:r>
              <w:rPr>
                <w:sz w:val="20"/>
                <w:szCs w:val="20"/>
              </w:rPr>
              <w:t xml:space="preserve">, </w:t>
            </w:r>
            <w:hyperlink w:anchor="sec_7_4" w:history="1">
              <w:r>
                <w:rPr>
                  <w:rStyle w:val="Hyperlink"/>
                  <w:sz w:val="20"/>
                  <w:szCs w:val="20"/>
                </w:rPr>
                <w:t xml:space="preserve">§7.4</w:t>
              </w:r>
            </w:hyperlink>
          </w:p>
        </w:tc>
        <w:tc>
          <w:tcPr/>
          <w:p>
            <w:pPr>
              <w:pStyle w:val="Compact"/>
              <w:jc w:val="left"/>
            </w:pPr>
            <w:r>
              <w:rPr>
                <w:sz w:val="20"/>
                <w:szCs w:val="20"/>
              </w:rPr>
              <w:t xml:space="preserve">Open: interpretation for the supervisory authority</w:t>
            </w:r>
          </w:p>
        </w:tc>
      </w:tr>
      <w:tr>
        <w:trPr>
          <w:cantSplit/>
        </w:trPr>
        <w:tc>
          <w:tcPr/>
          <w:p>
            <w:pPr>
              <w:pStyle w:val="Compact"/>
              <w:jc w:val="left"/>
            </w:pPr>
            <w:r>
              <w:rPr>
                <w:sz w:val="20"/>
                <w:szCs w:val="20"/>
              </w:rPr>
              <w:t xml:space="preserve">Erasure without undue delay, within one month (extendable by two)</w:t>
            </w:r>
          </w:p>
        </w:tc>
        <w:tc>
          <w:tcPr/>
          <w:p>
            <w:pPr>
              <w:pStyle w:val="Compact"/>
              <w:jc w:val="left"/>
            </w:pPr>
            <w:r>
              <w:rPr>
                <w:sz w:val="20"/>
                <w:szCs w:val="20"/>
              </w:rPr>
              <w:t xml:space="preserve">GDPR Arts. 17(1), 12(3)</w:t>
            </w:r>
          </w:p>
        </w:tc>
        <w:tc>
          <w:tcPr/>
          <w:p>
            <w:pPr>
              <w:pStyle w:val="Compact"/>
              <w:jc w:val="left"/>
            </w:pPr>
            <w:r>
              <w:rPr>
                <w:sz w:val="20"/>
                <w:szCs w:val="20"/>
              </w:rPr>
              <w:t xml:space="preserve">Invalidation at</w:t>
            </w:r>
            <w:r>
              <w:rPr>
                <w:sz w:val="20"/>
                <w:szCs w:val="20"/>
              </w:rPr>
              <w:t xml:space="preserve"> </w:t>
            </w:r>
            <m:oMath>
              <m:sSub>
                <m:e>
                  <m:r>
                    <m:t>t</m:t>
                  </m:r>
                </m:e>
                <m:sub>
                  <m:r>
                    <m:t>r</m:t>
                  </m:r>
                </m:sub>
              </m:sSub>
              <m:r>
                <m:rPr>
                  <m:sty m:val="p"/>
                </m:rPr>
                <m:t>+</m:t>
              </m:r>
              <m:r>
                <m:t>δ</m:t>
              </m:r>
            </m:oMath>
            <w:r>
              <w:rPr>
                <w:sz w:val="20"/>
                <w:szCs w:val="20"/>
              </w:rPr>
              <w:t xml:space="preserve">,</w:t>
            </w:r>
            <w:r>
              <w:rPr>
                <w:sz w:val="20"/>
                <w:szCs w:val="20"/>
              </w:rPr>
              <w:t xml:space="preserve"> </w:t>
            </w:r>
            <m:oMath>
              <m:r>
                <m:t>δ</m:t>
              </m:r>
              <m:r>
                <m:rPr>
                  <m:sty m:val="p"/>
                </m:rPr>
                <m:t>∈</m:t>
              </m:r>
              <m:r>
                <m:rPr>
                  <m:sty m:val="p"/>
                </m:rPr>
                <m:t>{</m:t>
              </m:r>
              <m:r>
                <m:t>1</m:t>
              </m:r>
              <m:r>
                <m:rPr>
                  <m:sty m:val="p"/>
                </m:rPr>
                <m:t>,</m:t>
              </m:r>
              <m:r>
                <m:t>3</m:t>
              </m:r>
              <m:r>
                <m:rPr>
                  <m:sty m:val="p"/>
                </m:rPr>
                <m:t>}</m:t>
              </m:r>
            </m:oMath>
          </w:p>
        </w:tc>
        <w:tc>
          <w:tcPr/>
          <w:p>
            <w:pPr>
              <w:pStyle w:val="Compact"/>
              <w:jc w:val="left"/>
            </w:pPr>
            <w:hyperlink w:anchor="sec_4_4" w:history="1">
              <w:r>
                <w:rPr>
                  <w:rStyle w:val="Hyperlink"/>
                  <w:sz w:val="20"/>
                  <w:szCs w:val="20"/>
                </w:rPr>
                <w:t xml:space="preserve">§4.4</w:t>
              </w:r>
            </w:hyperlink>
            <w:r>
              <w:rPr>
                <w:sz w:val="20"/>
                <w:szCs w:val="20"/>
              </w:rPr>
              <w:t xml:space="preserve"> C2;</w:t>
            </w:r>
            <w:r>
              <w:rPr>
                <w:sz w:val="20"/>
                <w:szCs w:val="20"/>
              </w:rPr>
              <w:t xml:space="preserve"> </w:t>
            </w:r>
            <w:r>
              <w:rPr>
                <w:rStyle w:val="VerbatimChar"/>
                <w:sz w:val="20"/>
                <w:szCs w:val="20"/>
              </w:rPr>
              <w:t xml:space="preserve">--delta-witness</w:t>
            </w:r>
          </w:p>
        </w:tc>
        <w:tc>
          <w:tcPr/>
          <w:p>
            <w:pPr>
              <w:pStyle w:val="Compact"/>
              <w:jc w:val="left"/>
            </w:pPr>
            <w:r>
              <w:rPr>
                <w:sz w:val="20"/>
                <w:szCs w:val="20"/>
              </w:rPr>
              <w:t xml:space="preserve">Met in the artefact (both</w:t>
            </w:r>
            <w:r>
              <w:rPr>
                <w:sz w:val="20"/>
                <w:szCs w:val="20"/>
              </w:rPr>
              <w:t xml:space="preserve"> </w:t>
            </w:r>
            <m:oMath>
              <m:r>
                <m:t>δ</m:t>
              </m:r>
            </m:oMath>
            <w:r>
              <w:rPr>
                <w:sz w:val="20"/>
                <w:szCs w:val="20"/>
              </w:rPr>
              <w:t xml:space="preserve">)</w:t>
            </w:r>
          </w:p>
        </w:tc>
      </w:tr>
      <w:tr>
        <w:trPr>
          <w:cantSplit/>
        </w:trPr>
        <w:tc>
          <w:tcPr/>
          <w:p>
            <w:pPr>
              <w:pStyle w:val="Compact"/>
              <w:jc w:val="left"/>
            </w:pPr>
            <w:r>
              <w:rPr>
                <w:sz w:val="20"/>
                <w:szCs w:val="20"/>
              </w:rPr>
              <w:t xml:space="preserve">Retention only as far as the legal obligation requires</w:t>
            </w:r>
          </w:p>
        </w:tc>
        <w:tc>
          <w:tcPr/>
          <w:p>
            <w:pPr>
              <w:pStyle w:val="Compact"/>
              <w:jc w:val="left"/>
            </w:pPr>
            <w:r>
              <w:rPr>
                <w:sz w:val="20"/>
                <w:szCs w:val="20"/>
              </w:rPr>
              <w:t xml:space="preserve">GDPR Arts. 17(3)(b), 5(1)(c)</w:t>
            </w:r>
          </w:p>
        </w:tc>
        <w:tc>
          <w:tcPr/>
          <w:p>
            <w:pPr>
              <w:pStyle w:val="Compact"/>
              <w:jc w:val="left"/>
            </w:pPr>
            <w:r>
              <w:rPr>
                <w:sz w:val="20"/>
                <w:szCs w:val="20"/>
              </w:rPr>
              <w:t xml:space="preserve">Keeps accountability content and commitment; removes payload</w:t>
            </w:r>
          </w:p>
        </w:tc>
        <w:tc>
          <w:tcPr/>
          <w:p>
            <w:pPr>
              <w:pStyle w:val="Compact"/>
              <w:jc w:val="left"/>
            </w:pPr>
            <w:hyperlink w:anchor="sec_4_2" w:history="1">
              <w:r>
                <w:rPr>
                  <w:rStyle w:val="Hyperlink"/>
                  <w:sz w:val="20"/>
                  <w:szCs w:val="20"/>
                </w:rPr>
                <w:t xml:space="preserve">§4.2</w:t>
              </w:r>
            </w:hyperlink>
          </w:p>
        </w:tc>
        <w:tc>
          <w:tcPr/>
          <w:p>
            <w:pPr>
              <w:pStyle w:val="Compact"/>
              <w:jc w:val="left"/>
            </w:pPr>
            <w:r>
              <w:rPr>
                <w:sz w:val="20"/>
                <w:szCs w:val="20"/>
              </w:rPr>
              <w:t xml:space="preserve">Met by specification (necessity argument)</w:t>
            </w:r>
          </w:p>
        </w:tc>
      </w:tr>
      <w:tr>
        <w:trPr>
          <w:cantSplit/>
        </w:trPr>
        <w:tc>
          <w:tcPr/>
          <w:p>
            <w:pPr>
              <w:pStyle w:val="Compact"/>
              <w:jc w:val="left"/>
            </w:pPr>
            <w:r>
              <w:rPr>
                <w:sz w:val="20"/>
                <w:szCs w:val="20"/>
              </w:rPr>
              <w:t xml:space="preserve">Not kept in identifiable form longer than necessary</w:t>
            </w:r>
          </w:p>
        </w:tc>
        <w:tc>
          <w:tcPr/>
          <w:p>
            <w:pPr>
              <w:pStyle w:val="Compact"/>
              <w:jc w:val="left"/>
            </w:pPr>
            <w:r>
              <w:rPr>
                <w:sz w:val="20"/>
                <w:szCs w:val="20"/>
              </w:rPr>
              <w:t xml:space="preserve">GDPR Art. 5(1)(e)</w:t>
            </w:r>
          </w:p>
        </w:tc>
        <w:tc>
          <w:tcPr/>
          <w:p>
            <w:pPr>
              <w:pStyle w:val="Compact"/>
              <w:jc w:val="left"/>
            </w:pPr>
            <w:r>
              <w:rPr>
                <w:sz w:val="20"/>
                <w:szCs w:val="20"/>
              </w:rPr>
              <w:t xml:space="preserve">Terminal transition after the floor</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End of life</w:t>
            </w:r>
          </w:p>
        </w:tc>
        <w:tc>
          <w:tcPr/>
          <w:p>
            <w:pPr>
              <w:pStyle w:val="Compact"/>
              <w:jc w:val="left"/>
            </w:pPr>
            <w:r>
              <w:rPr>
                <w:sz w:val="20"/>
                <w:szCs w:val="20"/>
              </w:rPr>
              <w:t xml:space="preserve">Met by specification; not implemented in the checker (</w:t>
            </w:r>
            <w:hyperlink w:anchor="sec_6_1" w:history="1">
              <w:r>
                <w:rPr>
                  <w:rStyle w:val="Hyperlink"/>
                  <w:sz w:val="20"/>
                  <w:szCs w:val="20"/>
                </w:rPr>
                <w:t xml:space="preserve">§6.1</w:t>
              </w:r>
            </w:hyperlink>
            <w:r>
              <w:rPr>
                <w:sz w:val="20"/>
                <w:szCs w:val="20"/>
              </w:rPr>
              <w:t xml:space="preserve">)</w:t>
            </w:r>
          </w:p>
        </w:tc>
      </w:tr>
      <w:tr>
        <w:trPr>
          <w:cantSplit/>
        </w:trPr>
        <w:tc>
          <w:tcPr/>
          <w:p>
            <w:pPr>
              <w:pStyle w:val="Compact"/>
              <w:jc w:val="left"/>
            </w:pPr>
            <w:r>
              <w:rPr>
                <w:sz w:val="20"/>
                <w:szCs w:val="20"/>
              </w:rPr>
              <w:t xml:space="preserve">Key deletion may serve erasure where physical deletion is not possible; threat model documented</w:t>
            </w:r>
          </w:p>
        </w:tc>
        <w:tc>
          <w:tcPr/>
          <w:p>
            <w:pPr>
              <w:pStyle w:val="Compact"/>
              <w:jc w:val="left"/>
            </w:pPr>
            <w:r>
              <w:rPr>
                <w:sz w:val="20"/>
                <w:szCs w:val="20"/>
              </w:rPr>
              <w:t xml:space="preserve">EDPB Guidelines 02/2025 v2.0; Aikebaier (2026) on the threat model</w:t>
            </w:r>
          </w:p>
        </w:tc>
        <w:tc>
          <w:tcPr/>
          <w:p>
            <w:pPr>
              <w:pStyle w:val="Compact"/>
              <w:jc w:val="left"/>
            </w:pPr>
            <w:r>
              <w:rPr>
                <w:sz w:val="20"/>
                <w:szCs w:val="20"/>
              </w:rPr>
              <w:t xml:space="preserve">Per-record keys under a key-encrypting key; trust assumptions stated</w:t>
            </w:r>
          </w:p>
        </w:tc>
        <w:tc>
          <w:tcPr/>
          <w:p>
            <w:pPr>
              <w:pStyle w:val="Compact"/>
              <w:jc w:val="left"/>
            </w:pPr>
            <w:hyperlink w:anchor="sec_4_8" w:history="1">
              <w:r>
                <w:rPr>
                  <w:rStyle w:val="Hyperlink"/>
                  <w:sz w:val="20"/>
                  <w:szCs w:val="20"/>
                </w:rPr>
                <w:t xml:space="preserve">§4.8</w:t>
              </w:r>
            </w:hyperlink>
            <w:r>
              <w:rPr>
                <w:sz w:val="20"/>
                <w:szCs w:val="20"/>
              </w:rPr>
              <w:t xml:space="preserve">, </w:t>
            </w:r>
            <w:hyperlink w:anchor="sec_4_9" w:history="1">
              <w:r>
                <w:rPr>
                  <w:rStyle w:val="Hyperlink"/>
                  <w:sz w:val="20"/>
                  <w:szCs w:val="20"/>
                </w:rPr>
                <w:t xml:space="preserve">§4.9</w:t>
              </w:r>
            </w:hyperlink>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Hierarchy met in the optional module; hardware custody and the threat model by specification</w:t>
            </w:r>
          </w:p>
        </w:tc>
      </w:tr>
      <w:tr>
        <w:trPr>
          <w:cantSplit/>
        </w:trPr>
        <w:tc>
          <w:tcPr/>
          <w:p>
            <w:pPr>
              <w:pStyle w:val="Compact"/>
              <w:jc w:val="left"/>
            </w:pPr>
            <w:r>
              <w:rPr>
                <w:sz w:val="20"/>
                <w:szCs w:val="20"/>
              </w:rPr>
              <w:t xml:space="preserve">Audit message records the query segment</w:t>
            </w:r>
          </w:p>
        </w:tc>
        <w:tc>
          <w:tcPr/>
          <w:p>
            <w:pPr>
              <w:pStyle w:val="Compact"/>
              <w:jc w:val="left"/>
            </w:pPr>
            <w:r>
              <w:rPr>
                <w:sz w:val="20"/>
                <w:szCs w:val="20"/>
              </w:rPr>
              <w:t xml:space="preserve">IHE ITI-55, §3.55.5.1</w:t>
            </w:r>
          </w:p>
        </w:tc>
        <w:tc>
          <w:tcPr/>
          <w:p>
            <w:pPr>
              <w:pStyle w:val="Compact"/>
              <w:jc w:val="left"/>
            </w:pPr>
            <w:r>
              <w:rPr>
                <w:sz w:val="20"/>
                <w:szCs w:val="20"/>
              </w:rPr>
              <w:t xml:space="preserve">Treated as payload: committed, then invalidated on request</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 (cross-border payload models the query)</w:t>
            </w:r>
          </w:p>
        </w:tc>
      </w:tr>
      <w:tr>
        <w:trPr>
          <w:cantSplit/>
        </w:trPr>
        <w:tc>
          <w:tcPr/>
          <w:p>
            <w:pPr>
              <w:pStyle w:val="Compact"/>
              <w:jc w:val="left"/>
            </w:pPr>
            <w:r>
              <w:rPr>
                <w:sz w:val="20"/>
                <w:szCs w:val="20"/>
              </w:rPr>
              <w:t xml:space="preserve">Information-security management system (mandatory); ISO 27001 (recommended); eID login at defined assurance levels; personnel security</w:t>
            </w:r>
          </w:p>
        </w:tc>
        <w:tc>
          <w:tcPr/>
          <w:p>
            <w:pPr>
              <w:pStyle w:val="Compact"/>
              <w:jc w:val="left"/>
            </w:pPr>
            <w:r>
              <w:rPr>
                <w:sz w:val="20"/>
                <w:szCs w:val="20"/>
              </w:rPr>
              <w:t xml:space="preserve">SPUHiN (2025), hearing version</w:t>
            </w:r>
          </w:p>
        </w:tc>
        <w:tc>
          <w:tcPr/>
          <w:p>
            <w:pPr>
              <w:pStyle w:val="Compact"/>
              <w:jc w:val="left"/>
            </w:pPr>
            <w:r>
              <w:rPr>
                <w:sz w:val="20"/>
                <w:szCs w:val="20"/>
              </w:rPr>
              <w:t xml:space="preserve">Requires none of these to change; operates at the logging boundary</w:t>
            </w:r>
          </w:p>
        </w:tc>
        <w:tc>
          <w:tcPr/>
          <w:p>
            <w:pPr>
              <w:pStyle w:val="Compact"/>
              <w:jc w:val="left"/>
            </w:pPr>
            <w:hyperlink w:anchor="sec_4_11" w:history="1">
              <w:r>
                <w:rPr>
                  <w:rStyle w:val="Hyperlink"/>
                  <w:sz w:val="20"/>
                  <w:szCs w:val="20"/>
                </w:rPr>
                <w:t xml:space="preserve">§4.11</w:t>
              </w:r>
            </w:hyperlink>
          </w:p>
        </w:tc>
        <w:tc>
          <w:tcPr/>
          <w:p>
            <w:pPr>
              <w:pStyle w:val="Compact"/>
              <w:jc w:val="left"/>
            </w:pPr>
            <w:r>
              <w:rPr>
                <w:sz w:val="20"/>
                <w:szCs w:val="20"/>
              </w:rPr>
              <w:t xml:space="preserve">No conflict</w:t>
            </w:r>
          </w:p>
        </w:tc>
      </w:tr>
      <w:tr>
        <w:trPr>
          <w:cantSplit/>
        </w:trPr>
        <w:tc>
          <w:tcPr/>
          <w:p>
            <w:pPr>
              <w:pStyle w:val="Compact"/>
              <w:jc w:val="left"/>
            </w:pPr>
            <w:r>
              <w:rPr>
                <w:sz w:val="20"/>
                <w:szCs w:val="20"/>
              </w:rPr>
              <w:t xml:space="preserve">Tamper-proof, identifiable logs of access to the SPE, at least one year (mandatory); of file extraction, one year (mandatory); of activities (recommended)</w:t>
            </w:r>
          </w:p>
        </w:tc>
        <w:tc>
          <w:tcPr/>
          <w:p>
            <w:pPr>
              <w:pStyle w:val="Compact"/>
              <w:jc w:val="left"/>
            </w:pPr>
            <w:r>
              <w:rPr>
                <w:sz w:val="20"/>
                <w:szCs w:val="20"/>
              </w:rPr>
              <w:t xml:space="preserve">SPUHiN (2024), draft, P13, P24, P14</w:t>
            </w:r>
          </w:p>
        </w:tc>
        <w:tc>
          <w:tcPr/>
          <w:p>
            <w:pPr>
              <w:pStyle w:val="Compact"/>
              <w:jc w:val="left"/>
            </w:pPr>
            <w:r>
              <w:rPr>
                <w:sz w:val="20"/>
                <w:szCs w:val="20"/>
              </w:rPr>
              <w:t xml:space="preserve">Accessor fields kept identifiable for the floor; every access event in the append-only Merkle log</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8" w:history="1">
              <w:r>
                <w:rPr>
                  <w:rStyle w:val="Hyperlink"/>
                  <w:sz w:val="20"/>
                  <w:szCs w:val="20"/>
                </w:rPr>
                <w:t xml:space="preserve">§4.8</w:t>
              </w:r>
            </w:hyperlink>
            <w:r>
              <w:rPr>
                <w:sz w:val="20"/>
                <w:szCs w:val="20"/>
              </w:rPr>
              <w:t xml:space="preserve">;</w:t>
            </w:r>
            <w:r>
              <w:rPr>
                <w:sz w:val="20"/>
                <w:szCs w:val="20"/>
              </w:rPr>
              <w:t xml:space="preserve"> </w:t>
            </w:r>
            <w:r>
              <w:rPr>
                <w:rStyle w:val="VerbatimChar"/>
                <w:sz w:val="20"/>
                <w:szCs w:val="20"/>
              </w:rPr>
              <w:t xml:space="preserve">MerkleLog</w:t>
            </w:r>
          </w:p>
        </w:tc>
        <w:tc>
          <w:tcPr/>
          <w:p>
            <w:pPr>
              <w:pStyle w:val="Compact"/>
              <w:jc w:val="left"/>
            </w:pPr>
            <w:r>
              <w:rPr>
                <w:sz w:val="20"/>
                <w:szCs w:val="20"/>
              </w:rPr>
              <w:t xml:space="preserve">Access logs met in the artefact (</w:t>
            </w:r>
            <m:oMath>
              <m:r>
                <m:t>F</m:t>
              </m:r>
              <m:r>
                <m:rPr>
                  <m:sty m:val="p"/>
                </m:rPr>
                <m:t>=</m:t>
              </m:r>
              <m:r>
                <m:t>12</m:t>
              </m:r>
            </m:oMath>
            <w:r>
              <w:rPr>
                <w:sz w:val="20"/>
                <w:szCs w:val="20"/>
              </w:rPr>
              <w:t xml:space="preserve">; both tamper tests fail</w:t>
            </w:r>
            <w:r>
              <w:rPr>
                <w:sz w:val="20"/>
                <w:szCs w:val="20"/>
              </w:rPr>
              <w:t xml:space="preserve"> </w:t>
            </w:r>
            <m:oMath>
              <m:sSup>
                <m:e>
                  <m:r>
                    <m:t>V</m:t>
                  </m:r>
                </m:e>
                <m:sup>
                  <m:r>
                    <m:t>I</m:t>
                  </m:r>
                  <m:r>
                    <m:t>I</m:t>
                  </m:r>
                </m:sup>
              </m:sSup>
            </m:oMath>
            <w:r>
              <w:rPr>
                <w:sz w:val="20"/>
                <w:szCs w:val="20"/>
              </w:rPr>
              <w:t xml:space="preserve">); extraction and activity logs covered by the same mechanism, not modelled separately</w:t>
            </w:r>
          </w:p>
        </w:tc>
      </w:tr>
      <w:tr>
        <w:trPr>
          <w:cantSplit/>
        </w:trPr>
        <w:tc>
          <w:tcPr/>
          <w:p>
            <w:pPr>
              <w:pStyle w:val="Compact"/>
              <w:jc w:val="left"/>
            </w:pPr>
            <w:r>
              <w:rPr>
                <w:sz w:val="20"/>
                <w:szCs w:val="20"/>
              </w:rPr>
              <w:t xml:space="preserve">Defined termination procedure (mandatory); implementation examples include back-ups and log files</w:t>
            </w:r>
          </w:p>
        </w:tc>
        <w:tc>
          <w:tcPr/>
          <w:p>
            <w:pPr>
              <w:pStyle w:val="Compact"/>
              <w:jc w:val="left"/>
            </w:pPr>
            <w:r>
              <w:rPr>
                <w:sz w:val="20"/>
                <w:szCs w:val="20"/>
              </w:rPr>
              <w:t xml:space="preserve">SPUHiN (2024), draft, P31</w:t>
            </w:r>
          </w:p>
        </w:tc>
        <w:tc>
          <w:tcPr/>
          <w:p>
            <w:pPr>
              <w:pStyle w:val="Compact"/>
              <w:jc w:val="left"/>
            </w:pPr>
            <w:r>
              <w:rPr>
                <w:sz w:val="20"/>
                <w:szCs w:val="20"/>
              </w:rPr>
              <w:t xml:space="preserve">Supplies the rule for the log files: invalidation at the ceiling, terminal transition after the floor</w:t>
            </w:r>
          </w:p>
        </w:tc>
        <w:tc>
          <w:tcPr/>
          <w:p>
            <w:pPr>
              <w:pStyle w:val="Compact"/>
              <w:jc w:val="left"/>
            </w:pPr>
            <w:hyperlink w:anchor="sec_4_8" w:history="1">
              <w:r>
                <w:rPr>
                  <w:rStyle w:val="Hyperlink"/>
                  <w:sz w:val="20"/>
                  <w:szCs w:val="20"/>
                </w:rPr>
                <w:t xml:space="preserve">§4.8</w:t>
              </w:r>
            </w:hyperlink>
          </w:p>
        </w:tc>
        <w:tc>
          <w:tcPr/>
          <w:p>
            <w:pPr>
              <w:pStyle w:val="Compact"/>
              <w:jc w:val="left"/>
            </w:pPr>
            <w:r>
              <w:rPr>
                <w:sz w:val="20"/>
                <w:szCs w:val="20"/>
              </w:rPr>
              <w:t xml:space="preserve">Met by specification; the terminal transition is not implemented (</w:t>
            </w:r>
            <w:hyperlink w:anchor="sec_6_1" w:history="1">
              <w:r>
                <w:rPr>
                  <w:rStyle w:val="Hyperlink"/>
                  <w:sz w:val="20"/>
                  <w:szCs w:val="20"/>
                </w:rPr>
                <w:t xml:space="preserve">§6.1</w:t>
              </w:r>
            </w:hyperlink>
            <w:r>
              <w:rPr>
                <w:sz w:val="20"/>
                <w:szCs w:val="20"/>
              </w:rPr>
              <w:t xml:space="preserve">)</w:t>
            </w:r>
          </w:p>
        </w:tc>
      </w:tr>
      <w:tr>
        <w:trPr>
          <w:cantSplit/>
        </w:trPr>
        <w:tc>
          <w:tcPr/>
          <w:p>
            <w:pPr>
              <w:pStyle w:val="Compact"/>
              <w:jc w:val="left"/>
            </w:pPr>
            <w:r>
              <w:rPr>
                <w:sz w:val="20"/>
                <w:szCs w:val="20"/>
              </w:rPr>
              <w:t xml:space="preserve">Reconciliation of log retention with deletion</w:t>
            </w:r>
          </w:p>
        </w:tc>
        <w:tc>
          <w:tcPr/>
          <w:p>
            <w:pPr>
              <w:pStyle w:val="Compact"/>
              <w:jc w:val="left"/>
            </w:pPr>
            <w:r>
              <w:rPr>
                <w:sz w:val="20"/>
                <w:szCs w:val="20"/>
              </w:rPr>
              <w:t xml:space="preserve">SPUHiN (2025), hearing version</w:t>
            </w:r>
          </w:p>
        </w:tc>
        <w:tc>
          <w:tcPr/>
          <w:p>
            <w:pPr>
              <w:pStyle w:val="Compact"/>
              <w:jc w:val="left"/>
            </w:pPr>
            <w:r>
              <w:rPr>
                <w:sz w:val="20"/>
                <w:szCs w:val="20"/>
              </w:rPr>
              <w:t xml:space="preserve">Not addressed by the criteria at any grade; the mechanism supplies one</w:t>
            </w:r>
          </w:p>
        </w:tc>
        <w:tc>
          <w:tcPr/>
          <w:p>
            <w:pPr>
              <w:pStyle w:val="Compact"/>
              <w:jc w:val="left"/>
            </w:pPr>
            <w:hyperlink w:anchor="sec_2_6" w:history="1">
              <w:r>
                <w:rPr>
                  <w:rStyle w:val="Hyperlink"/>
                  <w:sz w:val="20"/>
                  <w:szCs w:val="20"/>
                </w:rPr>
                <w:t xml:space="preserve">§2.6</w:t>
              </w:r>
            </w:hyperlink>
            <w:r>
              <w:rPr>
                <w:sz w:val="20"/>
                <w:szCs w:val="20"/>
              </w:rPr>
              <w:t xml:space="preserve">, </w:t>
            </w:r>
            <w:hyperlink w:anchor="sec_4_11" w:history="1">
              <w:r>
                <w:rPr>
                  <w:rStyle w:val="Hyperlink"/>
                  <w:sz w:val="20"/>
                  <w:szCs w:val="20"/>
                </w:rPr>
                <w:t xml:space="preserve">§4.11</w:t>
              </w:r>
            </w:hyperlink>
          </w:p>
        </w:tc>
        <w:tc>
          <w:tcPr/>
          <w:p>
            <w:pPr>
              <w:pStyle w:val="Compact"/>
              <w:jc w:val="left"/>
            </w:pPr>
            <w:r>
              <w:rPr>
                <w:sz w:val="20"/>
                <w:szCs w:val="20"/>
              </w:rPr>
              <w:t xml:space="preserve">Gap the thesis addresses</w:t>
            </w:r>
          </w:p>
        </w:tc>
      </w:tr>
    </w:tbl>
    <w:p>
      <w:pPr>
        <w:pStyle w:val="BodyText"/>
        <w:spacing w:before="240" w:after="160" w:line="360" w:lineRule="auto"/>
      </w:pPr>
      <w:r>
        <w:t xml:space="preserve">Three things follow from the table. Every requirement the artefact can execute is met in the run; the requirements met only by specification are hardware key custody, the terminal transition and the legal necessity argument, none of which a sandbox can demonstrate; and one row is open, which no artefact can close. The rows met by specification are those the expert evaluation of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is designed to test with practitioners.</w:t>
      </w:r>
    </w:p>
    <w:bookmarkEnd w:id="74"/>
    <w:bookmarkStart w:id="75" w:name="summary"/>
    <w:p>
      <w:pPr>
        <w:pStyle w:val="Heading2"/>
      </w:pPr>
      <w:bookmarkStart w:id="1056" w:name="sec_4_12"/>
      <w:r>
        <w:t xml:space="preserve">4.12 Summary</w:t>
      </w:r>
      <w:bookmarkEnd w:id="1056"/>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plaintext-verifiability semantics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It showed that a ceiling collides with a floor only when it is no longer than the floor, and that the ceiling’s anchor decides whether the collision can be read from the text (Proposition 3), and that relocating a record meets the ceiling but not the right (Proposition 4). That trajectory, specified as Crypto-Erasure by Invalidation, retains metadata and a hiding commitment, and destroys the payload key at the earlier of the erasure deadline and the deletion ceiling. It appends the invalidation to a tamper-evident audit log as a first-class, witnessed event, in a log built never to hold what erasure reaches.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 The terminal transition, the per-entry nonce, consistency proofs and the accumulator layer are specified but not implemented in the artefact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 For Secure Processing Environment records the result assumes that auditing does not need the payload; Corollary 2.3 states what follows if it needs part of it.</w:t>
      </w:r>
    </w:p>
    <w:p>
      <w:pPr>
        <w:pStyle w:val="BodyText"/>
      </w:pPr>
      <w:r>
        <w:t xml:space="preserve">The mechanism’s residue is pseudonymised rather than anonymous by the strict Norwegian standard, it is defensible under the erasure test the European Data Protection Board has articulated and, on Aikebaier’s (2026) reading, provided the threat model is documented, and its long-horizon cryptographic risk is real and recorded. The limitations bearing on this chapter, the informal proof standard and the conditionality on honest key destruction among them, are those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are not restated here. Six rival designs were considered: five were rejected on stated grounds and one, relocation, was accepted for the ceiling alone.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hyperlink w:anchor="ch_5" w:history="1">
        <w:r>
          <w:rPr>
            <w:rStyle w:val="Hyperlink"/>
          </w:rPr>
          <w:t xml:space="preserve">Chapter 5</w:t>
        </w:r>
      </w:hyperlink>
      <w:r>
        <w:t xml:space="preserve"> demonstrates Propositions 1 and 2 executably, over synthetic records generated as described in Chapter 3.</w:t>
      </w:r>
    </w:p>
    <w:bookmarkEnd w:id="75"/>
    <w:bookmarkEnd w:id="76"/>
    <w:bookmarkStart w:id="88" w:name="chapter-5.-demonstration"/>
    <w:p>
      <w:pPr>
        <w:pStyle w:val="Heading1"/>
      </w:pPr>
      <w:bookmarkStart w:id="1057" w:name="ch_5"/>
      <w:r>
        <w:t xml:space="preserve">Chapter 5. Demonstration</w:t>
      </w:r>
      <w:bookmarkEnd w:id="1057"/>
    </w:p>
    <w:p>
      <w:pPr>
        <w:pStyle w:val="FirstParagraph"/>
      </w:pPr>
      <w:r>
        <w:rPr>
          <w:iCs/>
          <w:i/>
        </w:rPr>
        <w:t xml:space="preserve">Every figure reported in this chapter was produced by the code listed in Appendix A, executed under seed 20260915. The full-cohort comparison of </w:t>
      </w:r>
      <w:hyperlink w:anchor="tbl_5_7" w:history="1">
        <w:r>
          <w:rPr>
            <w:rStyle w:val="Hyperlink"/>
            <w:iCs/>
            <w:i/>
          </w:rPr>
          <w:t xml:space="preserve">Table 5.7</w:t>
        </w:r>
      </w:hyperlink>
      <w:r>
        <w:rPr>
          <w:iCs/>
          <w:i/>
        </w:rPr>
        <w:t xml:space="preserve"> was recorded on 28 September with the code of that date; the committed-subset run (Appendix A, A.21) repeats it with the current code and gives the same figures.</w:t>
      </w:r>
    </w:p>
    <w:bookmarkStart w:id="77" w:name="purpose-and-claim"/>
    <w:p>
      <w:pPr>
        <w:pStyle w:val="Heading2"/>
      </w:pPr>
      <w:bookmarkStart w:id="1058" w:name="sec_5_1"/>
      <w:r>
        <w:t xml:space="preserve">5.1 Purpose and Claim</w:t>
      </w:r>
      <w:bookmarkEnd w:id="1058"/>
    </w:p>
    <w:p>
      <w:pPr>
        <w:pStyle w:val="FirstParagraph"/>
      </w:pPr>
      <w:r>
        <w:t xml:space="preserve">This chapter discharges Activity 4 of the design science cycle set out in </w:t>
      </w:r>
      <w:hyperlink w:anchor="ch_3" w:history="1">
        <w:r>
          <w:rPr>
            <w:rStyle w:val="Hyperlink"/>
          </w:rPr>
          <w:t xml:space="preserve">Chapter 3</w:t>
        </w:r>
      </w:hyperlink>
      <w:r>
        <w:t xml:space="preserve">, </w:t>
      </w:r>
      <w:hyperlink w:anchor="sec_3_2" w:history="1">
        <w:r>
          <w:rPr>
            <w:rStyle w:val="Hyperlink"/>
          </w:rPr>
          <w:t xml:space="preserve">Section 3.2</w:t>
        </w:r>
      </w:hyperlink>
      <w:r>
        <w:t xml:space="preserve">: demonstration. Its function is narrow.</w:t>
      </w:r>
    </w:p>
    <w:p>
      <w:pPr>
        <w:pStyle w:val="BodyText"/>
      </w:pPr>
      <w:r>
        <w:t xml:space="preserve">The chapter demonstrates that Propositions 1 and 2 of </w:t>
      </w:r>
      <w:hyperlink w:anchor="ch_4" w:history="1">
        <w:r>
          <w:rPr>
            <w:rStyle w:val="Hyperlink"/>
          </w:rPr>
          <w:t xml:space="preserve">Chapter 4</w:t>
        </w:r>
      </w:hyperlink>
      <w:r>
        <w:t xml:space="preserve"> hold on the instances examined; Proposition 4 is analytic and is not executed here; </w:t>
      </w:r>
      <w:hyperlink w:anchor="sec_5_4" w:history="1">
        <w:r>
          <w:rPr>
            <w:rStyle w:val="Hyperlink"/>
          </w:rPr>
          <w:t xml:space="preserve">Section 5.4</w:t>
        </w:r>
      </w:hyperlink>
      <w:r>
        <w:t xml:space="preserve"> computes the condition of Proposition 3 and </w:t>
      </w:r>
      <w:hyperlink w:anchor="sec_5_5" w:history="1">
        <w:r>
          <w:rPr>
            <w:rStyle w:val="Hyperlink"/>
          </w:rPr>
          <w:t xml:space="preserve">Section 5.5</w:t>
        </w:r>
      </w:hyperlink>
      <w:r>
        <w:t xml:space="preserve"> checks it.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that, on the broad reading of Article 68(12) and for logs kept at patient-record granularity,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The demonstration produces thirty-nine such witnesses, a number the generator determines (</w:t>
      </w:r>
      <w:hyperlink w:anchor="sec_5_4" w:history="1">
        <w:r>
          <w:rPr>
            <w:rStyle w:val="Hyperlink"/>
          </w:rPr>
          <w:t xml:space="preserve">Section 5.4</w:t>
        </w:r>
      </w:hyperlink>
      <w:r>
        <w:t xml:space="preserve">).</w:t>
      </w:r>
    </w:p>
    <w:bookmarkEnd w:id="77"/>
    <w:bookmarkStart w:id="81" w:name="implementation"/>
    <w:p>
      <w:pPr>
        <w:pStyle w:val="Heading2"/>
      </w:pPr>
      <w:bookmarkStart w:id="1059" w:name="sec_5_2"/>
      <w:r>
        <w:t xml:space="preserve">5.2 Implementation</w:t>
      </w:r>
      <w:bookmarkEnd w:id="1059"/>
    </w:p>
    <w:p>
      <w:pPr>
        <w:pStyle w:val="FirstParagraph"/>
      </w:pPr>
      <w:r>
        <w:t xml:space="preserve">The checker is a single Python module of 534 lines including documentation, the independent cross-check and the audit-log integrity check, of which 414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The checker uses no cryptographic library, no solver, and no zero-knowledge proof system, consistent with the scope commitments of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the optional envelope-encryption module below is the only component that imports a cryptographic library.</w:t>
      </w:r>
    </w:p>
    <w:p>
      <w:pPr>
        <w:pStyle w:val="BodyText"/>
      </w:pPr>
      <w:r>
        <w:t xml:space="preserve">Six further modules accompany it, none of which alters anything the checker reports. Their line counts, and the full source of each, are given in Appendix A. Figure 5.1 maps the modules and the path a record takes through them.</w:t>
      </w:r>
    </w:p>
    <w:p>
      <w:pPr>
        <w:pStyle w:val="CaptionedFigure"/>
      </w:pPr>
      <w:r>
        <w:drawing>
          <wp:inline>
            <wp:extent cx="5753100" cy="3515353"/>
            <wp:effectExtent b="0" l="0" r="0" t="0"/>
            <wp:docPr descr="Figure 5.1. The artefact’s modules and data path. Records enter from the generator or one of the optional layers, are invalidated on schedule, and are checked under both semantics; the optional cryptographic module and the bounded SMT check sit beside the checker and report separately." title="" id="79" name="Picture"/>
            <a:graphic>
              <a:graphicData uri="http://schemas.openxmlformats.org/drawingml/2006/picture">
                <pic:pic>
                  <pic:nvPicPr>
                    <pic:cNvPr descr="figures/fig5_1_trf_artefact.png" id="80" name="Picture"/>
                    <pic:cNvPicPr>
                      <a:picLocks noChangeArrowheads="1" noChangeAspect="1"/>
                    </pic:cNvPicPr>
                  </pic:nvPicPr>
                  <pic:blipFill>
                    <a:blip r:embed="rId78"/>
                    <a:stretch>
                      <a:fillRect/>
                    </a:stretch>
                  </pic:blipFill>
                  <pic:spPr bwMode="auto">
                    <a:xfrm>
                      <a:off x="0" y="0"/>
                      <a:ext cx="5753100" cy="3515353"/>
                    </a:xfrm>
                    <a:prstGeom prst="rect">
                      <a:avLst/>
                    </a:prstGeom>
                    <a:noFill/>
                    <a:ln w="9525">
                      <a:noFill/>
                      <a:headEnd/>
                      <a:tailEnd/>
                    </a:ln>
                  </pic:spPr>
                </pic:pic>
              </a:graphicData>
            </a:graphic>
          </wp:inline>
        </w:drawing>
      </w:r>
    </w:p>
    <w:p>
      <w:pPr>
        <w:pStyle w:val="ImageCaption"/>
      </w:pPr>
      <w:r>
        <w:t xml:space="preserve">Figure 5.1. The artefact’s modules and data path. Records enter from the generator or one of the optional layers, are invalidated on schedule, and are checked under both semantics; the optional cryptographic module and the bounded SMT check sit beside the checker and report separately.</w:t>
      </w:r>
    </w:p>
    <w:p>
      <w:pPr>
        <w:pStyle w:val="TableCaption"/>
      </w:pPr>
      <w:bookmarkStart w:id="1003" w:name="tbl_5_1"/>
      <w:r>
        <w:rPr>
          <w:b/>
          <w:color w:val="1F3864"/>
        </w:rPr>
        <w:t xml:space="preserve">Table 5.1.</w:t>
      </w:r>
      <w:r>
        <w:t xml:space="preserve"> The artefact as published</w:t>
      </w:r>
      <w:bookmarkEnd w:id="1003"/>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Module</w:t>
            </w:r>
          </w:p>
        </w:tc>
        <w:tc>
          <w:tcPr>
            <w:tcBorders>
              <w:bottom w:val="single" w:sz="8" w:space="0" w:color="333333"/>
            </w:tcBorders>
            <w:shd w:val="clear" w:color="auto" w:fill="E8EDF4"/>
          </w:tcPr>
          <w:p>
            <w:pPr>
              <w:pStyle w:val="Compact"/>
              <w:jc w:val="left"/>
            </w:pPr>
            <w:r>
              <w:rPr>
                <w:b/>
                <w:sz w:val="20"/>
                <w:szCs w:val="20"/>
              </w:rPr>
              <w:t xml:space="preserve">Lines</w:t>
            </w:r>
          </w:p>
        </w:tc>
        <w:tc>
          <w:tcPr>
            <w:tcBorders>
              <w:bottom w:val="single" w:sz="8" w:space="0" w:color="333333"/>
            </w:tcBorders>
            <w:shd w:val="clear" w:color="auto" w:fill="E8EDF4"/>
          </w:tcPr>
          <w:p>
            <w:pPr>
              <w:pStyle w:val="Compact"/>
              <w:jc w:val="left"/>
            </w:pPr>
            <w:r>
              <w:rPr>
                <w:b/>
                <w:sz w:val="20"/>
                <w:szCs w:val="20"/>
              </w:rPr>
              <w:t xml:space="preserve">What it does</w:t>
            </w:r>
          </w:p>
        </w:tc>
        <w:tc>
          <w:tcPr>
            <w:tcBorders>
              <w:bottom w:val="single" w:sz="8" w:space="0" w:color="333333"/>
            </w:tcBorders>
            <w:shd w:val="clear" w:color="auto" w:fill="E8EDF4"/>
          </w:tcPr>
          <w:p>
            <w:pPr>
              <w:pStyle w:val="Compact"/>
              <w:jc w:val="left"/>
            </w:pPr>
            <w:r>
              <w:rPr>
                <w:b/>
                <w:sz w:val="20"/>
                <w:szCs w:val="20"/>
              </w:rPr>
              <w:t xml:space="preserve">Reports a thesis figure?</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534</w:t>
            </w:r>
          </w:p>
        </w:tc>
        <w:tc>
          <w:tcPr/>
          <w:p>
            <w:pPr>
              <w:pStyle w:val="Compact"/>
              <w:jc w:val="left"/>
            </w:pPr>
            <w:r>
              <w:rPr>
                <w:sz w:val="20"/>
                <w:szCs w:val="20"/>
              </w:rPr>
              <w:t xml:space="preserve">Constraint evaluation under both semantics, plus the independent exhaustive cross-check and the audit-log integrity check</w:t>
            </w:r>
          </w:p>
        </w:tc>
        <w:tc>
          <w:tcPr/>
          <w:p>
            <w:pPr>
              <w:pStyle w:val="Compact"/>
              <w:jc w:val="left"/>
            </w:pPr>
            <w:r>
              <w:rPr>
                <w:sz w:val="20"/>
                <w:szCs w:val="20"/>
              </w:rPr>
              <w:t xml:space="preserve">Yes — </w:t>
            </w:r>
            <w:hyperlink w:anchor="tbl_5_3" w:history="1">
              <w:r>
                <w:rPr>
                  <w:rStyle w:val="Hyperlink"/>
                  <w:sz w:val="20"/>
                  <w:szCs w:val="20"/>
                </w:rPr>
                <w:t xml:space="preserve">Tables 5.3</w:t>
              </w:r>
            </w:hyperlink>
            <w:r>
              <w:rPr>
                <w:sz w:val="20"/>
                <w:szCs w:val="20"/>
              </w:rPr>
              <w:t xml:space="preserve">, 5.5, 5.6</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152</w:t>
            </w:r>
          </w:p>
        </w:tc>
        <w:tc>
          <w:tcPr/>
          <w:p>
            <w:pPr>
              <w:pStyle w:val="Compact"/>
              <w:jc w:val="left"/>
            </w:pPr>
            <w:r>
              <w:rPr>
                <w:sz w:val="20"/>
                <w:szCs w:val="20"/>
              </w:rPr>
              <w:t xml:space="preserve">Substitutes real FHIR R4 payloads and compares every figure against the constructed-payload run</w:t>
            </w:r>
          </w:p>
        </w:tc>
        <w:tc>
          <w:tcPr/>
          <w:p>
            <w:pPr>
              <w:pStyle w:val="Compact"/>
              <w:jc w:val="left"/>
            </w:pPr>
            <w:r>
              <w:rPr>
                <w:sz w:val="20"/>
                <w:szCs w:val="20"/>
              </w:rPr>
              <w:t xml:space="preserve">Yes — </w:t>
            </w:r>
            <w:hyperlink w:anchor="tbl_5_7" w:history="1">
              <w:r>
                <w:rPr>
                  <w:rStyle w:val="Hyperlink"/>
                  <w:sz w:val="20"/>
                  <w:szCs w:val="20"/>
                </w:rPr>
                <w:t xml:space="preserve">Table 5.7</w:t>
              </w:r>
            </w:hyperlink>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135</w:t>
            </w:r>
          </w:p>
        </w:tc>
        <w:tc>
          <w:tcPr/>
          <w:p>
            <w:pPr>
              <w:pStyle w:val="Compact"/>
              <w:jc w:val="left"/>
            </w:pPr>
            <w:r>
              <w:rPr>
                <w:sz w:val="20"/>
                <w:szCs w:val="20"/>
              </w:rPr>
              <w:t xml:space="preserve">Three Norwegian record classes, varying only the floor, the pathway and the arrival of requests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110</w:t>
            </w:r>
          </w:p>
        </w:tc>
        <w:tc>
          <w:tcPr/>
          <w:p>
            <w:pPr>
              <w:pStyle w:val="Compact"/>
              <w:jc w:val="left"/>
            </w:pPr>
            <w:r>
              <w:rPr>
                <w:sz w:val="20"/>
                <w:szCs w:val="20"/>
              </w:rPr>
              <w:t xml:space="preserve">The politiregisterloven § 17 instance discussed in </w:t>
            </w:r>
            <w:hyperlink w:anchor="ch_6" w:history="1">
              <w:r>
                <w:rPr>
                  <w:rStyle w:val="Hyperlink"/>
                  <w:sz w:val="20"/>
                  <w:szCs w:val="20"/>
                </w:rPr>
                <w:t xml:space="preserve">Chapter 6</w:t>
              </w:r>
            </w:hyperlink>
            <w:r>
              <w:rPr>
                <w:sz w:val="20"/>
                <w:szCs w:val="20"/>
              </w:rPr>
              <w:t xml:space="preserve">, </w:t>
            </w:r>
            <w:hyperlink w:anchor="sec_6_10" w:history="1">
              <w:r>
                <w:rPr>
                  <w:rStyle w:val="Hyperlink"/>
                  <w:sz w:val="20"/>
                  <w:szCs w:val="20"/>
                </w:rPr>
                <w:t xml:space="preserve">Section 6.10</w:t>
              </w:r>
            </w:hyperlink>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app.py</w:t>
            </w:r>
            <w:r>
              <w:rPr>
                <w:sz w:val="20"/>
                <w:szCs w:val="20"/>
              </w:rPr>
              <w:t xml:space="preserve">,</w:t>
            </w:r>
            <w:r>
              <w:rPr>
                <w:sz w:val="20"/>
                <w:szCs w:val="20"/>
              </w:rPr>
              <w:t xml:space="preserve"> </w:t>
            </w:r>
            <w:r>
              <w:rPr>
                <w:rStyle w:val="VerbatimChar"/>
                <w:sz w:val="20"/>
                <w:szCs w:val="20"/>
              </w:rPr>
              <w:t xml:space="preserve">ui.py</w:t>
            </w:r>
          </w:p>
        </w:tc>
        <w:tc>
          <w:tcPr/>
          <w:p>
            <w:pPr>
              <w:pStyle w:val="Compact"/>
              <w:jc w:val="left"/>
            </w:pPr>
            <w:r>
              <w:rPr>
                <w:sz w:val="20"/>
                <w:szCs w:val="20"/>
              </w:rPr>
              <w:t xml:space="preserve">804 + 133</w:t>
            </w:r>
          </w:p>
        </w:tc>
        <w:tc>
          <w:tcPr/>
          <w:p>
            <w:pPr>
              <w:pStyle w:val="Compact"/>
              <w:jc w:val="left"/>
            </w:pPr>
            <w:r>
              <w:rPr>
                <w:sz w:val="20"/>
                <w:szCs w:val="20"/>
              </w:rPr>
              <w:t xml:space="preserve">Eight-page viewer over the artefact, with the live architecture diagrams of Figures 4.1 and 5.1; never a source of results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118</w:t>
            </w:r>
          </w:p>
        </w:tc>
        <w:tc>
          <w:tcPr/>
          <w:p>
            <w:pPr>
              <w:pStyle w:val="Compact"/>
              <w:jc w:val="left"/>
            </w:pPr>
            <w:r>
              <w:rPr>
                <w:sz w:val="20"/>
                <w:szCs w:val="20"/>
              </w:rPr>
              <w:t xml:space="preserve">Optional: the same lifecycle with real AES-256-GCM envelope encryption (needs</w:t>
            </w:r>
            <w:r>
              <w:rPr>
                <w:sz w:val="20"/>
                <w:szCs w:val="20"/>
              </w:rPr>
              <w:t xml:space="preserve"> </w:t>
            </w:r>
            <w:r>
              <w:rPr>
                <w:rStyle w:val="VerbatimChar"/>
                <w:sz w:val="20"/>
                <w:szCs w:val="20"/>
              </w:rPr>
              <w:t xml:space="preserve">cryptography</w:t>
            </w:r>
            <w:r>
              <w:rPr>
                <w:sz w:val="20"/>
                <w:szCs w:val="20"/>
              </w:rPr>
              <w:t xml:space="preserve">)</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z3_check.py</w:t>
            </w:r>
          </w:p>
        </w:tc>
        <w:tc>
          <w:tcPr/>
          <w:p>
            <w:pPr>
              <w:pStyle w:val="Compact"/>
              <w:jc w:val="left"/>
            </w:pPr>
            <w:r>
              <w:rPr>
                <w:sz w:val="20"/>
                <w:szCs w:val="20"/>
              </w:rPr>
              <w:t xml:space="preserve">153</w:t>
            </w:r>
          </w:p>
        </w:tc>
        <w:tc>
          <w:tcPr/>
          <w:p>
            <w:pPr>
              <w:pStyle w:val="Compact"/>
              <w:jc w:val="left"/>
            </w:pPr>
            <w:r>
              <w:rPr>
                <w:sz w:val="20"/>
                <w:szCs w:val="20"/>
              </w:rPr>
              <w:t xml:space="preserve">Optional: bounded SMT check of Propositions 1–3 (needs</w:t>
            </w:r>
            <w:r>
              <w:rPr>
                <w:sz w:val="20"/>
                <w:szCs w:val="20"/>
              </w:rPr>
              <w:t xml:space="preserve"> </w:t>
            </w:r>
            <w:r>
              <w:rPr>
                <w:rStyle w:val="VerbatimChar"/>
                <w:sz w:val="20"/>
                <w:szCs w:val="20"/>
              </w:rPr>
              <w:t xml:space="preserve">z3-solver</w:t>
            </w:r>
            <w:r>
              <w:rPr>
                <w:sz w:val="20"/>
                <w:szCs w:val="20"/>
              </w:rPr>
              <w:t xml:space="preserve">)</w:t>
            </w:r>
          </w:p>
        </w:tc>
        <w:tc>
          <w:tcPr/>
          <w:p>
            <w:pPr>
              <w:pStyle w:val="Compact"/>
              <w:jc w:val="left"/>
            </w:pPr>
            <w:r>
              <w:rPr>
                <w:sz w:val="20"/>
                <w:szCs w:val="20"/>
              </w:rPr>
              <w:t xml:space="preserve">No</w:t>
            </w:r>
          </w:p>
        </w:tc>
      </w:tr>
    </w:tbl>
    <w:p>
      <w:pPr>
        <w:pStyle w:val="BodyText"/>
        <w:spacing w:before="240" w:after="160" w:line="360" w:lineRule="auto"/>
      </w:pPr>
      <w:r>
        <w:t xml:space="preserve">Every command has a recorded console run committed beside it in the repository, so that a reader who executes a command and diffs the output against its recorded file can tell a changed file from a changed result. The eight Synthea bundles the realism layer reads are committed with the code, so no regeneration is required to reproduce </w:t>
      </w:r>
      <w:hyperlink w:anchor="tbl_5_7" w:history="1">
        <w:r>
          <w:rPr>
            <w:rStyle w:val="Hyperlink"/>
          </w:rPr>
          <w:t xml:space="preserve">Table 5.7</w:t>
        </w:r>
      </w:hyperlink>
      <w:r>
        <w:t xml:space="preserve">.</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w:t>
      </w:r>
      <w:hyperlink w:anchor="ch_4" w:history="1">
        <w:r>
          <w:rPr>
            <w:rStyle w:val="Hyperlink"/>
          </w:rPr>
          <w:t xml:space="preserve">Chapter 4</w:t>
        </w:r>
      </w:hyperlink>
      <w:r>
        <w:t xml:space="preserve"> absorbed into one parameterised constraint:</w:t>
      </w:r>
    </w:p>
    <w:p>
      <w:pPr>
        <w:pStyle w:val="Compact"/>
        <w:numPr>
          <w:ilvl w:val="0"/>
          <w:numId w:val="1004"/>
        </w:numPr>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pStyle w:val="Compact"/>
        <w:numPr>
          <w:ilvl w:val="0"/>
          <w:numId w:val="1004"/>
        </w:numPr>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Seed 20260915 is fixed and reported; the run is deterministic and reproduces identically.</w:t>
      </w:r>
    </w:p>
    <w:p>
      <w:pPr>
        <w:pStyle w:val="TableCaption"/>
      </w:pPr>
      <w:bookmarkStart w:id="1004" w:name="tbl_5_2"/>
      <w:r>
        <w:rPr>
          <w:b/>
          <w:color w:val="1F3864"/>
        </w:rPr>
        <w:t xml:space="preserve">Table 5.2.</w:t>
      </w:r>
      <w:r>
        <w:t xml:space="preserve"> Generation parameters (complete)</w:t>
      </w:r>
      <w:bookmarkEnd w:id="1004"/>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Parameter</w:t>
            </w:r>
          </w:p>
        </w:tc>
        <w:tc>
          <w:tcPr>
            <w:tcBorders>
              <w:bottom w:val="single" w:sz="8" w:space="0" w:color="333333"/>
            </w:tcBorders>
            <w:shd w:val="clear" w:color="auto" w:fill="E8EDF4"/>
          </w:tcPr>
          <w:p>
            <w:pPr>
              <w:pStyle w:val="Compact"/>
              <w:jc w:val="left"/>
            </w:pPr>
            <w:r>
              <w:rPr>
                <w:b/>
                <w:sz w:val="20"/>
                <w:szCs w:val="20"/>
              </w:rPr>
              <w:t xml:space="preserve">Cross-border audit</w:t>
            </w:r>
          </w:p>
        </w:tc>
        <w:tc>
          <w:tcPr>
            <w:tcBorders>
              <w:bottom w:val="single" w:sz="8" w:space="0" w:color="333333"/>
            </w:tcBorders>
            <w:shd w:val="clear" w:color="auto" w:fill="E8EDF4"/>
          </w:tcPr>
          <w:p>
            <w:pPr>
              <w:pStyle w:val="Compact"/>
              <w:jc w:val="left"/>
            </w:pPr>
            <w:r>
              <w:rPr>
                <w:b/>
                <w:sz w:val="20"/>
                <w:szCs w:val="20"/>
              </w:rPr>
              <w:t xml:space="preserve">SPE access log</w:t>
            </w:r>
          </w:p>
        </w:tc>
      </w:tr>
      <w:tr>
        <w:trPr>
          <w:cantSplit/>
        </w:trPr>
        <w:tc>
          <w:tcPr/>
          <w:p>
            <w:pPr>
              <w:pStyle w:val="Compact"/>
              <w:jc w:val="left"/>
            </w:pPr>
            <w:r>
              <w:rPr>
                <w:sz w:val="20"/>
                <w:szCs w:val="20"/>
              </w:rPr>
              <w:t xml:space="preserve">Records generated</w:t>
            </w:r>
          </w:p>
        </w:tc>
        <w:tc>
          <w:tcPr/>
          <w:p>
            <w:pPr>
              <w:pStyle w:val="Compact"/>
              <w:jc w:val="left"/>
            </w:pPr>
            <w:r>
              <w:rPr>
                <w:sz w:val="20"/>
                <w:szCs w:val="20"/>
              </w:rPr>
              <w:t xml:space="preserve">100</w:t>
            </w:r>
          </w:p>
        </w:tc>
        <w:tc>
          <w:tcPr/>
          <w:p>
            <w:pPr>
              <w:pStyle w:val="Compact"/>
              <w:jc w:val="left"/>
            </w:pPr>
            <w:r>
              <w:rPr>
                <w:sz w:val="20"/>
                <w:szCs w:val="20"/>
              </w:rPr>
              <w:t xml:space="preserve">100</w:t>
            </w:r>
          </w:p>
        </w:tc>
      </w:tr>
      <w:tr>
        <w:trPr>
          <w:cantSplit/>
        </w:trPr>
        <w:tc>
          <w:tcPr/>
          <w:p>
            <w:pPr>
              <w:pStyle w:val="Compact"/>
              <w:jc w:val="left"/>
            </w:pPr>
            <w:r>
              <w:rPr>
                <w:sz w:val="20"/>
                <w:szCs w:val="20"/>
              </w:rPr>
              <w:t xml:space="preserve">Retention floor</w:t>
            </w:r>
            <w:r>
              <w:rPr>
                <w:sz w:val="20"/>
                <w:szCs w:val="20"/>
              </w:rPr>
              <w:t xml:space="preserve"> </w:t>
            </w:r>
            <w:r>
              <w:rPr>
                <w:iCs/>
                <w:i/>
                <w:sz w:val="20"/>
                <w:szCs w:val="20"/>
              </w:rPr>
              <w:t xml:space="preserve">F</w:t>
            </w:r>
          </w:p>
        </w:tc>
        <w:tc>
          <w:tcPr/>
          <w:p>
            <w:pPr>
              <w:pStyle w:val="Compact"/>
              <w:jc w:val="left"/>
            </w:pPr>
            <w:r>
              <w:rPr>
                <w:sz w:val="20"/>
                <w:szCs w:val="20"/>
              </w:rPr>
              <w:t xml:space="preserve">120 months (eHDSI baseline as reported; illustrative)</w:t>
            </w:r>
          </w:p>
        </w:tc>
        <w:tc>
          <w:tcPr/>
          <w:p>
            <w:pPr>
              <w:pStyle w:val="Compact"/>
              <w:jc w:val="left"/>
            </w:pPr>
            <w:r>
              <w:rPr>
                <w:sz w:val="20"/>
                <w:szCs w:val="20"/>
              </w:rPr>
              <w:t xml:space="preserve">12 months (Art 73(1)(e))</w:t>
            </w:r>
          </w:p>
        </w:tc>
      </w:tr>
      <w:tr>
        <w:trPr>
          <w:cantSplit/>
        </w:trPr>
        <w:tc>
          <w:tcPr/>
          <w:p>
            <w:pPr>
              <w:pStyle w:val="Compact"/>
              <w:jc w:val="left"/>
            </w:pPr>
            <w:r>
              <w:rPr>
                <w:sz w:val="20"/>
                <w:szCs w:val="20"/>
              </w:rPr>
              <w:t xml:space="preserve">Pathway</w:t>
            </w:r>
            <w:r>
              <w:rPr>
                <w:sz w:val="20"/>
                <w:szCs w:val="20"/>
              </w:rPr>
              <w:t xml:space="preserve"> </w:t>
            </w:r>
            <m:oMath>
              <m:r>
                <m:t>σ</m:t>
              </m:r>
            </m:oMath>
          </w:p>
        </w:tc>
        <w:tc>
          <w:tcPr/>
          <w:p>
            <w:pPr>
              <w:pStyle w:val="Compact"/>
              <w:jc w:val="left"/>
            </w:pPr>
            <w:r>
              <w:rPr>
                <w:sz w:val="20"/>
                <w:szCs w:val="20"/>
              </w:rPr>
              <w:t xml:space="preserve">primary</w:t>
            </w:r>
          </w:p>
        </w:tc>
        <w:tc>
          <w:tcPr/>
          <w:p>
            <w:pPr>
              <w:pStyle w:val="Compact"/>
              <w:jc w:val="left"/>
            </w:pPr>
            <w:r>
              <w:rPr>
                <w:sz w:val="20"/>
                <w:szCs w:val="20"/>
              </w:rPr>
              <w:t xml:space="preserve">secondary</w:t>
            </w:r>
          </w:p>
        </w:tc>
      </w:tr>
      <w:tr>
        <w:trPr>
          <w:cantSplit/>
        </w:trPr>
        <w:tc>
          <w:tcPr/>
          <w:p>
            <w:pPr>
              <w:pStyle w:val="Compact"/>
              <w:jc w:val="left"/>
            </w:pPr>
            <w:r>
              <w:rPr>
                <w:sz w:val="20"/>
                <w:szCs w:val="20"/>
              </w:rPr>
              <w:t xml:space="preserve">Creation month</w:t>
            </w:r>
            <w:r>
              <w:rPr>
                <w:sz w:val="20"/>
                <w:szCs w:val="20"/>
              </w:rPr>
              <w:t xml:space="preserve"> </w:t>
            </w:r>
            <w:r>
              <w:rPr>
                <w:iCs/>
                <w:i/>
                <w:sz w:val="20"/>
                <w:szCs w:val="20"/>
              </w:rPr>
              <w:t xml:space="preserve">t_a</w:t>
            </w:r>
          </w:p>
        </w:tc>
        <w:tc>
          <w:tcPr/>
          <w:p>
            <w:pPr>
              <w:pStyle w:val="Compact"/>
              <w:jc w:val="left"/>
            </w:pPr>
            <w:r>
              <w:rPr>
                <w:sz w:val="20"/>
                <w:szCs w:val="20"/>
              </w:rPr>
              <w:t xml:space="preserve">uniform [0, 11]</w:t>
            </w:r>
          </w:p>
        </w:tc>
        <w:tc>
          <w:tcPr/>
          <w:p>
            <w:pPr>
              <w:pStyle w:val="Compact"/>
              <w:jc w:val="left"/>
            </w:pPr>
            <w:r>
              <w:rPr>
                <w:sz w:val="20"/>
                <w:szCs w:val="20"/>
              </w:rPr>
              <w:t xml:space="preserve">uniform [0, 11]</w:t>
            </w:r>
          </w:p>
        </w:tc>
      </w:tr>
      <w:tr>
        <w:trPr>
          <w:cantSplit/>
        </w:trPr>
        <w:tc>
          <w:tcPr/>
          <w:p>
            <w:pPr>
              <w:pStyle w:val="Compact"/>
              <w:jc w:val="left"/>
            </w:pPr>
            <w:r>
              <w:rPr>
                <w:sz w:val="20"/>
                <w:szCs w:val="20"/>
              </w:rPr>
              <w:t xml:space="preserve">Erasure-request probability</w:t>
            </w:r>
          </w:p>
        </w:tc>
        <w:tc>
          <w:tcPr/>
          <w:p>
            <w:pPr>
              <w:pStyle w:val="Compact"/>
              <w:jc w:val="left"/>
            </w:pPr>
            <w:r>
              <w:rPr>
                <w:sz w:val="20"/>
                <w:szCs w:val="20"/>
              </w:rPr>
              <w:t xml:space="preserve">0.40</w:t>
            </w:r>
          </w:p>
        </w:tc>
        <w:tc>
          <w:tcPr/>
          <w:p>
            <w:pPr>
              <w:pStyle w:val="Compact"/>
              <w:jc w:val="left"/>
            </w:pPr>
            <w:r>
              <w:rPr>
                <w:sz w:val="20"/>
                <w:szCs w:val="20"/>
              </w:rPr>
              <w:t xml:space="preserve">0.25</w:t>
            </w:r>
          </w:p>
        </w:tc>
      </w:tr>
      <w:tr>
        <w:trPr>
          <w:cantSplit/>
        </w:trPr>
        <w:tc>
          <w:tcPr/>
          <w:p>
            <w:pPr>
              <w:pStyle w:val="Compact"/>
              <w:jc w:val="left"/>
            </w:pPr>
            <w:r>
              <w:rPr>
                <w:sz w:val="20"/>
                <w:szCs w:val="20"/>
              </w:rPr>
              <w:t xml:space="preserve">Erasure offset from</w:t>
            </w:r>
            <w:r>
              <w:rPr>
                <w:sz w:val="20"/>
                <w:szCs w:val="20"/>
              </w:rPr>
              <w:t xml:space="preserve"> </w:t>
            </w:r>
            <w:r>
              <w:rPr>
                <w:iCs/>
                <w:i/>
                <w:sz w:val="20"/>
                <w:szCs w:val="20"/>
              </w:rPr>
              <w:t xml:space="preserve">t_a</w:t>
            </w:r>
          </w:p>
        </w:tc>
        <w:tc>
          <w:tcPr/>
          <w:p>
            <w:pPr>
              <w:pStyle w:val="Compact"/>
              <w:jc w:val="left"/>
            </w:pPr>
            <w:r>
              <w:rPr>
                <w:sz w:val="20"/>
                <w:szCs w:val="20"/>
              </w:rPr>
              <w:t xml:space="preserve">uniform [1, 130] months</w:t>
            </w:r>
          </w:p>
        </w:tc>
        <w:tc>
          <w:tcPr/>
          <w:p>
            <w:pPr>
              <w:pStyle w:val="Compact"/>
              <w:jc w:val="left"/>
            </w:pPr>
            <w:r>
              <w:rPr>
                <w:sz w:val="20"/>
                <w:szCs w:val="20"/>
              </w:rPr>
              <w:t xml:space="preserve">uniform [1, 18] months</w:t>
            </w:r>
          </w:p>
        </w:tc>
      </w:tr>
      <w:tr>
        <w:trPr>
          <w:cantSplit/>
        </w:trPr>
        <w:tc>
          <w:tcPr/>
          <w:p>
            <w:pPr>
              <w:pStyle w:val="Compact"/>
              <w:jc w:val="left"/>
            </w:pPr>
            <w:r>
              <w:rPr>
                <w:sz w:val="20"/>
                <w:szCs w:val="20"/>
              </w:rPr>
              <w:t xml:space="preserve">Permit expiry</w:t>
            </w:r>
            <w:r>
              <w:rPr>
                <w:sz w:val="20"/>
                <w:szCs w:val="20"/>
              </w:rPr>
              <w:t xml:space="preserve"> </w:t>
            </w:r>
            <w:r>
              <w:rPr>
                <w:iCs/>
                <w:i/>
                <w:sz w:val="20"/>
                <w:szCs w:val="20"/>
              </w:rPr>
              <w:t xml:space="preserve">t_π</w:t>
            </w:r>
          </w:p>
        </w:tc>
        <w:tc>
          <w:tcPr/>
          <w:p>
            <w:pPr>
              <w:pStyle w:val="Compact"/>
              <w:jc w:val="left"/>
            </w:pPr>
            <w:r>
              <w:rPr>
                <w:sz w:val="20"/>
                <w:szCs w:val="20"/>
              </w:rPr>
              <w:t xml:space="preserve">not applicable</w:t>
            </w:r>
          </w:p>
        </w:tc>
        <w:tc>
          <w:tcPr/>
          <w:p>
            <w:pPr>
              <w:pStyle w:val="Compact"/>
              <w:jc w:val="left"/>
            </w:pPr>
            <w:r>
              <w:rPr>
                <w:iCs/>
                <w:i/>
                <w:sz w:val="20"/>
                <w:szCs w:val="20"/>
              </w:rPr>
              <w:t xml:space="preserve">t_a</w:t>
            </w:r>
            <w:r>
              <w:rPr>
                <w:sz w:val="20"/>
                <w:szCs w:val="20"/>
              </w:rPr>
              <w:t xml:space="preserve"> </w:t>
            </w:r>
            <w:r>
              <w:rPr>
                <w:sz w:val="20"/>
                <w:szCs w:val="20"/>
              </w:rPr>
              <w:t xml:space="preserve">+ uniform [1, 12] months</w:t>
            </w:r>
          </w:p>
        </w:tc>
      </w:tr>
      <w:tr>
        <w:trPr>
          <w:cantSplit/>
        </w:trPr>
        <w:tc>
          <w:tcPr/>
          <w:p>
            <w:pPr>
              <w:pStyle w:val="Compact"/>
              <w:jc w:val="left"/>
            </w:pPr>
            <w:r>
              <w:rPr>
                <w:sz w:val="20"/>
                <w:szCs w:val="20"/>
              </w:rPr>
              <w:t xml:space="preserve">Response period</w:t>
            </w:r>
            <w:r>
              <w:rPr>
                <w:sz w:val="20"/>
                <w:szCs w:val="20"/>
              </w:rPr>
              <w:t xml:space="preserve"> </w:t>
            </w:r>
            <m:oMath>
              <m:r>
                <m:t>δ</m:t>
              </m:r>
            </m:oMath>
          </w:p>
        </w:tc>
        <w:tc>
          <w:tcPr/>
          <w:p>
            <w:pPr>
              <w:pStyle w:val="Compact"/>
              <w:jc w:val="left"/>
            </w:pPr>
            <w:r>
              <w:rPr>
                <w:sz w:val="20"/>
                <w:szCs w:val="20"/>
              </w:rPr>
              <w:t xml:space="preserve">1 month (GDPR Art 12(3))</w:t>
            </w:r>
          </w:p>
        </w:tc>
        <w:tc>
          <w:tcPr/>
          <w:p>
            <w:pPr>
              <w:pStyle w:val="Compact"/>
              <w:jc w:val="left"/>
            </w:pPr>
            <w:r>
              <w:rPr>
                <w:sz w:val="20"/>
                <w:szCs w:val="20"/>
              </w:rPr>
              <w:t xml:space="preserve">1 month</w:t>
            </w:r>
          </w:p>
        </w:tc>
      </w:tr>
      <w:tr>
        <w:trPr>
          <w:cantSplit/>
        </w:trPr>
        <w:tc>
          <w:tcPr/>
          <w:p>
            <w:pPr>
              <w:pStyle w:val="Compact"/>
              <w:jc w:val="left"/>
            </w:pPr>
            <w:r>
              <w:rPr>
                <w:sz w:val="20"/>
                <w:szCs w:val="20"/>
              </w:rPr>
              <w:t xml:space="preserve">Deletion ceiling</w:t>
            </w:r>
          </w:p>
        </w:tc>
        <w:tc>
          <w:tcPr/>
          <w:p>
            <w:pPr>
              <w:pStyle w:val="Compact"/>
              <w:jc w:val="left"/>
            </w:pPr>
            <w:r>
              <w:rPr>
                <w:sz w:val="20"/>
                <w:szCs w:val="20"/>
              </w:rPr>
              <w:t xml:space="preserve">not applicable</w:t>
            </w:r>
          </w:p>
        </w:tc>
        <w:tc>
          <w:tcPr/>
          <w:p>
            <w:pPr>
              <w:pStyle w:val="Compact"/>
              <w:jc w:val="left"/>
            </w:pPr>
            <w:r>
              <w:rPr>
                <w:sz w:val="20"/>
                <w:szCs w:val="20"/>
              </w:rPr>
              <w:t xml:space="preserve">6 months (Art 68(12))</w:t>
            </w:r>
          </w:p>
        </w:tc>
      </w:tr>
    </w:tbl>
    <w:p>
      <w:pPr>
        <w:pStyle w:val="BodyText"/>
        <w:spacing w:before="240" w:after="160" w:line="360" w:lineRule="auto"/>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These resources stand in for payload bytes of realistic size and structure; they are not what</w:t>
      </w:r>
      <w:r>
        <w:t xml:space="preserve"> </w:t>
      </w:r>
      <m:oMath>
        <m:r>
          <m:t>p</m:t>
        </m:r>
        <m:d>
          <m:dPr>
            <m:begChr m:val="("/>
            <m:sepChr m:val=""/>
            <m:endChr m:val=")"/>
            <m:grow/>
          </m:dPr>
          <m:e>
            <m:r>
              <m:t>a</m:t>
            </m:r>
          </m:e>
        </m:d>
      </m:oMath>
      <w:r>
        <w:t xml:space="preserve"> </w:t>
      </w:r>
      <w:r>
        <w:t xml:space="preserve">is in either record class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and </w:t>
      </w:r>
      <w:hyperlink w:anchor="sec_5_8" w:history="1">
        <w:r>
          <w:rPr>
            <w:rStyle w:val="Hyperlink"/>
          </w:rPr>
          <w:t xml:space="preserve">Section 5.8</w:t>
        </w:r>
      </w:hyperlink>
      <w:r>
        <w:t xml:space="preserve"> uses them only to test that no figure depends on payload content.</w:t>
      </w:r>
    </w:p>
    <w:bookmarkEnd w:id="81"/>
    <w:bookmarkStart w:id="82" w:name="results-under-semantics-i"/>
    <w:p>
      <w:pPr>
        <w:pStyle w:val="Heading2"/>
      </w:pPr>
      <w:bookmarkStart w:id="1060" w:name="sec_5_3"/>
      <w:r>
        <w:t xml:space="preserve">5.3 Results under Semantics I</w:t>
      </w:r>
      <w:bookmarkEnd w:id="1060"/>
    </w:p>
    <w:p>
      <w:pPr>
        <w:pStyle w:val="FirstParagraph"/>
      </w:pPr>
      <w:r>
        <w:t xml:space="preserve">Under plaintext-verifiability semantics,</w:t>
      </w:r>
      <w:r>
        <w:t xml:space="preserve"> </w:t>
      </w:r>
      <m:oMath>
        <m:r>
          <m:t>V</m:t>
        </m:r>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TableCaption"/>
      </w:pPr>
      <w:bookmarkStart w:id="1005" w:name="tbl_5_3"/>
      <w:r>
        <w:rPr>
          <w:b/>
          <w:color w:val="1F3864"/>
        </w:rPr>
        <w:t xml:space="preserve">Table 5.3.</w:t>
      </w:r>
      <w:r>
        <w:t xml:space="preserve"> Violations under Semantics I (seed 20260915, n = 200)</w:t>
      </w:r>
      <w:bookmarkEnd w:id="1005"/>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Record class</w:t>
            </w:r>
          </w:p>
        </w:tc>
        <w:tc>
          <w:tcPr>
            <w:tcBorders>
              <w:bottom w:val="single" w:sz="8" w:space="0" w:color="333333"/>
            </w:tcBorders>
            <w:shd w:val="clear" w:color="auto" w:fill="E8EDF4"/>
          </w:tcPr>
          <w:p>
            <w:pPr>
              <w:pStyle w:val="Compact"/>
              <w:jc w:val="left"/>
            </w:pPr>
            <w:r>
              <w:rPr>
                <w:b/>
                <w:sz w:val="20"/>
                <w:szCs w:val="20"/>
              </w:rPr>
              <w:t xml:space="preserve">Records</w:t>
            </w:r>
          </w:p>
        </w:tc>
        <w:tc>
          <w:tcPr>
            <w:tcBorders>
              <w:bottom w:val="single" w:sz="8" w:space="0" w:color="333333"/>
            </w:tcBorders>
            <w:shd w:val="clear" w:color="auto" w:fill="E8EDF4"/>
          </w:tcPr>
          <w:p>
            <w:pPr>
              <w:pStyle w:val="Compact"/>
              <w:jc w:val="left"/>
            </w:pPr>
            <w:r>
              <w:rPr>
                <w:b/>
                <w:sz w:val="20"/>
                <w:szCs w:val="20"/>
              </w:rPr>
              <w:t xml:space="preserve">With ≥1 violation</w:t>
            </w:r>
          </w:p>
        </w:tc>
        <w:tc>
          <w:tcPr>
            <w:tcBorders>
              <w:bottom w:val="single" w:sz="8" w:space="0" w:color="333333"/>
            </w:tcBorders>
            <w:shd w:val="clear" w:color="auto" w:fill="E8EDF4"/>
          </w:tcPr>
          <w:p>
            <w:pPr>
              <w:pStyle w:val="Compact"/>
              <w:jc w:val="left"/>
            </w:pPr>
            <w:r>
              <w:rPr>
                <w:b/>
                <w:sz w:val="20"/>
                <w:szCs w:val="20"/>
              </w:rPr>
              <w:t xml:space="preserve">Share</w:t>
            </w:r>
          </w:p>
        </w:tc>
      </w:tr>
      <w:tr>
        <w:trPr>
          <w:cantSplit/>
        </w:trPr>
        <w:tc>
          <w:tcPr/>
          <w:p>
            <w:pPr>
              <w:pStyle w:val="Compact"/>
              <w:jc w:val="left"/>
            </w:pPr>
            <w:r>
              <w:rPr>
                <w:sz w:val="20"/>
                <w:szCs w:val="20"/>
              </w:rPr>
              <w:t xml:space="preserve">Cross-border audit (F = 120)</w:t>
            </w:r>
          </w:p>
        </w:tc>
        <w:tc>
          <w:tcPr/>
          <w:p>
            <w:pPr>
              <w:pStyle w:val="Compact"/>
              <w:jc w:val="left"/>
            </w:pPr>
            <w:r>
              <w:rPr>
                <w:sz w:val="20"/>
                <w:szCs w:val="20"/>
              </w:rPr>
              <w:t xml:space="preserve">100</w:t>
            </w:r>
          </w:p>
        </w:tc>
        <w:tc>
          <w:tcPr/>
          <w:p>
            <w:pPr>
              <w:pStyle w:val="Compact"/>
              <w:jc w:val="left"/>
            </w:pPr>
            <w:r>
              <w:rPr>
                <w:sz w:val="20"/>
                <w:szCs w:val="20"/>
              </w:rPr>
              <w:t xml:space="preserve">37</w:t>
            </w:r>
          </w:p>
        </w:tc>
        <w:tc>
          <w:tcPr/>
          <w:p>
            <w:pPr>
              <w:pStyle w:val="Compact"/>
              <w:jc w:val="left"/>
            </w:pPr>
            <w:r>
              <w:rPr>
                <w:sz w:val="20"/>
                <w:szCs w:val="20"/>
              </w:rPr>
              <w:t xml:space="preserve">37%</w:t>
            </w:r>
          </w:p>
        </w:tc>
      </w:tr>
      <w:tr>
        <w:trPr>
          <w:cantSplit/>
        </w:trPr>
        <w:tc>
          <w:tcPr/>
          <w:p>
            <w:pPr>
              <w:pStyle w:val="Compact"/>
              <w:jc w:val="left"/>
            </w:pPr>
            <w:r>
              <w:rPr>
                <w:sz w:val="20"/>
                <w:szCs w:val="20"/>
              </w:rPr>
              <w:t xml:space="preserve">SPE access log (F = 12)</w:t>
            </w:r>
          </w:p>
        </w:tc>
        <w:tc>
          <w:tcPr/>
          <w:p>
            <w:pPr>
              <w:pStyle w:val="Compact"/>
              <w:jc w:val="left"/>
            </w:pPr>
            <w:r>
              <w:rPr>
                <w:sz w:val="20"/>
                <w:szCs w:val="20"/>
              </w:rPr>
              <w:t xml:space="preserve">100</w:t>
            </w:r>
          </w:p>
        </w:tc>
        <w:tc>
          <w:tcPr/>
          <w:p>
            <w:pPr>
              <w:pStyle w:val="Compact"/>
              <w:jc w:val="left"/>
            </w:pPr>
            <w:r>
              <w:rPr>
                <w:sz w:val="20"/>
                <w:szCs w:val="20"/>
              </w:rPr>
              <w:t xml:space="preserve">53</w:t>
            </w:r>
          </w:p>
        </w:tc>
        <w:tc>
          <w:tcPr/>
          <w:p>
            <w:pPr>
              <w:pStyle w:val="Compact"/>
              <w:jc w:val="left"/>
            </w:pPr>
            <w:r>
              <w:rPr>
                <w:sz w:val="20"/>
                <w:szCs w:val="20"/>
              </w:rPr>
              <w:t xml:space="preserve">53%</w:t>
            </w:r>
          </w:p>
        </w:tc>
      </w:tr>
      <w:tr>
        <w:trPr>
          <w:cantSplit/>
        </w:trPr>
        <w:tc>
          <w:tcPr/>
          <w:p>
            <w:pPr>
              <w:pStyle w:val="Compact"/>
              <w:jc w:val="left"/>
            </w:pPr>
            <w:r>
              <w:rPr>
                <w:bCs/>
                <w:b/>
                <w:sz w:val="20"/>
                <w:szCs w:val="20"/>
              </w:rPr>
              <w:t xml:space="preserve">Total</w:t>
            </w:r>
          </w:p>
        </w:tc>
        <w:tc>
          <w:tcPr/>
          <w:p>
            <w:pPr>
              <w:pStyle w:val="Compact"/>
              <w:jc w:val="left"/>
            </w:pPr>
            <w:r>
              <w:rPr>
                <w:bCs/>
                <w:b/>
                <w:sz w:val="20"/>
                <w:szCs w:val="20"/>
              </w:rPr>
              <w:t xml:space="preserve">200</w:t>
            </w:r>
          </w:p>
        </w:tc>
        <w:tc>
          <w:tcPr/>
          <w:p>
            <w:pPr>
              <w:pStyle w:val="Compact"/>
              <w:jc w:val="left"/>
            </w:pPr>
            <w:r>
              <w:rPr>
                <w:bCs/>
                <w:b/>
                <w:sz w:val="20"/>
                <w:szCs w:val="20"/>
              </w:rPr>
              <w:t xml:space="preserve">90</w:t>
            </w:r>
          </w:p>
        </w:tc>
        <w:tc>
          <w:tcPr/>
          <w:p>
            <w:pPr>
              <w:pStyle w:val="Compact"/>
              <w:jc w:val="left"/>
            </w:pPr>
            <w:r>
              <w:rPr>
                <w:bCs/>
                <w:b/>
                <w:sz w:val="20"/>
                <w:szCs w:val="20"/>
              </w:rPr>
              <w:t xml:space="preserve">45%</w:t>
            </w:r>
          </w:p>
        </w:tc>
      </w:tr>
    </w:tbl>
    <w:p>
      <w:pPr>
        <w:pStyle w:val="BodyText"/>
        <w:spacing w:before="240" w:after="160" w:line="360" w:lineRule="auto"/>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First, the violation rate is not one hundred per cent, and this is the correct behaviour. The rates in this chapter are functions of the generator parameters in </w:t>
      </w:r>
      <w:hyperlink w:anchor="tbl_5_2" w:history="1">
        <w:r>
          <w:rPr>
            <w:rStyle w:val="Hyperlink"/>
          </w:rPr>
          <w:t xml:space="preserve">Table 5.2</w:t>
        </w:r>
      </w:hyperlink>
      <w:r>
        <w:t xml:space="preserve"> and are not estimates of real frequency; in particular, the generator treats every erasure request as valid, whereas many would be lawfully refused under Article 17(3)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w:t>
      </w:r>
      <w:hyperlink w:anchor="ch_3" w:history="1">
        <w:r>
          <w:rPr>
            <w:rStyle w:val="Hyperlink"/>
          </w:rPr>
          <w:t xml:space="preserve">Chapter 3</w:t>
        </w:r>
      </w:hyperlink>
      <w:r>
        <w:t xml:space="preserve"> required of this component. Three examples, verbatim from the run:</w:t>
      </w:r>
    </w:p>
    <w:p>
      <w:pPr>
        <w:pStyle w:val="SourceCode"/>
      </w:pPr>
      <w:r>
        <w:rPr>
          <w:rStyle w:val="VerbatimChar"/>
        </w:rPr>
        <w:t xml:space="preserve">C1 requires V=1 (=&gt; alpha=1) at t=116 within [11,131]; C2 requires alpha=0 from t=116</w:t>
      </w:r>
      <w:r>
        <w:br/>
      </w:r>
      <w:r>
        <w:rPr>
          <w:rStyle w:val="VerbatimChar"/>
        </w:rPr>
        <w:t xml:space="preserve">C1 requires V=1 (=&gt; alpha=1) at t=120 within [4,124]; C2 requires alpha=0 from t=120</w:t>
      </w:r>
      <w:r>
        <w:br/>
      </w:r>
      <w:r>
        <w:rPr>
          <w:rStyle w:val="VerbatimChar"/>
        </w:rPr>
        <w:t xml:space="preserve">C1 requires V=1 (=&gt; alpha=1) at t=41 within [0,120]; C2 requires alpha=0 from t=41</w:t>
      </w:r>
    </w:p>
    <w:p>
      <w:pPr>
        <w:pStyle w:val="FirstParagraph"/>
      </w:pPr>
      <w:r>
        <w:t xml:space="preserve">Each names the collision month, the two constraints in conflict, and the window within which the conflict arises. A reader who doubts Proposition 1 can take any of these lines and check the arithmetic by hand.</w:t>
      </w:r>
    </w:p>
    <w:p>
      <w:pPr>
        <w:pStyle w:val="BodyText"/>
      </w:pPr>
      <w:r>
        <w:t xml:space="preserve">Third, the Secure Processing Environment class violates at a higher rate than the cross-border class, fifty-three per cent against thirty-seven, although it receives erasure requests at a</w:t>
      </w:r>
      <w:r>
        <w:t xml:space="preserve"> </w:t>
      </w:r>
      <w:r>
        <w:rPr>
          <w:iCs/>
          <w:i/>
        </w:rPr>
        <w:t xml:space="preserve">lower</w:t>
      </w:r>
      <w:r>
        <w:t xml:space="preserve"> </w:t>
      </w:r>
      <w:r>
        <w:t xml:space="preserve">probability. The reason is the constraint structure, not frequency: every SPE record faces the Article 68(12) ceiling by construction, while only forty per cent of cross-border records face any second constraint; 49 of the SPE violations are structural and 4 request-driven, against 37 request-driven cross-border violations. </w:t>
      </w:r>
      <w:hyperlink w:anchor="sec_5_4" w:history="1">
        <w:r>
          <w:rPr>
            <w:rStyle w:val="Hyperlink"/>
          </w:rPr>
          <w:t xml:space="preserve">Section 5.4</w:t>
        </w:r>
      </w:hyperlink>
      <w:r>
        <w:t xml:space="preserve"> isolates the structural ones.</w:t>
      </w:r>
    </w:p>
    <w:bookmarkEnd w:id="82"/>
    <w:bookmarkStart w:id="83" w:name="Xa78c7cc063bc28a699e62b8492f8426c0d63645"/>
    <w:p>
      <w:pPr>
        <w:pStyle w:val="Heading2"/>
      </w:pPr>
      <w:bookmarkStart w:id="1061" w:name="sec_5_4"/>
      <w:r>
        <w:t xml:space="preserve">5.4 Corollary 1.2: Infeasibility Without an Erasure Request</w:t>
      </w:r>
      <w:bookmarkEnd w:id="1061"/>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SourceCode"/>
      </w:pPr>
      <w:r>
        <w:rPr>
          <w:rStyle w:val="VerbatimChar"/>
        </w:rPr>
        <w:t xml:space="preserve">rid=100: t_a=7 permit expires t_pi=10 -&gt; C3 from t=16, C1 to t=19  | collision at t=16</w:t>
      </w:r>
      <w:r>
        <w:br/>
      </w:r>
      <w:r>
        <w:rPr>
          <w:rStyle w:val="VerbatimChar"/>
        </w:rPr>
        <w:t xml:space="preserve">rid=103: t_a=7 permit expires t_pi=10 -&gt; C3 from t=16, C1 to t=19  | collision at t=16</w:t>
      </w:r>
      <w:r>
        <w:br/>
      </w:r>
      <w:r>
        <w:rPr>
          <w:rStyle w:val="VerbatimChar"/>
        </w:rPr>
        <w:t xml:space="preserve">rid=104: t_a=3 permit expires t_pi=4 -&gt;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the electronic health data to be gone from the environment by month sixteen. Months sixteen through nineteen are therefore months in which the same regulation requires the same environment both to retain an identifiable access log and, if that log’s entries are themselves electronic health data, to hold none of them. No data subject has exercised any right. No deployment baseline is involved. No synthesis across instruments of differing legal weight has occurred. On the broad reading of Article 68(12), and for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conflict is internal to Regulation (EU) 2025/327. Under the narrower reading,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 Moving the logs out of the environment at permit closure would also remove these thirty-nine collisions, at the cost set out in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it would not remove the erasure-driven ones.</w:t>
      </w:r>
    </w:p>
    <w:p>
      <w:pPr>
        <w:pStyle w:val="BodyText"/>
      </w:pPr>
      <w:r>
        <w:t xml:space="preserve">The fifty per cent figure follows from the generator.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the condition of Proposition 3(ii) with</w:t>
      </w:r>
      <w:r>
        <w:t xml:space="preserve"> </w:t>
      </w:r>
      <m:oMath>
        <m:r>
          <m:t>F</m:t>
        </m:r>
        <m:r>
          <m:rPr>
            <m:sty m:val="p"/>
          </m:rPr>
          <m:t>=</m:t>
        </m:r>
        <m:r>
          <m:t>12</m:t>
        </m:r>
      </m:oMath>
      <w:r>
        <w:t xml:space="preserve">,</w:t>
      </w:r>
      <w:r>
        <w:t xml:space="preserve"> </w:t>
      </w:r>
      <m:oMath>
        <m:r>
          <m:t>L</m:t>
        </m:r>
        <m:r>
          <m:rPr>
            <m:sty m:val="p"/>
          </m:rPr>
          <m:t>=</m:t>
        </m:r>
        <m:r>
          <m:t>6</m:t>
        </m:r>
      </m:oMath>
      <w:r>
        <w:t xml:space="preserve"> </w:t>
      </w:r>
      <w:r>
        <w:t xml:space="preserve">and the ceiling anchored to permit expiry, and permit lengths were drawn uniformly from one to twelve months, so half fall at or below six. Article 68(12) allows permits of up to ten years; with the remaining duration drawn uniformly over a five-year permit, about one log in ten would fall in the window. A longer horizon lowers the rate as</w:t>
      </w:r>
      <w:r>
        <w:t xml:space="preserve"> </w:t>
      </w:r>
      <m:oMath>
        <m:r>
          <m:t>6</m:t>
        </m:r>
        <m:r>
          <m:rPr>
            <m:sty m:val="p"/>
          </m:rPr>
          <m:t>/</m:t>
        </m:r>
        <m:sSub>
          <m:e>
            <m:r>
              <m:t>π</m:t>
            </m:r>
          </m:e>
          <m:sub>
            <m:r>
              <m:rPr>
                <m:sty m:val="p"/>
              </m:rPr>
              <m:t>max</m:t>
            </m:r>
          </m:sub>
        </m:sSub>
      </m:oMath>
      <w:r>
        <w:t xml:space="preserve"> </w:t>
      </w:r>
      <w:r>
        <w:t xml:space="preserve">without removing the collision, which Proposition 1 establishes independently of any distribution.</w:t>
      </w:r>
    </w:p>
    <w:bookmarkEnd w:id="83"/>
    <w:bookmarkStart w:id="84" w:name="independent-cross-check"/>
    <w:p>
      <w:pPr>
        <w:pStyle w:val="Heading2"/>
      </w:pPr>
      <w:bookmarkStart w:id="1062" w:name="sec_5_5"/>
      <w:r>
        <w:t xml:space="preserve">5.5 Independent Cross-Check</w:t>
      </w:r>
      <w:bookmarkEnd w:id="1062"/>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TableCaption"/>
      </w:pPr>
      <w:bookmarkStart w:id="1006" w:name="tbl_5_4"/>
      <w:r>
        <w:rPr>
          <w:b/>
          <w:color w:val="1F3864"/>
        </w:rPr>
        <w:t xml:space="preserve">Table 5.4.</w:t>
      </w:r>
      <w:r>
        <w:t xml:space="preserve"> Exhaustive search over</w:t>
      </w:r>
      <w:r>
        <w:t xml:space="preserve"> </w:t>
      </w:r>
      <m:oMath>
        <m:r>
          <m:t>α</m:t>
        </m:r>
      </m:oMath>
      <w:r>
        <w:t xml:space="preserve"> </w:t>
      </w:r>
      <w:r>
        <w:t xml:space="preserve">assignments (horizon = 14 months)</w:t>
      </w:r>
      <w:bookmarkEnd w:id="1006"/>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Case</w:t>
            </w:r>
          </w:p>
        </w:tc>
        <w:tc>
          <w:tcPr>
            <w:tcBorders>
              <w:bottom w:val="single" w:sz="8" w:space="0" w:color="333333"/>
            </w:tcBorders>
            <w:shd w:val="clear" w:color="auto" w:fill="E8EDF4"/>
          </w:tcPr>
          <w:p>
            <w:pPr>
              <w:pStyle w:val="Compact"/>
              <w:jc w:val="left"/>
            </w:pPr>
            <w:r>
              <w:rPr>
                <w:b/>
                <w:sz w:val="20"/>
                <w:szCs w:val="20"/>
              </w:rPr>
              <w:t xml:space="preserve">Feasible assignment exists?</w:t>
            </w:r>
          </w:p>
        </w:tc>
      </w:tr>
      <w:tr>
        <w:trPr>
          <w:cantSplit/>
        </w:trPr>
        <w:tc>
          <w:tcPr/>
          <w:p>
            <w:pPr>
              <w:pStyle w:val="Compact"/>
              <w:jc w:val="left"/>
            </w:pPr>
            <w:r>
              <w:rPr>
                <w:sz w:val="20"/>
                <w:szCs w:val="20"/>
              </w:rPr>
              <w:t xml:space="preserve">SPE, no erasure request, permit 3 months</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SPE, erasure request at t = 2</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Cross-border (floor scaled to 12 for tractability), erasure at t = 4</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Control: no erasure request, no permit expiry</w:t>
            </w:r>
          </w:p>
        </w:tc>
        <w:tc>
          <w:tcPr/>
          <w:p>
            <w:pPr>
              <w:pStyle w:val="Compact"/>
              <w:jc w:val="left"/>
            </w:pPr>
            <w:r>
              <w:rPr>
                <w:bCs/>
                <w:b/>
                <w:sz w:val="20"/>
                <w:szCs w:val="20"/>
              </w:rPr>
              <w:t xml:space="preserve">True</w:t>
            </w:r>
          </w:p>
        </w:tc>
      </w:tr>
    </w:tbl>
    <w:p>
      <w:pPr>
        <w:pStyle w:val="BodyText"/>
        <w:spacing w:before="240" w:after="160" w:line="360" w:lineRule="auto"/>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w:t>
      </w:r>
      <w:hyperlink w:anchor="sec_4_4" w:history="1">
        <w:r>
          <w:rPr>
            <w:rStyle w:val="Hyperlink"/>
          </w:rPr>
          <w:t xml:space="preserve">Section 4.4</w:t>
        </w:r>
      </w:hyperlink>
      <w:r>
        <w:t xml:space="preserve">,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It is the one place in the checker’s demonstration where a parameter was altered for tractability.</w:t>
      </w:r>
    </w:p>
    <w:p>
      <w:pPr>
        <w:pStyle w:val="BodyText"/>
      </w:pPr>
      <w:r>
        <w:t xml:space="preserve">A bounded check in a different formalism guards against error in the proofs. An optional module poses the propositions to the Z3 SMT solver as requests for a counterexample: a record with any parameter values inside stated bounds (creation month 0–12, floor 1–120 months, so the cross-border floor is covered, response period 1–3 months, request month and ceiling anchor anywhere up to a 140-month horizon, ceiling 1–120 months). It checks Proposition 1 and the converse </w:t>
      </w:r>
      <w:hyperlink w:anchor="ch_5" w:history="1">
        <w:r>
          <w:rPr>
            <w:rStyle w:val="Hyperlink"/>
          </w:rPr>
          <w:t xml:space="preserve">Chapter 5</w:t>
        </w:r>
      </w:hyperlink>
      <w:r>
        <w:t xml:space="preserve"> relies on (a record with no deadline inside its window is feasible), the constructive trajectory of Proposition 2 with the accountability state of Semantics II encoded (accessor fields, commitment, invalidation entry, subject link and its removal entry), and both directions of Proposition 3 with its two cases. The solver finds no counterexample in any of the nine checks. It does find counterexamples to deliberately broken versions: the Proposition 2 construction without its invalidation entry, without its commitment, or without the subject-link entry, and Proposition 3 shifted by one month, which shows the checks can fail (Appendix A, A.23 and A.24). The check covers every parameter combination within the bounds rather than a sample and shares no code with the checker. It was written in the same AI-assisted process and takes the constraint definitions from </w:t>
      </w:r>
      <w:hyperlink w:anchor="sec_4_4" w:history="1">
        <w:r>
          <w:rPr>
            <w:rStyle w:val="Hyperlink"/>
          </w:rPr>
          <w:t xml:space="preserve">Section 4.4</w:t>
        </w:r>
      </w:hyperlink>
      <w:r>
        <w:t xml:space="preserve">, so it checks that the propositions follow from the constraints as encoded, not that the constraints translate the law, and it is bounded rather than general.</w:t>
      </w:r>
    </w:p>
    <w:bookmarkEnd w:id="84"/>
    <w:bookmarkStart w:id="85" w:name="witness-at-the-extended-response-period"/>
    <w:p>
      <w:pPr>
        <w:pStyle w:val="Heading2"/>
      </w:pPr>
      <w:bookmarkStart w:id="1063" w:name="sec_5_6"/>
      <w:r>
        <w:t xml:space="preserve">5.6 Witness at the Extended Response Period</w:t>
      </w:r>
      <w:bookmarkEnd w:id="1063"/>
    </w:p>
    <w:p>
      <w:pPr>
        <w:pStyle w:val="FirstParagraph"/>
      </w:pPr>
      <w:hyperlink w:anchor="ch_4" w:history="1">
        <w:r>
          <w:rPr>
            <w:rStyle w:val="Hyperlink"/>
          </w:rPr>
          <w:t xml:space="preserve">Chapter 4</w:t>
        </w:r>
      </w:hyperlink>
      <w:r>
        <w:t xml:space="preserve">, </w:t>
      </w:r>
      <w:hyperlink w:anchor="sec_4_4" w:history="1">
        <w:r>
          <w:rPr>
            <w:rStyle w:val="Hyperlink"/>
          </w:rPr>
          <w:t xml:space="preserve">Section 4.4</w:t>
        </w:r>
      </w:hyperlink>
      <w:r>
        <w:t xml:space="preserve">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here at</w:t>
      </w:r>
      <w:r>
        <w:t xml:space="preserve"> </w:t>
      </w:r>
      <m:oMath>
        <m:r>
          <m:t>δ</m:t>
        </m:r>
        <m:r>
          <m:rPr>
            <m:sty m:val="p"/>
          </m:rPr>
          <m:t>=</m:t>
        </m:r>
        <m:r>
          <m:t>3</m:t>
        </m:r>
      </m:oMath>
      <w:r>
        <w:t xml:space="preserve">.</w:t>
      </w:r>
    </w:p>
    <w:p>
      <w:pPr>
        <w:pStyle w:val="TableCaption"/>
      </w:pPr>
      <w:bookmarkStart w:id="1007" w:name="tbl_5_5"/>
      <w:r>
        <w:rPr>
          <w:b/>
          <w:color w:val="1F3864"/>
        </w:rPr>
        <w:t xml:space="preserve">Table 5.5.</w:t>
      </w:r>
      <w:r>
        <w:t xml:space="preserve"> Results at</w:t>
      </w:r>
      <w:r>
        <w:t xml:space="preserve"> </w:t>
      </w:r>
      <m:oMath>
        <m:r>
          <m:t>δ</m:t>
        </m:r>
        <m:r>
          <m:rPr>
            <m:sty m:val="p"/>
          </m:rPr>
          <m:t>=</m:t>
        </m:r>
        <m:r>
          <m:t>1</m:t>
        </m:r>
      </m:oMath>
      <w:r>
        <w:t xml:space="preserve"> </w:t>
      </w:r>
      <w:r>
        <w:t xml:space="preserve">and</w:t>
      </w:r>
      <w:r>
        <w:t xml:space="preserve"> </w:t>
      </w:r>
      <m:oMath>
        <m:r>
          <m:t>δ</m:t>
        </m:r>
        <m:r>
          <m:rPr>
            <m:sty m:val="p"/>
          </m:rPr>
          <m:t>=</m:t>
        </m:r>
        <m:r>
          <m:t>3</m:t>
        </m:r>
      </m:oMath>
      <w:r>
        <w:t xml:space="preserve"> </w:t>
      </w:r>
      <w:r>
        <w:t xml:space="preserve">(seed 20260915, n = 200)</w:t>
      </w:r>
      <w:bookmarkEnd w:id="1007"/>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m:oMath>
              <m:r>
                <m:t>δ</m:t>
              </m:r>
              <m:r>
                <m:rPr>
                  <m:sty m:val="p"/>
                </m:rPr>
                <m:t>=</m:t>
              </m:r>
              <m:r>
                <m:t>1</m:t>
              </m:r>
            </m:oMath>
          </w:p>
        </w:tc>
        <w:tc>
          <w:tcPr>
            <w:tcBorders>
              <w:bottom w:val="single" w:sz="8" w:space="0" w:color="333333"/>
            </w:tcBorders>
            <w:shd w:val="clear" w:color="auto" w:fill="E8EDF4"/>
          </w:tcPr>
          <w:p>
            <w:pPr>
              <w:pStyle w:val="Compact"/>
              <w:jc w:val="left"/>
            </w:pPr>
            <m:oMath>
              <m:r>
                <m:t>δ</m:t>
              </m:r>
              <m:r>
                <m:rPr>
                  <m:sty m:val="p"/>
                </m:rPr>
                <m:t>=</m:t>
              </m:r>
              <m:r>
                <m:t>3</m:t>
              </m:r>
            </m:oMath>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89</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94</w:t>
            </w:r>
          </w:p>
        </w:tc>
      </w:tr>
      <w:tr>
        <w:trPr>
          <w:cantSplit/>
        </w:trPr>
        <w:tc>
          <w:tcPr/>
          <w:p>
            <w:pPr>
              <w:pStyle w:val="Compact"/>
              <w:jc w:val="left"/>
            </w:pPr>
            <w:r>
              <w:rPr>
                <w:sz w:val="20"/>
                <w:szCs w:val="20"/>
              </w:rPr>
              <w:t xml:space="preserve">Corollary 1.2 witnesses</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bl>
    <w:p>
      <w:pPr>
        <w:pStyle w:val="BodyText"/>
        <w:spacing w:before="240" w:after="160" w:line="360" w:lineRule="auto"/>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5"/>
    <w:bookmarkStart w:id="86" w:name="results-under-semantics-ii"/>
    <w:p>
      <w:pPr>
        <w:pStyle w:val="Heading2"/>
      </w:pPr>
      <w:bookmarkStart w:id="1064" w:name="sec_5_7"/>
      <w:r>
        <w:t xml:space="preserve">5.7 Results under Semantics II</w:t>
      </w:r>
      <w:bookmarkEnd w:id="1064"/>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sepChr m:val=""/>
            <m:end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TableCaption"/>
      </w:pPr>
      <w:bookmarkStart w:id="1008" w:name="tbl_5_6"/>
      <w:r>
        <w:rPr>
          <w:b/>
          <w:color w:val="1F3864"/>
        </w:rPr>
        <w:t xml:space="preserve">Table 5.6.</w:t>
      </w:r>
      <w:r>
        <w:t xml:space="preserve"> Results under Semantics II (same 200 records, same seed)</w:t>
      </w:r>
      <w:bookmarkEnd w:id="1008"/>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Value</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 / 200</w:t>
            </w:r>
          </w:p>
        </w:tc>
      </w:tr>
      <w:tr>
        <w:trPr>
          <w:cantSplit/>
        </w:trPr>
        <w:tc>
          <w:tcPr/>
          <w:p>
            <w:pPr>
              <w:pStyle w:val="Compact"/>
              <w:jc w:val="left"/>
            </w:pPr>
            <w:r>
              <w:rPr>
                <w:sz w:val="20"/>
                <w:szCs w:val="20"/>
              </w:rPr>
              <w:t xml:space="preserve">— on ground GDPR Article 17(1)</w:t>
            </w:r>
          </w:p>
        </w:tc>
        <w:tc>
          <w:tcPr/>
          <w:p>
            <w:pPr>
              <w:pStyle w:val="Compact"/>
              <w:jc w:val="left"/>
            </w:pPr>
            <w:r>
              <w:rPr>
                <w:sz w:val="20"/>
                <w:szCs w:val="20"/>
              </w:rPr>
              <w:t xml:space="preserve">52</w:t>
            </w:r>
          </w:p>
        </w:tc>
      </w:tr>
      <w:tr>
        <w:trPr>
          <w:cantSplit/>
        </w:trPr>
        <w:tc>
          <w:tcPr/>
          <w:p>
            <w:pPr>
              <w:pStyle w:val="Compact"/>
              <w:jc w:val="left"/>
            </w:pPr>
            <w:r>
              <w:rPr>
                <w:sz w:val="20"/>
                <w:szCs w:val="20"/>
              </w:rPr>
              <w:t xml:space="preserve">— on ground EHDS Article 68(12)</w:t>
            </w:r>
          </w:p>
        </w:tc>
        <w:tc>
          <w:tcPr/>
          <w:p>
            <w:pPr>
              <w:pStyle w:val="Compact"/>
              <w:jc w:val="left"/>
            </w:pPr>
            <w:r>
              <w:rPr>
                <w:sz w:val="20"/>
                <w:szCs w:val="20"/>
              </w:rPr>
              <w:t xml:space="preserve">86</w:t>
            </w:r>
          </w:p>
        </w:tc>
      </w:tr>
      <w:tr>
        <w:trPr>
          <w:cantSplit/>
        </w:trPr>
        <w:tc>
          <w:tcPr/>
          <w:p>
            <w:pPr>
              <w:pStyle w:val="Compact"/>
              <w:jc w:val="left"/>
            </w:pPr>
            <w:r>
              <w:rPr>
                <w:sz w:val="20"/>
                <w:szCs w:val="20"/>
              </w:rPr>
              <w:t xml:space="preserve">Records with ≥1 constraint violation</w:t>
            </w:r>
          </w:p>
        </w:tc>
        <w:tc>
          <w:tcPr/>
          <w:p>
            <w:pPr>
              <w:pStyle w:val="Compact"/>
              <w:jc w:val="left"/>
            </w:pPr>
            <w:r>
              <w:rPr>
                <w:bCs/>
                <w:b/>
                <w:sz w:val="20"/>
                <w:szCs w:val="20"/>
              </w:rPr>
              <w:t xml:space="preserve">0 / 200</w:t>
            </w:r>
          </w:p>
        </w:tc>
      </w:tr>
      <w:tr>
        <w:trPr>
          <w:cantSplit/>
        </w:trPr>
        <w:tc>
          <w:tcPr/>
          <w:p>
            <w:pPr>
              <w:pStyle w:val="Compact"/>
              <w:jc w:val="left"/>
            </w:pPr>
            <w:r>
              <w:rPr>
                <w:sz w:val="20"/>
                <w:szCs w:val="20"/>
              </w:rPr>
              <w:t xml:space="preserve">Total constraint violations</w:t>
            </w:r>
          </w:p>
        </w:tc>
        <w:tc>
          <w:tcPr/>
          <w:p>
            <w:pPr>
              <w:pStyle w:val="Compact"/>
              <w:jc w:val="left"/>
            </w:pPr>
            <w:r>
              <w:rPr>
                <w:bCs/>
                <w:b/>
                <w:sz w:val="20"/>
                <w:szCs w:val="20"/>
              </w:rPr>
              <w:t xml:space="preserve">0</w:t>
            </w:r>
          </w:p>
        </w:tc>
      </w:tr>
    </w:tbl>
    <w:p>
      <w:pPr>
        <w:pStyle w:val="BodyText"/>
        <w:spacing w:before="240" w:after="160" w:line="360" w:lineRule="auto"/>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w:t>
      </w:r>
      <w:hyperlink w:anchor="sec_5_4" w:history="1">
        <w:r>
          <w:rPr>
            <w:rStyle w:val="Hyperlink"/>
          </w:rPr>
          <w:t xml:space="preserve">Section 5.4</w:t>
        </w:r>
      </w:hyperlink>
      <w:r>
        <w:t xml:space="preserve">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a cross-border record keeps the link through the floor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The binding to a specific payload survives in the commitment. The invalidation is itself a logged, grounded, attributed event rather than a silent absence. And the payload is unreadable, at month nineteen as at month sixteen. An auditor examining this record learns what the accountability purpose is argued to require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while the payload is unreadable.</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A.16). The Semantics II result of </w:t>
      </w:r>
      <w:hyperlink w:anchor="tbl_5_6" w:history="1">
        <w:r>
          <w:rPr>
            <w:rStyle w:val="Hyperlink"/>
          </w:rPr>
          <w:t xml:space="preserve">Table 5.6</w:t>
        </w:r>
      </w:hyperlink>
      <w:r>
        <w:t xml:space="preserve"> therefore rests on a check that can fail, which a test of the fields’ presence alone could not.</w:t>
      </w:r>
    </w:p>
    <w:bookmarkEnd w:id="86"/>
    <w:bookmarkStart w:id="87" w:name="X118c29104845627cee32a0e9a3002454d83401c"/>
    <w:p>
      <w:pPr>
        <w:pStyle w:val="Heading2"/>
      </w:pPr>
      <w:bookmarkStart w:id="1065" w:name="sec_5_8"/>
      <w:r>
        <w:t xml:space="preserve">5.8 What the Demonstration Establishes, and What It Does Not</w:t>
      </w:r>
      <w:bookmarkEnd w:id="1065"/>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and Propositions 1–3 survive a bounded SMT check over every parameter combination within its bounds.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w:t>
      </w:r>
      <w:hyperlink w:anchor="ch_4" w:history="1">
        <w:r>
          <w:rPr>
            <w:rStyle w:val="Hyperlink"/>
          </w:rPr>
          <w:t xml:space="preserve">Chapter 4</w:t>
        </w:r>
      </w:hyperlink>
      <w:r>
        <w:t xml:space="preserve">,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A.15 and A.22): after the 138 scheduled destructions exactly those records refuse to decrypt and the other 62 still read, so unreadability is executed rather than asserted; the keys are still destroyed in program memory, not in hardware: the limitation that </w:t>
      </w:r>
      <w:hyperlink w:anchor="ch_2" w:history="1">
        <w:r>
          <w:rPr>
            <w:rStyle w:val="Hyperlink"/>
          </w:rPr>
          <w:t xml:space="preserve">Chapter 2</w:t>
        </w:r>
      </w:hyperlink>
      <w:r>
        <w:t xml:space="preserve"> drew from the secure-deletion literature and that </w:t>
      </w:r>
      <w:hyperlink w:anchor="ch_6" w:history="1">
        <w:r>
          <w:rPr>
            <w:rStyle w:val="Hyperlink"/>
          </w:rPr>
          <w:t xml:space="preserve">Chapter 6</w:t>
        </w:r>
      </w:hyperlink>
      <w:r>
        <w:t xml:space="preserve"> engages.</w:t>
      </w:r>
    </w:p>
    <w:p>
      <w:pPr>
        <w:pStyle w:val="BodyText"/>
      </w:pPr>
      <w:r>
        <w:rPr>
          <w:iCs/>
          <w:i/>
        </w:rPr>
        <w:t xml:space="preserve">How the tables should be read.</w:t>
      </w:r>
      <w:r>
        <w:t xml:space="preserve"> </w:t>
      </w:r>
      <w:r>
        <w:t xml:space="preserve">The Semantics II result of </w:t>
      </w:r>
      <w:hyperlink w:anchor="tbl_5_6" w:history="1">
        <w:r>
          <w:rPr>
            <w:rStyle w:val="Hyperlink"/>
          </w:rPr>
          <w:t xml:space="preserve">Table 5.6</w:t>
        </w:r>
      </w:hyperlink>
      <w:r>
        <w:t xml:space="preserve"> holds by construction: the checker derives payload accessibility from the same invalidation month that the trajectory of Proposition 2 prescribes, so zero violations is the expected outcome, and a failure would expose an implementation error and not a modelling error. The rates of </w:t>
      </w:r>
      <w:hyperlink w:anchor="tbl_5_3" w:history="1">
        <w:r>
          <w:rPr>
            <w:rStyle w:val="Hyperlink"/>
          </w:rPr>
          <w:t xml:space="preserve">Table 5.3</w:t>
        </w:r>
      </w:hyperlink>
      <w:r>
        <w:t xml:space="preserve"> are read as </w:t>
      </w:r>
      <w:hyperlink w:anchor="sec_5_3" w:history="1">
        <w:r>
          <w:rPr>
            <w:rStyle w:val="Hyperlink"/>
          </w:rPr>
          <w:t xml:space="preserve">Section 5.3</w:t>
        </w:r>
      </w:hyperlink>
      <w:r>
        <w:t xml:space="preserve"> states.</w:t>
      </w:r>
    </w:p>
    <w:p>
      <w:pPr>
        <w:pStyle w:val="BodyText"/>
      </w:pPr>
      <w:r>
        <w:rPr>
          <w:iCs/>
          <w:i/>
        </w:rPr>
        <w:t xml:space="preserve">Payload provenance.</w:t>
      </w:r>
      <w:r>
        <w:t xml:space="preserve"> </w:t>
      </w:r>
      <w:r>
        <w:t xml:space="preserve">The realism layer specified in </w:t>
      </w:r>
      <w:hyperlink w:anchor="ch_3" w:history="1">
        <w:r>
          <w:rPr>
            <w:rStyle w:val="Hyperlink"/>
          </w:rPr>
          <w:t xml:space="preserve">Chapter 3</w:t>
        </w:r>
      </w:hyperlink>
      <w:r>
        <w:t xml:space="preserve">, </w:t>
      </w:r>
      <w:hyperlink w:anchor="sec_3_6" w:history="1">
        <w:r>
          <w:rPr>
            <w:rStyle w:val="Hyperlink"/>
          </w:rPr>
          <w:t xml:space="preserve">Section 3.6</w:t>
        </w:r>
      </w:hyperlink>
      <w:r>
        <w:t xml:space="preserve"> was built and executed; its result bears on how much the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A.17). All two hundred commitments change, confirming that the payloads genuinely differ.</w:t>
      </w:r>
    </w:p>
    <w:p>
      <w:pPr>
        <w:pStyle w:val="TableCaption"/>
      </w:pPr>
      <w:bookmarkStart w:id="1009" w:name="tbl_5_7"/>
      <w:r>
        <w:rPr>
          <w:b/>
          <w:color w:val="1F3864"/>
        </w:rPr>
        <w:t xml:space="preserve">Table 5.7.</w:t>
      </w:r>
      <w:r>
        <w:t xml:space="preserve"> Constructed against Synthea-generated payloads (same seed, same timings)</w:t>
      </w:r>
      <w:bookmarkEnd w:id="1009"/>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Constructed</w:t>
            </w:r>
          </w:p>
        </w:tc>
        <w:tc>
          <w:tcPr>
            <w:tcBorders>
              <w:bottom w:val="single" w:sz="8" w:space="0" w:color="333333"/>
            </w:tcBorders>
            <w:shd w:val="clear" w:color="auto" w:fill="E8EDF4"/>
          </w:tcPr>
          <w:p>
            <w:pPr>
              <w:pStyle w:val="Compact"/>
              <w:jc w:val="left"/>
            </w:pPr>
            <w:r>
              <w:rPr>
                <w:b/>
                <w:sz w:val="20"/>
                <w:szCs w:val="20"/>
              </w:rPr>
              <w:t xml:space="preserve">Synthea</w:t>
            </w:r>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90</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95</w:t>
            </w:r>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Commitments differing between runs</w:t>
            </w:r>
          </w:p>
        </w:tc>
        <w:tc>
          <w:tcPr/>
          <w:p>
            <w:pPr>
              <w:pStyle w:val="Compact"/>
              <w:jc w:val="left"/>
            </w:pPr>
            <w:r>
              <w:rPr>
                <w:sz w:val="20"/>
                <w:szCs w:val="20"/>
              </w:rPr>
              <w:t xml:space="preserve">—</w:t>
            </w:r>
          </w:p>
        </w:tc>
        <w:tc>
          <w:tcPr/>
          <w:p>
            <w:pPr>
              <w:pStyle w:val="Compact"/>
              <w:jc w:val="left"/>
            </w:pPr>
            <w:r>
              <w:rPr>
                <w:sz w:val="20"/>
                <w:szCs w:val="20"/>
              </w:rPr>
              <w:t xml:space="preserve">200 / 200</w:t>
            </w:r>
          </w:p>
        </w:tc>
      </w:tr>
    </w:tbl>
    <w:p>
      <w:pPr>
        <w:pStyle w:val="BodyText"/>
        <w:spacing w:before="240" w:after="160" w:line="360" w:lineRule="auto"/>
      </w:pPr>
      <w:r>
        <w:t xml:space="preserve">Every reported figure is identical while every commitment differs. This is the expected result: no constraint in the TRF Model reads the content of a payload, so the results are functions of timing and accessibility alone, and the comparison tests that claim against inputs that demonstrably changed.</w:t>
      </w:r>
    </w:p>
    <w:p>
      <w:pPr>
        <w:pStyle w:val="BodyText"/>
      </w:pPr>
      <w:r>
        <w:t xml:space="preserve">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so neither the size of the cohort nor the frequency with which payloads repeat affects any reported figure.</w:t>
      </w:r>
    </w:p>
    <w:p>
      <w:pPr>
        <w:pStyle w:val="BodyText"/>
      </w:pPr>
      <w:r>
        <w:t xml:space="preserve">The generated records carry US Core profiles, not the Norwegian basisprofiler;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states why that cannot affect any figure here, and the invariance above confirms it.</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source repository and a hosted demonstration are listed in Appendix A. The hosted application executes the same unmodified source, checks at execution that its run reproduces the figures in this chapter, and shows a failure notice rather than results if it does not. No claim depends on the hosting remaining available; the repository is the artefact. The demonstration thus supports the claim </w:t>
      </w:r>
      <w:hyperlink w:anchor="ch_1" w:history="1">
        <w:r>
          <w:rPr>
            <w:rStyle w:val="Hyperlink"/>
          </w:rPr>
          <w:t xml:space="preserve">Chapter 1</w:t>
        </w:r>
      </w:hyperlink>
      <w:r>
        <w:t xml:space="preserve"> made for it: the artefact behaves as specified, and Propositions 1 and 2 are checkable by a reader who declines to take the proofs on trust. </w:t>
      </w:r>
      <w:hyperlink w:anchor="ch_6" w:history="1">
        <w:r>
          <w:rPr>
            <w:rStyle w:val="Hyperlink"/>
          </w:rPr>
          <w:t xml:space="preserve">Chapter 6</w:t>
        </w:r>
      </w:hyperlink>
      <w:r>
        <w:t xml:space="preserve"> takes up what follows from them.</w:t>
      </w:r>
    </w:p>
    <w:bookmarkEnd w:id="87"/>
    <w:bookmarkEnd w:id="88"/>
    <w:bookmarkStart w:id="101" w:name="chapter-6.-discussion"/>
    <w:p>
      <w:pPr>
        <w:pStyle w:val="Heading1"/>
      </w:pPr>
      <w:bookmarkStart w:id="1066" w:name="ch_6"/>
      <w:r>
        <w:t xml:space="preserve">Chapter 6. Discussion</w:t>
      </w:r>
      <w:bookmarkEnd w:id="1066"/>
    </w:p>
    <w:bookmarkStart w:id="89" w:name="what-the-thesis-establishes"/>
    <w:p>
      <w:pPr>
        <w:pStyle w:val="Heading2"/>
      </w:pPr>
      <w:bookmarkStart w:id="1067" w:name="sec_6_1"/>
      <w:r>
        <w:t xml:space="preserve">6.1 What the Thesis Establishes</w:t>
      </w:r>
      <w:bookmarkEnd w:id="1067"/>
    </w:p>
    <w:p>
      <w:pPr>
        <w:pStyle w:val="FirstParagraph"/>
      </w:pPr>
      <w:r>
        <w:t xml:space="preserve">Read one way, three obligations cannot be met together. Read another, they can. The thesis establishes that the conflict between audit-retention floors and the obligations to erase is not a property of the obligations but of an assumption about what satisfies them. Under plaintext-verifiability semantics,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w:t>
      </w:r>
      <w:hyperlink w:anchor="ch_4" w:history="1">
        <w:r>
          <w:rPr>
            <w:rStyle w:val="Hyperlink"/>
          </w:rPr>
          <w:t xml:space="preserve">Chapter 4</w:t>
        </w:r>
      </w:hyperlink>
      <w:r>
        <w:t xml:space="preserve"> proves both results; </w:t>
      </w:r>
      <w:hyperlink w:anchor="ch_5" w:history="1">
        <w:r>
          <w:rPr>
            <w:rStyle w:val="Hyperlink"/>
          </w:rPr>
          <w:t xml:space="preserve">Chapter 5</w:t>
        </w:r>
      </w:hyperlink>
      <w:r>
        <w:t xml:space="preserve">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Proposition 4). Cryptographic invalidation is therefore necessary where a data subject’s request meets a retention floor, and in the cross-border pathway that is every request arriving inside the floor, because the IHE patient-discovery profile requires the patient’s identifying query to be recorded in the audit message.</w:t>
      </w:r>
    </w:p>
    <w:p>
      <w:pPr>
        <w:pStyle w:val="BodyText"/>
      </w:pPr>
      <w:r>
        <w:t xml:space="preserve">A conditional extension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w:t>
      </w:r>
      <w:hyperlink w:anchor="ch_5" w:history="1">
        <w:r>
          <w:rPr>
            <w:rStyle w:val="Hyperlink"/>
          </w:rPr>
          <w:t xml:space="preserve">Chapter 5</w:t>
        </w:r>
      </w:hyperlink>
      <w:r>
        <w:t xml:space="preserve"> produced witnesses of this collision in the model; how many depends on the permit lengths the generator draws, and the count is not an estimate of real frequency (</w:t>
      </w:r>
      <w:hyperlink w:anchor="ch_5" w:history="1">
        <w:r>
          <w:rPr>
            <w:rStyle w:val="Hyperlink"/>
          </w:rPr>
          <w:t xml:space="preserve">Chapter 5</w:t>
        </w:r>
      </w:hyperlink>
      <w:r>
        <w:t xml:space="preserve">, </w:t>
      </w:r>
      <w:hyperlink w:anchor="sec_5_4" w:history="1">
        <w:r>
          <w:rPr>
            <w:rStyle w:val="Hyperlink"/>
          </w:rPr>
          <w:t xml:space="preserve">Section 5.4</w:t>
        </w:r>
      </w:hyperlink>
      <w:r>
        <w:t xml:space="preserve">). Proposition 3 states the general condition: a ceiling no longer than the floor, anchored to an event other than the one the floor runs from.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under a key-encrypting key, hiding commitments, deletion of the ciphertext with the key, removal of the subject link at the ceiling, invalidation entries carrying month, legal ground, and authorising actor, a tamper-evident log built never to hold what erasure reaches, and a terminal transition at floor expiry that discharges the storage-limitation obligation on the metadata itself. The artefact executes all of these but the terminal transition, which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specifies and the checker does not implement; nor does it implement the per-entry nonce that keeps surviving leaf hashes from confirming guesses, or the consistency proofs between successive log roots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w:t>
      </w:r>
      <w:hyperlink w:anchor="ch_5" w:history="1">
        <w:r>
          <w:rPr>
            <w:rStyle w:val="Hyperlink"/>
          </w:rPr>
          <w:t xml:space="preserve">Chapter 5</w:t>
        </w:r>
      </w:hyperlink>
      <w:r>
        <w:t xml:space="preserve"> exercises keys, commitments, and invalidation entries, and no accumulator was built or run.</w:t>
      </w:r>
    </w:p>
    <w:p>
      <w:pPr>
        <w:pStyle w:val="BodyText"/>
      </w:pPr>
      <w:r>
        <w:t xml:space="preserve">What follows engages the objections to all of this in the order of their seriousness.</w:t>
      </w:r>
    </w:p>
    <w:bookmarkEnd w:id="89"/>
    <w:bookmarkStart w:id="90" w:name="the-authority-problem"/>
    <w:p>
      <w:pPr>
        <w:pStyle w:val="Heading2"/>
      </w:pPr>
      <w:bookmarkStart w:id="1068" w:name="sec_6_2"/>
      <w:r>
        <w:t xml:space="preserve">6.2 The Authority Problem</w:t>
      </w:r>
      <w:bookmarkEnd w:id="1068"/>
    </w:p>
    <w:p>
      <w:pPr>
        <w:pStyle w:val="FirstParagraph"/>
      </w:pPr>
      <w:r>
        <w:t xml:space="preserve">The most serious objection to this thesis is not technical.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on the broad reading the only way to honour both Article 73(1)(e) and Article 68(12) is to move the logs out of the environment at permit closure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Rival 6): the subject fields then sit with a second controller for the rest of the floor, and the erasure right is untouched (Proposition 4). For cross-border records there is no such route at all. A supervisory authority is unlikely to prefer that outcome to a reading under which every obligation is honoured where the data are.</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 The Joint Action’s specification points the same way from the infrastructure side.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w:t>
      </w:r>
      <w:r>
        <w:t xml:space="preserve">and leaves the deletion and retention policy to</w:t>
      </w:r>
      <w:r>
        <w:t xml:space="preserve"> </w:t>
      </w:r>
      <w:r>
        <w:t xml:space="preserve">“</w:t>
      </w:r>
      <w:r>
        <w:t xml:space="preserve">balance these obligations</w:t>
      </w:r>
      <w:r>
        <w:t xml:space="preserve">”</w:t>
      </w:r>
      <w:r>
        <w:t xml:space="preserve"> </w:t>
      </w:r>
      <w:r>
        <w:t xml:space="preserve">(TEHDAS2, 2026, Table 5.2, OPR-6, p. 43), and it records that further guidance is needed on how accountability and anonymisation obligations intersect (Annex 7, p. 96). A specification that asks for a balance it does not define has not adopted plaintext verifiability; </w:t>
      </w:r>
      <w:hyperlink w:anchor="tbl_4_1" w:history="1">
        <w:r>
          <w:rPr>
            <w:rStyle w:val="Hyperlink"/>
          </w:rPr>
          <w:t xml:space="preserve">Table 4.1</w:t>
        </w:r>
      </w:hyperlink>
      <w:r>
        <w:t xml:space="preserve"> sets out one balance requirement by requirement.</w:t>
      </w:r>
    </w:p>
    <w:p>
      <w:pPr>
        <w:pStyle w:val="BodyText"/>
      </w:pPr>
      <w:r>
        <w:t xml:space="preserve">Third, the question is decidable by asking. </w:t>
      </w:r>
      <w:hyperlink w:anchor="ch_7" w:history="1">
        <w:r>
          <w:rPr>
            <w:rStyle w:val="Hyperlink"/>
          </w:rPr>
          <w:t xml:space="preserve">Chapter 7</w:t>
        </w:r>
      </w:hyperlink>
      <w:r>
        <w:t xml:space="preserve">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the broad reading or the narrow one, on the grounds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What makes this tolerable rather than fatal is that the dependency is confined: Corollary 1.2 stands or falls with it, as does the conditional branch of Corollary 2.3, and nothing else in the thesis does. The same request, addressed to the authorities responsible for EHDS incorporation, could reasonably carry this one alongside it.</w:t>
      </w:r>
    </w:p>
    <w:bookmarkEnd w:id="90"/>
    <w:bookmarkStart w:id="91" w:name="Xded207afce20f277dc3fb975fe95ea550887e42"/>
    <w:p>
      <w:pPr>
        <w:pStyle w:val="Heading2"/>
      </w:pPr>
      <w:bookmarkStart w:id="1069" w:name="sec_6_3"/>
      <w:r>
        <w:t xml:space="preserve">6.3 Key Destruction and the Limits of Assurance</w:t>
      </w:r>
      <w:bookmarkEnd w:id="1069"/>
    </w:p>
    <w:p>
      <w:pPr>
        <w:pStyle w:val="FirstParagraph"/>
      </w:pPr>
      <w:r>
        <w:t xml:space="preserve">Nobody can watch a key being destroyed. That is the second objection, the one the thesis has carried since </w:t>
      </w:r>
      <w:hyperlink w:anchor="ch_2" w:history="1">
        <w:r>
          <w:rPr>
            <w:rStyle w:val="Hyperlink"/>
          </w:rPr>
          <w:t xml:space="preserve">Chapter 2</w:t>
        </w:r>
      </w:hyperlink>
      <w:r>
        <w:t xml:space="preserve">, and it is the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Merkle log alongside a commitment to the destroyed key’s identifier, so that the claim, once made, cannot be altered or withdrawn without detection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Key-management guidance treats such a record as the normal trace of a destroyed key (Barker, 2020). An auditor can establish that the claim was made, by whom, and when; an auditor cannot establish that the claim is true. The difference between attestation and proof is the boundary of this contribution. Two things narrow it without closing it. Hardware security modules validated against FIPS 140-3 (National Institute of Standards and Technology, 2019) place destruction inside a tested boundary, though validation attests the design of the module, not any particular destruction. And the optional module of the artefact replaces the simulated key with real AES-256-GCM envelope encryption: after the 138 scheduled destructions, exactly those records refuse to decrypt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which shows that unreadability follows from the destruction, not that the destruction took place.</w:t>
      </w:r>
    </w:p>
    <w:p>
      <w:pPr>
        <w:pStyle w:val="BodyText"/>
      </w:pPr>
      <w:r>
        <w:t xml:space="preserve">That boundary is where an active research programme sits.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w:t>
      </w:r>
      <w:hyperlink w:anchor="ch_4" w:history="1">
        <w:r>
          <w:rPr>
            <w:rStyle w:val="Hyperlink"/>
          </w:rPr>
          <w:t xml:space="preserve">Chapter 4</w:t>
        </w:r>
      </w:hyperlink>
      <w:r>
        <w:t xml:space="preserve">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1"/>
    <w:bookmarkStart w:id="92" w:name="the-cost-objection"/>
    <w:p>
      <w:pPr>
        <w:pStyle w:val="Heading2"/>
      </w:pPr>
      <w:bookmarkStart w:id="1070" w:name="sec_6_4"/>
      <w:r>
        <w:t xml:space="preserve">6.4 The Cost Objection</w:t>
      </w:r>
      <w:bookmarkEnd w:id="1070"/>
    </w:p>
    <w:p>
      <w:pPr>
        <w:pStyle w:val="FirstParagraph"/>
      </w:pPr>
      <w:r>
        <w:t xml:space="preserve">Per-record keys cost something, and the question is whether the cost is worth paying. 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w:t>
      </w:r>
      <w:hyperlink w:anchor="ch_4" w:history="1">
        <w:r>
          <w:rPr>
            <w:rStyle w:val="Hyperlink"/>
          </w:rPr>
          <w:t xml:space="preserve">Chapter 4</w:t>
        </w:r>
      </w:hyperlink>
      <w:r>
        <w:t xml:space="preserve"> requires per-record key granularity, and </w:t>
      </w:r>
      <w:hyperlink w:anchor="sec_4_8" w:history="1">
        <w:r>
          <w:rPr>
            <w:rStyle w:val="Hyperlink"/>
          </w:rPr>
          <w:t xml:space="preserve">Section 4.8</w:t>
        </w:r>
      </w:hyperlink>
      <w:r>
        <w:t xml:space="preserve">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electronic health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2"/>
    <w:bookmarkStart w:id="93" w:name="scalability"/>
    <w:p>
      <w:pPr>
        <w:pStyle w:val="Heading2"/>
      </w:pPr>
      <w:bookmarkStart w:id="1071" w:name="sec_6_5"/>
      <w:r>
        <w:t xml:space="preserve">6.5 Scalability</w:t>
      </w:r>
      <w:bookmarkEnd w:id="1071"/>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and the audit log adds a fourth whose verification grows only logarithmically: an inclusion proof for one entry in a log of</w:t>
      </w:r>
      <w:r>
        <w:t xml:space="preserve"> </w:t>
      </w:r>
      <m:oMath>
        <m:r>
          <m:t>n</m:t>
        </m:r>
      </m:oMath>
      <w:r>
        <w:t xml:space="preserve"> </w:t>
      </w:r>
      <w:r>
        <w:t xml:space="preserve">entries needs about</w:t>
      </w:r>
      <w:r>
        <w:t xml:space="preserve"> </w:t>
      </w:r>
      <m:oMath>
        <m:sSub>
          <m:e>
            <m:r>
              <m:rPr>
                <m:sty m:val="p"/>
              </m:rPr>
              <m:t>log</m:t>
            </m:r>
          </m:e>
          <m:sub>
            <m:r>
              <m:t>2</m:t>
            </m:r>
          </m:sub>
        </m:sSub>
        <m:r>
          <m:t>n</m:t>
        </m:r>
      </m:oMath>
      <w:r>
        <w:t xml:space="preserve"> </w:t>
      </w:r>
      <w:r>
        <w:t xml:space="preserve">hashes, some thirty for a billion entries, which is why the same construction carries the web’s certificate logs (Laurie, Langley, &amp; Kasper, 2013).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w:t>
      </w:r>
      <w:hyperlink w:anchor="sec_6_4" w:history="1">
        <w:r>
          <w:rPr>
            <w:rStyle w:val="Hyperlink"/>
          </w:rPr>
          <w:t xml:space="preserve">Section 6.4</w:t>
        </w:r>
      </w:hyperlink>
      <w:r>
        <w:t xml:space="preserve">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 The Merkle log already makes the presence of an invalidation entry succinct to check; what the accumulator would add is a succinct proof that a record has</w:t>
      </w:r>
      <w:r>
        <w:t xml:space="preserve"> </w:t>
      </w:r>
      <w:r>
        <w:rPr>
          <w:iCs/>
          <w:i/>
        </w:rPr>
        <w:t xml:space="preserve">not</w:t>
      </w:r>
      <w:r>
        <w:t xml:space="preserve"> </w:t>
      </w:r>
      <w:r>
        <w:t xml:space="preserve">been invalidated.</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3"/>
    <w:bookmarkStart w:id="94" w:name="X44fba077a1d6c8b053ceb66fb0b4946e89febc8"/>
    <w:p>
      <w:pPr>
        <w:pStyle w:val="Heading2"/>
      </w:pPr>
      <w:bookmarkStart w:id="1072" w:name="sec_6_6"/>
      <w:r>
        <w:t xml:space="preserve">6.6 Evaluation Design and the Role of Stakeholder Assessment</w:t>
      </w:r>
      <w:bookmarkEnd w:id="1072"/>
    </w:p>
    <w:p>
      <w:pPr>
        <w:pStyle w:val="FirstParagraph"/>
      </w:pPr>
      <w:r>
        <w:t xml:space="preserve">A model can be right and still be refused by the people who would have to run it. The evaluation reported in this thesis is analytical, and </w:t>
      </w:r>
      <w:hyperlink w:anchor="sec_3_7" w:history="1">
        <w:r>
          <w:rPr>
            <w:rStyle w:val="Hyperlink"/>
          </w:rPr>
          <w:t xml:space="preserve">Section 3.7</w:t>
        </w:r>
      </w:hyperlink>
      <w:r>
        <w:t xml:space="preserve">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w:t>
      </w:r>
      <w:hyperlink w:anchor="sec_6_2" w:history="1">
        <w:r>
          <w:rPr>
            <w:rStyle w:val="Hyperlink"/>
          </w:rPr>
          <w:t xml:space="preserve">Section 6.2</w:t>
        </w:r>
      </w:hyperlink>
      <w:r>
        <w:t xml:space="preserve"> identifies as carrying Corollary 1.2. Questionnaire item A2 asks whether attested key destruction is sufficient without hardware-backed proof, which is the boundary </w:t>
      </w:r>
      <w:hyperlink w:anchor="sec_6_3" w:history="1">
        <w:r>
          <w:rPr>
            <w:rStyle w:val="Hyperlink"/>
          </w:rPr>
          <w:t xml:space="preserve">Section 6.3</w:t>
        </w:r>
      </w:hyperlink>
      <w:r>
        <w:t xml:space="preserve"> describes. And items O1 to O4 address the operational burden that </w:t>
      </w:r>
      <w:hyperlink w:anchor="sec_6_4" w:history="1">
        <w:r>
          <w:rPr>
            <w:rStyle w:val="Hyperlink"/>
          </w:rPr>
          <w:t xml:space="preserve">Section 6.4</w:t>
        </w:r>
      </w:hyperlink>
      <w:r>
        <w:t xml:space="preserve">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doing so would process personal data about identifiable professionals, require notification to Sikt, and require revision of the scope and ethics statements that are accurate for the thesis as submitted. Its execution is the immediate next step identified in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and the findings would feed back into the design cycle rather than being appended to it, revising the trust model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residue analysis, and the direction of the next iteration.</w:t>
      </w:r>
    </w:p>
    <w:bookmarkEnd w:id="94"/>
    <w:bookmarkStart w:id="95" w:name="Xb09e9d760b9049b450198be4ab64b306a64bdc7"/>
    <w:p>
      <w:pPr>
        <w:pStyle w:val="Heading2"/>
      </w:pPr>
      <w:bookmarkStart w:id="1073" w:name="sec_6_7"/>
      <w:r>
        <w:t xml:space="preserve">6.7 Synthetic Data and the Limits of the Demonstration</w:t>
      </w:r>
      <w:bookmarkEnd w:id="1073"/>
    </w:p>
    <w:p>
      <w:pPr>
        <w:pStyle w:val="FirstParagraph"/>
      </w:pPr>
      <w:r>
        <w:t xml:space="preserve">The patients in this thesis do not exist, and no result depends on who they are. Substituting real FHIR R4 resources for constructed payload strings changed all two hundred commitments and no reported figure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t>
      </w:r>
      <w:hyperlink w:anchor="tbl_5_7" w:history="1">
        <w:r>
          <w:rPr>
            <w:rStyle w:val="Hyperlink"/>
          </w:rPr>
          <w:t xml:space="preserve">Table 5.7</w:t>
        </w:r>
      </w:hyperlink>
      <w:r>
        <w:t xml:space="preserve">), as it must, since no constraint in the TRF Model reads payload content.</w:t>
      </w:r>
    </w:p>
    <w:p>
      <w:pPr>
        <w:pStyle w:val="BodyText"/>
      </w:pPr>
      <w:r>
        <w:t xml:space="preserve">The two limitations of the generated cohort, US Core rather than Norwegian profiles and the validity bounds found by Chen, Chun, Patel, Chiang and James (2019), are stated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both lie in dimensions the thesis does not use, because its claims concern the behaviour of audit records under constraint, not clinical content.</w:t>
      </w:r>
    </w:p>
    <w:p>
      <w:pPr>
        <w:pStyle w:val="BodyText"/>
      </w:pPr>
      <w:r>
        <w:t xml:space="preserve">The deeper limitation is that a demonstration over generated instances is not a proof over all instances. The general claims rest on the arguments in </w:t>
      </w:r>
      <w:hyperlink w:anchor="ch_4" w:history="1">
        <w:r>
          <w:rPr>
            <w:rStyle w:val="Hyperlink"/>
          </w:rPr>
          <w:t xml:space="preserve">Chapter 4</w:t>
        </w:r>
      </w:hyperlink>
      <w:r>
        <w:t xml:space="preserve">, and those arguments are informal rather than machine-checked. The executable check, the exhaustive cross-check and the bounded SMT check reduce the probability that an error in the proofs has gone unnoticed; they do not eliminate it, and none of them can show that the constraints translate the law.</w:t>
      </w:r>
    </w:p>
    <w:bookmarkEnd w:id="95"/>
    <w:bookmarkStart w:id="96" w:name="implications-for-practice-and-policy"/>
    <w:p>
      <w:pPr>
        <w:pStyle w:val="Heading2"/>
      </w:pPr>
      <w:bookmarkStart w:id="1074" w:name="sec_6_8"/>
      <w:r>
        <w:t xml:space="preserve">6.8 Implications for Practice and Policy</w:t>
      </w:r>
      <w:bookmarkEnd w:id="1074"/>
    </w:p>
    <w:p>
      <w:pPr>
        <w:pStyle w:val="FirstParagraph"/>
      </w:pPr>
      <w:r>
        <w:t xml:space="preserve">The EHDS provisions that create the collision in Secure Processing Environments do not apply until 26 March 2029, and that is the opportunity. The timing argument is the strongest claim to practical relevance this thesis makes.</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in Secure Processing Environments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and the 2024 draft makes identifiable access logs mandatory for at least one year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 They grade an information-security management system as mandatory and ISO 27001 certification as recommended, and require eID-based authentication at defined assurance levels. No requirement addressing the reconciliation of retention with erasure and deletion appears among them. The absence is observed in the hearing version of the checklists, not established against the deliverable as submitted.</w:t>
      </w:r>
    </w:p>
    <w:p>
      <w:pPr>
        <w:pStyle w:val="BodyText"/>
      </w:pPr>
      <w:r>
        <w:t xml:space="preserve">The state of Norwegian cross-border operations reinforces this. Norway’s National Contact Point is in live pilot operation, but no relevant patients had yet presented when the Directorate last reported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sets out.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Proposition 3 also gives the acts a drafting test: any further ceiling no longer than a floor and anchored to a different event will collide for some records, and only the records’ histories will show which.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 of 2026 defines minimum capabilities and the interoperability baseline for federating environments, the collision is named but not resolved: the specification asks for a balance between deletion and traceability and flags the intersection of accountability and anonymisation as needing guidance (</w:t>
      </w:r>
      <w:hyperlink w:anchor="sec_6_2" w:history="1">
        <w:r>
          <w:rPr>
            <w:rStyle w:val="Hyperlink"/>
          </w:rPr>
          <w:t xml:space="preserve">Section 6.2</w:t>
        </w:r>
      </w:hyperlink>
      <w:r>
        <w:t xml:space="preserve">). </w:t>
      </w:r>
      <w:hyperlink w:anchor="tbl_4_1" w:history="1">
        <w:r>
          <w:rPr>
            <w:rStyle w:val="Hyperlink"/>
          </w:rPr>
          <w:t xml:space="preserve">Table 4.1</w:t>
        </w:r>
      </w:hyperlink>
      <w:r>
        <w:t xml:space="preserve"> is written in the specification’s own requirement identifiers so that it can be read as a proposal against them.</w:t>
      </w:r>
    </w:p>
    <w:p>
      <w:pPr>
        <w:pStyle w:val="BodyText"/>
      </w:pPr>
      <w:r>
        <w:t xml:space="preserve">This thesis is a Master’s dissertation proposing a design, not a regulatory impact assessment. The policy implications above are offered as an argument to the bodies concerned, not as advice they are obliged to weigh, and their force depends entirely on the authority question of </w:t>
      </w:r>
      <w:hyperlink w:anchor="sec_6_2" w:history="1">
        <w:r>
          <w:rPr>
            <w:rStyle w:val="Hyperlink"/>
          </w:rPr>
          <w:t xml:space="preserve">Section 6.2</w:t>
        </w:r>
      </w:hyperlink>
      <w:r>
        <w:t xml:space="preserve"> being resolved favourably.</w:t>
      </w:r>
    </w:p>
    <w:bookmarkEnd w:id="96"/>
    <w:bookmarkStart w:id="97" w:name="theoretical-implications"/>
    <w:p>
      <w:pPr>
        <w:pStyle w:val="Heading2"/>
      </w:pPr>
      <w:bookmarkStart w:id="1075" w:name="sec_6_9"/>
      <w:r>
        <w:t xml:space="preserve">6.9 Theoretical Implications</w:t>
      </w:r>
      <w:bookmarkEnd w:id="1075"/>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w:t>
      </w:r>
      <w:hyperlink w:anchor="sec_6_10" w:history="1">
        <w:r>
          <w:rPr>
            <w:rStyle w:val="Hyperlink"/>
          </w:rPr>
          <w:t xml:space="preserve">Section 6.10</w:t>
        </w:r>
      </w:hyperlink>
      <w:r>
        <w:t xml:space="preserve"> tests that expectation against a statute outside health and returns a negative result which revises it: what matters is not that a floor and a ceiling coexist but where the ceiling is anchored.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w:t>
      </w:r>
      <w:hyperlink w:anchor="sec_6_2" w:history="1">
        <w:r>
          <w:rPr>
            <w:rStyle w:val="Hyperlink"/>
          </w:rPr>
          <w:t xml:space="preserve">Sections 6.2</w:t>
        </w:r>
      </w:hyperlink>
      <w:r>
        <w:t xml:space="preserve"> and 6.3 attached. The fourth open problem on the same list, composition with zero-knowledge selective disclosure, is a problem this thesis creates rather than solves, and </w:t>
      </w:r>
      <w:hyperlink w:anchor="ch_7" w:history="1">
        <w:r>
          <w:rPr>
            <w:rStyle w:val="Hyperlink"/>
          </w:rPr>
          <w:t xml:space="preserve">Chapter 7</w:t>
        </w:r>
      </w:hyperlink>
      <w:r>
        <w:t xml:space="preserve"> treats it accordingly.</w:t>
      </w:r>
    </w:p>
    <w:bookmarkEnd w:id="97"/>
    <w:bookmarkStart w:id="98" w:name="Xf98bccb8ca371ce0fd1679988a5911c6b05ad19"/>
    <w:p>
      <w:pPr>
        <w:pStyle w:val="Heading2"/>
      </w:pPr>
      <w:bookmarkStart w:id="1076" w:name="sec_6_10"/>
      <w:r>
        <w:t xml:space="preserve">6.10 Where the Ceiling Is Anchored: a Cross-Sector Test</w:t>
      </w:r>
      <w:bookmarkEnd w:id="1076"/>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A.13, and its console output at Section A.20.</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a ceiling no longer than the floor is anchored to a different event, which is not (</w:t>
      </w:r>
      <w:hyperlink w:anchor="ch_4" w:history="1">
        <w:r>
          <w:rPr>
            <w:rStyle w:val="Hyperlink"/>
          </w:rPr>
          <w:t xml:space="preserve">Chapter 4</w:t>
        </w:r>
      </w:hyperlink>
      <w:r>
        <w:t xml:space="preserve">, Proposition 3).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w:t>
      </w:r>
      <w:hyperlink w:anchor="ch_4" w:history="1">
        <w:r>
          <w:rPr>
            <w:rStyle w:val="Hyperlink"/>
          </w:rPr>
          <w:t xml:space="preserve">Chapter 4</w:t>
        </w:r>
      </w:hyperlink>
      <w:r>
        <w:t xml:space="preserve">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8"/>
    <w:bookmarkStart w:id="99" w:name="boundaries-as-contribution"/>
    <w:p>
      <w:pPr>
        <w:pStyle w:val="Heading2"/>
      </w:pPr>
      <w:bookmarkStart w:id="1077" w:name="sec_6_11"/>
      <w:r>
        <w:t xml:space="preserve">6.11 Boundaries as Contribution</w:t>
      </w:r>
      <w:bookmarkEnd w:id="1077"/>
    </w:p>
    <w:p>
      <w:pPr>
        <w:pStyle w:val="FirstParagraph"/>
      </w:pPr>
      <w:r>
        <w:t xml:space="preserve">The limitations that bound the claim are stated once,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engaged where they bite. None of them was claimed, so none of them reduces what was: a contribution that states its boundaries can be checked at them.</w:t>
      </w:r>
    </w:p>
    <w:bookmarkEnd w:id="99"/>
    <w:bookmarkStart w:id="100" w:name="summary-1"/>
    <w:p>
      <w:pPr>
        <w:pStyle w:val="Heading2"/>
      </w:pPr>
      <w:bookmarkStart w:id="1078" w:name="sec_6_12"/>
      <w:r>
        <w:t xml:space="preserve">6.12 Summary</w:t>
      </w:r>
      <w:bookmarkEnd w:id="1078"/>
    </w:p>
    <w:p>
      <w:pPr>
        <w:pStyle w:val="FirstParagraph"/>
      </w:pPr>
      <w:r>
        <w:t xml:space="preserve">The thesis establishes four things. Audit-retention floors, the right to erasure and the deletion ceiling conflict only under an assumption about verifiability, and not because of the obligations themselves. On the broad reading of Article 68(12) and for logs kept at patient-record granularity, the conflict arises inside the European Health Data Space Regulation with no data subject acting. A ceiling collides with a floor exactly when Proposition 3 says. And relocation escapes the ceiling but not the right (Proposition 4). It exhibits the mechanism that dissolves the conflict and checks Propositions 1 and 2 executably, with a separately written cross-check and a bounded SMT check.</w:t>
      </w:r>
    </w:p>
    <w:p>
      <w:pPr>
        <w:pStyle w:val="BodyText"/>
      </w:pPr>
      <w:r>
        <w:t xml:space="preserve">Its principal vulnerability is that the interpretive move at its centre has no regulatory authority behind it, and resolving that is the most valuable next step available. Its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w:t>
      </w:r>
      <w:hyperlink w:anchor="ch_7" w:history="1">
        <w:r>
          <w:rPr>
            <w:rStyle w:val="Hyperlink"/>
          </w:rPr>
          <w:t xml:space="preserve">Chapter 7</w:t>
        </w:r>
      </w:hyperlink>
      <w:r>
        <w:t xml:space="preserve"> draws the conclusions and states the work that follows.</w:t>
      </w:r>
    </w:p>
    <w:bookmarkEnd w:id="100"/>
    <w:bookmarkEnd w:id="101"/>
    <w:bookmarkStart w:id="108" w:name="chapter-7.-conclusion"/>
    <w:p>
      <w:pPr>
        <w:pStyle w:val="Heading1"/>
      </w:pPr>
      <w:bookmarkStart w:id="1079" w:name="ch_7"/>
      <w:r>
        <w:t xml:space="preserve">Chapter 7. Conclusion</w:t>
      </w:r>
      <w:bookmarkEnd w:id="1079"/>
    </w:p>
    <w:bookmarkStart w:id="102" w:name="the-problem-and-the-answer"/>
    <w:p>
      <w:pPr>
        <w:pStyle w:val="Heading2"/>
      </w:pPr>
      <w:bookmarkStart w:id="1080" w:name="sec_7_1"/>
      <w:r>
        <w:t xml:space="preserve">7.1 The Problem and the Answer</w:t>
      </w:r>
      <w:bookmarkEnd w:id="1080"/>
    </w:p>
    <w:p>
      <w:pPr>
        <w:pStyle w:val="FirstParagraph"/>
      </w:pPr>
      <w:r>
        <w:t xml:space="preserve">This thesis began from a conflict that the European Health Data Space Regulation does not resolve. Cross-border health data exchange generates audit records subject to retention floors: ten years as reported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the Joint Action’s specification names their interaction as needing further guidance (TEHDAS2, 2026, Annex 7, p. 96), and the implementing acts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four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 A deletion ceiling can collide with a retention floor only if it is no longer than the floor, and its anchor decides whether the collision can be read from the text or only from each record’s history; Article 68(12), anchored to permit expiry, is of the second kind. And moving a record out of the regulated environment meets the ceiling but not the right to erasure.</w:t>
      </w:r>
    </w:p>
    <w:p>
      <w:pPr>
        <w:pStyle w:val="BodyText"/>
      </w:pPr>
      <w:r>
        <w:t xml:space="preserve">It specified the mechanism that the second proof exhibits. Crypto-Erasure by Invalidation retains the accessor fields of each record and a hiding commitment, and destroys the per-record payload key, with the salt and the ciphertext, at the earlier of the erasure deadline and the deletion ceiling; for logs kept at patient-record granularity it removes the subject link at the ceiling, while cross-border records keep it, for at least the period the person’s right to learn who accessed their data requires and, on the deployment binding, for the rest of the floor. It appends each invalidation to a tamper-evident audit log as a first-class event carrying its month, legal ground, and authorising actor, in a log whose entries never hold what erasure reaches. At floor expiry it performs a terminal transition that destroys the identifying metadata and leaves a non-identifiable statistical residue; that transition, the per-entry nonce, consistency proofs and the accumulator layer are specified, not implemented.</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w:t>
      </w:r>
    </w:p>
    <w:bookmarkEnd w:id="102"/>
    <w:bookmarkStart w:id="103" w:name="contributions"/>
    <w:p>
      <w:pPr>
        <w:pStyle w:val="Heading2"/>
      </w:pPr>
      <w:bookmarkStart w:id="1081" w:name="sec_7_2"/>
      <w:r>
        <w:t xml:space="preserve">7.2 Contributions</w:t>
      </w:r>
      <w:bookmarkEnd w:id="1081"/>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Feasibility results with an executable witness.</w:t>
      </w:r>
      <w:r>
        <w:t xml:space="preserve"> </w:t>
      </w:r>
      <w:r>
        <w:t xml:space="preserve">Proposition 1 establishes infeasibility under plaintext-verifiability semantics; Proposition 2 establishes satisfiability under the alternative and exhibits the trajectory that achieves it. Proposition 3 gives the condition under which a ceiling and a floor collide, which the cross-sector test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illustrated on a statute outside health (an instance generated by the thesis’s own code, which checks the code rather than independently confirming the proposition); Proposition 4 shows why relocation answers the ceiling and not the right. Both were checked over two hundred generated records, with violations under the first semantics and none under the second (their number is set by the generator), a separately written exhaustive search confirmed that under the first semantics no assignment of payload accessibility succeeds in the cases it covers, and a bounded SMT check found no counterexample to Propositions 1–3 within its bounds.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and can check each of those entries against the root of a Merkle log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The key hierarchy is executed with real AES-256-GCM in an optional module of the artefact. The residue it leaves is characterised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 </w:t>
      </w:r>
      <w:hyperlink w:anchor="tbl_4_1" w:history="1">
        <w:r>
          <w:rPr>
            <w:rStyle w:val="Hyperlink"/>
          </w:rPr>
          <w:t xml:space="preserve">Table 4.1</w:t>
        </w:r>
      </w:hyperlink>
      <w:r>
        <w:t xml:space="preserve"> traces the mechanism to each requirement of the regulation and of the Joint Action’s specification it touches, and places it in the activity-monitoring component of the specification’s reference architecture.</w:t>
      </w:r>
    </w:p>
    <w:bookmarkEnd w:id="103"/>
    <w:bookmarkStart w:id="104" w:name="what-the-thesis-does-not-establish"/>
    <w:p>
      <w:pPr>
        <w:pStyle w:val="Heading2"/>
      </w:pPr>
      <w:bookmarkStart w:id="1082" w:name="sec_7_3"/>
      <w:r>
        <w:t xml:space="preserve">7.3 What the Thesis Does Not Establish</w:t>
      </w:r>
      <w:bookmarkEnd w:id="1082"/>
    </w:p>
    <w:p>
      <w:pPr>
        <w:pStyle w:val="FirstParagraph"/>
      </w:pPr>
      <w:r>
        <w:t xml:space="preserve">The limitations bounding this contribution are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states where this thesis is weakest.</w:t>
      </w:r>
    </w:p>
    <w:bookmarkEnd w:id="104"/>
    <w:bookmarkStart w:id="105" w:name="the-two-open-questions-of-authority"/>
    <w:p>
      <w:pPr>
        <w:pStyle w:val="Heading2"/>
      </w:pPr>
      <w:bookmarkStart w:id="1083" w:name="sec_7_4"/>
      <w:r>
        <w:t xml:space="preserve">7.4 The Two Open Questions of Authority</w:t>
      </w:r>
      <w:bookmarkEnd w:id="1083"/>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whether Article 68(12), which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reaches, on the broad reading, access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Corollary 1.2 stands or falls with this question, as does the conditional branch of Corollary 2.3;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5"/>
    <w:bookmarkStart w:id="106" w:name="future-work"/>
    <w:p>
      <w:pPr>
        <w:pStyle w:val="Heading2"/>
      </w:pPr>
      <w:bookmarkStart w:id="1084" w:name="sec_7_5"/>
      <w:r>
        <w:t xml:space="preserve">7.5 Future Work</w:t>
      </w:r>
      <w:bookmarkEnd w:id="1084"/>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w:t>
      </w:r>
      <w:hyperlink w:anchor="sec_7_4" w:history="1">
        <w:r>
          <w:rPr>
            <w:rStyle w:val="Hyperlink"/>
          </w:rPr>
          <w:t xml:space="preserve">Section 7.4</w:t>
        </w:r>
      </w:hyperlink>
      <w:r>
        <w:t xml:space="preserve">,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would show the auditor the subject’s cross-border care history. The controller keeps the link to those records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the problem is disclosing it to a third party in order to prove completeness. Proving completeness of invalidation without revealing the invalidated set is a zero-knowledge problem, and it corresponds to the fourth of the five open problems identified by Aikebaier (2026), composition with zero-knowledge selective disclosure. This is where succinct arguments may become necessary rather than decorative, and the audit log of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gives the problem a concrete form. If each leaf also carried a hiding commitment to its record’s subject link, a circuit taking the published root as its public input could prove that every leaf committed to a given subject is matched by an invalidation leaf, while revealing neither the leaves nor their number. Pairing-based arguments give proofs of constant size (Groth, 2016), and universal-setup systems avoid a trusted setup per circuit (Gabizon, Williamson, &amp; Ciobotaru, 2019); which suits a regulator who must verify without trusting the controller is a design question for that work. The project name carried by this work originates in an earlier design that assumed zero-knowledge machinery would enforce the retention conflict; the analysis showed it unnecessary there, and suggests it may be necessary here, though alternatives are not excluded.</w:t>
      </w:r>
    </w:p>
    <w:p>
      <w:pPr>
        <w:pStyle w:val="BodyText"/>
      </w:pPr>
      <w:r>
        <w:rPr>
          <w:iCs/>
          <w:i/>
        </w:rPr>
        <w:t xml:space="preserve">Public verifiability of deletion certificates.</w:t>
      </w:r>
      <w:r>
        <w:t xml:space="preserve"> </w:t>
      </w:r>
      <w:r>
        <w:t xml:space="preserve">The boundary identified in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and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ran one test outside it: Norwegian police register law pairs a floor with a longer ceiling from the same event and, as Proposition 3 predicts, produces no collision without an erasure request. Proposition 3 turns the search for other instances into a test that can be applied to a statute’s text: look for a ceiling no longer than a floor and anchored to a different event. Applying it across regulated sectors, financial record-keeping first, would determine whether the contribution is a result about one regulation or a method for a class of them.</w:t>
      </w:r>
    </w:p>
    <w:bookmarkEnd w:id="106"/>
    <w:bookmarkStart w:id="107" w:name="closing"/>
    <w:p>
      <w:pPr>
        <w:pStyle w:val="Heading2"/>
      </w:pPr>
      <w:bookmarkStart w:id="1085" w:name="sec_7_6"/>
      <w:r>
        <w:t xml:space="preserve">7.6 Closing</w:t>
      </w:r>
      <w:bookmarkEnd w:id="1085"/>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The two places where the argument outruns its authority are named, and the means of settling them is a letter rather than a research programme. What remains is to ask the questions the thesis cannot answer itself.</w:t>
      </w:r>
    </w:p>
    <w:bookmarkEnd w:id="107"/>
    <w:bookmarkEnd w:id="108"/>
    <w:bookmarkStart w:id="109" w:name="references"/>
    <w:p>
      <w:pPr>
        <w:pStyle w:val="Heading1"/>
      </w:pPr>
      <w:bookmarkStart w:id="1086" w:name="h_References"/>
      <w:r>
        <w:t xml:space="preserve">References</w:t>
      </w:r>
      <w:bookmarkEnd w:id="1086"/>
    </w:p>
    <w:p>
      <w:pPr>
        <w:pStyle w:val="Bibliography"/>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ibliography"/>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ibliography"/>
      </w:pPr>
      <w:r>
        <w:t xml:space="preserve">Ateniese, G., Chou, D. H., de Medeiros, B., &amp; Tsudik, G. (2005). Sanitizable signatures. In S. de Capitani di Vimercati, P. Syverson, &amp; D. Gollmann (Eds.),</w:t>
      </w:r>
      <w:r>
        <w:t xml:space="preserve"> </w:t>
      </w:r>
      <w:r>
        <w:rPr>
          <w:iCs/>
          <w:i/>
        </w:rPr>
        <w:t xml:space="preserve">Computer Security – ESORICS 2005</w:t>
      </w:r>
      <w:r>
        <w:t xml:space="preserve"> </w:t>
      </w:r>
      <w:r>
        <w:t xml:space="preserve">(LNCS 3679, pp. 159–177). Springer. https://doi.org/10.1007/11555827_10</w:t>
      </w:r>
    </w:p>
    <w:p>
      <w:pPr>
        <w:pStyle w:val="Bibliography"/>
      </w:pPr>
      <w:r>
        <w:t xml:space="preserve">Ateniese, G., Magri, B., Venturi, D., &amp; Andrade, E. R. (2017). Redactable blockchain – or – rewriting history in Bitcoin and friends. In</w:t>
      </w:r>
      <w:r>
        <w:t xml:space="preserve"> </w:t>
      </w:r>
      <w:r>
        <w:rPr>
          <w:iCs/>
          <w:i/>
        </w:rPr>
        <w:t xml:space="preserve">2017 IEEE European Symposium on Security and Privacy (EuroS&amp;P)</w:t>
      </w:r>
      <w:r>
        <w:t xml:space="preserve"> </w:t>
      </w:r>
      <w:r>
        <w:t xml:space="preserve">(pp. 111–126). IEEE. https://doi.org/10.1109/EuroSP.2017.37</w:t>
      </w:r>
    </w:p>
    <w:p>
      <w:pPr>
        <w:pStyle w:val="Bibliography"/>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ibliography"/>
      </w:pPr>
      <w:r>
        <w:t xml:space="preserve">Barker, E. (2020).</w:t>
      </w:r>
      <w:r>
        <w:t xml:space="preserve"> </w:t>
      </w:r>
      <w:r>
        <w:rPr>
          <w:iCs/>
          <w:i/>
        </w:rPr>
        <w:t xml:space="preserve">Recommendation for key management: Part 1 – General</w:t>
      </w:r>
      <w:r>
        <w:t xml:space="preserve"> </w:t>
      </w:r>
      <w:r>
        <w:t xml:space="preserve">(NIST Special Publication 800-57 Part 1, Rev. 5). National Institute of Standards and Technology. https://doi.org/10.6028/NIST.SP.800-57pt1r5</w:t>
      </w:r>
    </w:p>
    <w:p>
      <w:pPr>
        <w:pStyle w:val="Bibliography"/>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ibliography"/>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ibliography"/>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ibliography"/>
      </w:pPr>
      <w:r>
        <w:t xml:space="preserve">Boneh, D., &amp; Lipton, R. J. (1996). A revocable backup system. In</w:t>
      </w:r>
      <w:r>
        <w:t xml:space="preserve"> </w:t>
      </w:r>
      <w:r>
        <w:rPr>
          <w:iCs/>
          <w:i/>
        </w:rPr>
        <w:t xml:space="preserve">Proceedings of the 6th USENIX Security Symposium</w:t>
      </w:r>
      <w:r>
        <w:t xml:space="preserve"> </w:t>
      </w:r>
      <w:r>
        <w:t xml:space="preserve">(pp. 91–96). USENIX Association. https://www.usenix.org/legacy/publications/library/proceedings/sec96/boneh.html</w:t>
      </w:r>
    </w:p>
    <w:p>
      <w:pPr>
        <w:pStyle w:val="Bibliography"/>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ibliography"/>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ibliography"/>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ibliography"/>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ibliography"/>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ibliography"/>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ibliography"/>
      </w:pPr>
      <w:r>
        <w:t xml:space="preserve">Council of Supply Chain Management Professionals. (n.d.).</w:t>
      </w:r>
      <w:r>
        <w:t xml:space="preserve"> </w:t>
      </w:r>
      <w:r>
        <w:rPr>
          <w:iCs/>
          <w:i/>
        </w:rPr>
        <w:t xml:space="preserve">Frequently asked questions</w:t>
      </w:r>
      <w:r>
        <w:t xml:space="preserve"> </w:t>
      </w:r>
      <w:r>
        <w:t xml:space="preserve">[Includes the CSCMP definition of logistics management]. Retrieved 5 October 2026, from https://cscmp.org/CSCMP/CSCMP/Develop/Starting_Your_Career/Frequently_Asked_Questions.aspx</w:t>
      </w:r>
    </w:p>
    <w:p>
      <w:pPr>
        <w:pStyle w:val="Bibliography"/>
      </w:pPr>
      <w:r>
        <w:t xml:space="preserve">Crosby, S. A., &amp; Wallach, D. S. (2009). Efficient data structures for tamper-evident logging. In</w:t>
      </w:r>
      <w:r>
        <w:t xml:space="preserve"> </w:t>
      </w:r>
      <w:r>
        <w:rPr>
          <w:iCs/>
          <w:i/>
        </w:rPr>
        <w:t xml:space="preserve">Proceedings of the 18th USENIX Security Symposium</w:t>
      </w:r>
      <w:r>
        <w:t xml:space="preserve"> </w:t>
      </w:r>
      <w:r>
        <w:t xml:space="preserve">(pp. 317–334). USENIX Association. https://www.usenix.org/legacy/events/sec09/tech/full_papers/crosby.pdf</w:t>
      </w:r>
    </w:p>
    <w:p>
      <w:pPr>
        <w:pStyle w:val="Bibliography"/>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ibliography"/>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ibliography"/>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ibliography"/>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ibliography"/>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ibliography"/>
      </w:pPr>
      <w:r>
        <w:t xml:space="preserve">Derler, D., Samelin, K., Slamanig, D., &amp; Striecks, C. (2019). Fine-grained and controlled rewriting in blockchains: Chameleon-hashing gone attribute-based. In</w:t>
      </w:r>
      <w:r>
        <w:t xml:space="preserve"> </w:t>
      </w:r>
      <w:r>
        <w:rPr>
          <w:iCs/>
          <w:i/>
        </w:rPr>
        <w:t xml:space="preserve">Network and Distributed System Security Symposium (NDSS 2019)</w:t>
      </w:r>
      <w:r>
        <w:t xml:space="preserve">. Internet Society. https://doi.org/10.14722/ndss.2019.23066</w:t>
      </w:r>
    </w:p>
    <w:p>
      <w:pPr>
        <w:pStyle w:val="Bibliography"/>
      </w:pPr>
      <w:r>
        <w:t xml:space="preserve">Deuber, D., Magri, B., &amp; Thyagarajan, S. A. K. (2019). Redactable blockchain in the permissionless setting. In</w:t>
      </w:r>
      <w:r>
        <w:t xml:space="preserve"> </w:t>
      </w:r>
      <w:r>
        <w:rPr>
          <w:iCs/>
          <w:i/>
        </w:rPr>
        <w:t xml:space="preserve">2019 IEEE Symposium on Security and Privacy (SP)</w:t>
      </w:r>
      <w:r>
        <w:t xml:space="preserve"> </w:t>
      </w:r>
      <w:r>
        <w:t xml:space="preserve">(pp. 124–138). IEEE. https://doi.org/10.1109/SP.2019.00039</w:t>
      </w:r>
    </w:p>
    <w:p>
      <w:pPr>
        <w:pStyle w:val="Bibliography"/>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ibliography"/>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ibliography"/>
      </w:pPr>
      <w:r>
        <w:t xml:space="preserve">Dworkin, M. J. (2007).</w:t>
      </w:r>
      <w:r>
        <w:t xml:space="preserve"> </w:t>
      </w:r>
      <w:r>
        <w:rPr>
          <w:iCs/>
          <w:i/>
        </w:rPr>
        <w:t xml:space="preserve">Recommendation for block cipher modes of operation: Galois/Counter Mode (GCM) and GMAC</w:t>
      </w:r>
      <w:r>
        <w:t xml:space="preserve"> </w:t>
      </w:r>
      <w:r>
        <w:t xml:space="preserve">(NIST Special Publication 800-38D). National Institute of Standards and Technology. https://doi.org/10.6028/NIST.SP.800-38D</w:t>
      </w:r>
    </w:p>
    <w:p>
      <w:pPr>
        <w:pStyle w:val="Bibliography"/>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ibliography"/>
      </w:pPr>
      <w:r>
        <w:t xml:space="preserve">Elhub. (2026).</w:t>
      </w:r>
      <w:r>
        <w:t xml:space="preserve"> </w:t>
      </w:r>
      <w:r>
        <w:rPr>
          <w:iCs/>
          <w:i/>
        </w:rPr>
        <w:t xml:space="preserve">Elhubs personvernerklæring</w:t>
      </w:r>
      <w:r>
        <w:t xml:space="preserve"> </w:t>
      </w:r>
      <w:r>
        <w:t xml:space="preserve">[Elhub’s privacy statement; last updated 31 March 2026]. Elhub AS. Retrieved 5 October 2026, from https://elhub.no/personvern-og-sikkerhet/elhubs-personvernerklaering</w:t>
      </w:r>
    </w:p>
    <w:p>
      <w:pPr>
        <w:pStyle w:val="Bibliography"/>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ibliography"/>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ibliography"/>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ibliography"/>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ibliography"/>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ibliography"/>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ibliography"/>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ibliography"/>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ibliography"/>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ibliography"/>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ibliography"/>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ibliography"/>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ibliography"/>
      </w:pPr>
      <w:r>
        <w:t xml:space="preserve">Gabizon, A., Williamson, Z. J., &amp; Ciobotaru, O. (2019).</w:t>
      </w:r>
      <w:r>
        <w:t xml:space="preserve"> </w:t>
      </w:r>
      <w:r>
        <w:rPr>
          <w:iCs/>
          <w:i/>
        </w:rPr>
        <w:t xml:space="preserve">PLONK: Permutations over Lagrange-bases for oecumenical noninteractive arguments of knowledge</w:t>
      </w:r>
      <w:r>
        <w:t xml:space="preserve"> </w:t>
      </w:r>
      <w:r>
        <w:t xml:space="preserve">(Cryptology ePrint Archive, Paper 2019/953). https://eprint.iacr.org/2019/953</w:t>
      </w:r>
    </w:p>
    <w:p>
      <w:pPr>
        <w:pStyle w:val="Bibliography"/>
      </w:pPr>
      <w:r>
        <w:t xml:space="preserve">Groth, J. (2016). On the size of pairing-based non-interactive arguments. In</w:t>
      </w:r>
      <w:r>
        <w:t xml:space="preserve"> </w:t>
      </w:r>
      <w:r>
        <w:rPr>
          <w:iCs/>
          <w:i/>
        </w:rPr>
        <w:t xml:space="preserve">Advances in Cryptology — EUROCRYPT 2016</w:t>
      </w:r>
      <w:r>
        <w:t xml:space="preserve"> </w:t>
      </w:r>
      <w:r>
        <w:t xml:space="preserve">(LNCS 9666, pp. 305–326). Springer. https://doi.org/10.1007/978-3-662-49896-5_11</w:t>
      </w:r>
    </w:p>
    <w:p>
      <w:pPr>
        <w:pStyle w:val="Bibliography"/>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ibliography"/>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ibliography"/>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ibliography"/>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ibliography"/>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ibliography"/>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ibliography"/>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ibliography"/>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ibliography"/>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ibliography"/>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ibliography"/>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ibliography"/>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ibliography"/>
      </w:pPr>
      <w:r>
        <w:t xml:space="preserve">International Energy Agency. (2025).</w:t>
      </w:r>
      <w:r>
        <w:t xml:space="preserve"> </w:t>
      </w:r>
      <w:r>
        <w:rPr>
          <w:iCs/>
          <w:i/>
        </w:rPr>
        <w:t xml:space="preserve">Energy and AI</w:t>
      </w:r>
      <w:r>
        <w:t xml:space="preserve"> </w:t>
      </w:r>
      <w:r>
        <w:t xml:space="preserve">[Executive summary]. IEA. Retrieved 5 October 2026, from https://www.iea.org/reports/energy-and-ai/executive-summary</w:t>
      </w:r>
    </w:p>
    <w:p>
      <w:pPr>
        <w:pStyle w:val="Bibliography"/>
      </w:pPr>
      <w:r>
        <w:t xml:space="preserve">Johnson, R., Molnar, D., Song, D., &amp; Wagner, D. (2002). Homomorphic signature schemes. In B. Preneel (Ed.),</w:t>
      </w:r>
      <w:r>
        <w:t xml:space="preserve"> </w:t>
      </w:r>
      <w:r>
        <w:rPr>
          <w:iCs/>
          <w:i/>
        </w:rPr>
        <w:t xml:space="preserve">Topics in Cryptology – CT-RSA 2002</w:t>
      </w:r>
      <w:r>
        <w:t xml:space="preserve"> </w:t>
      </w:r>
      <w:r>
        <w:t xml:space="preserve">(LNCS 2271, pp. 244–262). Springer. https://doi.org/10.1007/3-540-45760-7_17</w:t>
      </w:r>
    </w:p>
    <w:p>
      <w:pPr>
        <w:pStyle w:val="Bibliography"/>
      </w:pPr>
      <w:r>
        <w:t xml:space="preserve">Krawczyk, H., &amp; Rabin, T. (1998).</w:t>
      </w:r>
      <w:r>
        <w:t xml:space="preserve"> </w:t>
      </w:r>
      <w:r>
        <w:rPr>
          <w:iCs/>
          <w:i/>
        </w:rPr>
        <w:t xml:space="preserve">Chameleon hashing and signatures</w:t>
      </w:r>
      <w:r>
        <w:t xml:space="preserve"> </w:t>
      </w:r>
      <w:r>
        <w:t xml:space="preserve">(Cryptology ePrint Archive, Paper 1998/010; full version of the NDSS 2000 paper). https://eprint.iacr.org/1998/010</w:t>
      </w:r>
    </w:p>
    <w:p>
      <w:pPr>
        <w:pStyle w:val="Bibliography"/>
      </w:pPr>
      <w:r>
        <w:t xml:space="preserve">Laurie, B. (2014). Certificate transparency.</w:t>
      </w:r>
      <w:r>
        <w:t xml:space="preserve"> </w:t>
      </w:r>
      <w:r>
        <w:rPr>
          <w:iCs/>
          <w:i/>
        </w:rPr>
        <w:t xml:space="preserve">Communications of the ACM, 57</w:t>
      </w:r>
      <w:r>
        <w:t xml:space="preserve">(10), 40–46. https://doi.org/10.1145/2659897</w:t>
      </w:r>
    </w:p>
    <w:p>
      <w:pPr>
        <w:pStyle w:val="Bibliography"/>
      </w:pPr>
      <w:r>
        <w:t xml:space="preserve">Laurie, B., Langley, A., &amp; Kasper, E. (2013).</w:t>
      </w:r>
      <w:r>
        <w:t xml:space="preserve"> </w:t>
      </w:r>
      <w:r>
        <w:rPr>
          <w:iCs/>
          <w:i/>
        </w:rPr>
        <w:t xml:space="preserve">Certificate Transparency</w:t>
      </w:r>
      <w:r>
        <w:t xml:space="preserve"> </w:t>
      </w:r>
      <w:r>
        <w:t xml:space="preserve">(RFC 6962). RFC Editor. https://doi.org/10.17487/RFC6962</w:t>
      </w:r>
    </w:p>
    <w:p>
      <w:pPr>
        <w:pStyle w:val="Bibliography"/>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ibliography"/>
      </w:pPr>
      <w:r>
        <w:t xml:space="preserve">Merkle, R. C. (1988). A digital signature based on a conventional encryption function. In C. Pomerance (Ed.),</w:t>
      </w:r>
      <w:r>
        <w:t xml:space="preserve"> </w:t>
      </w:r>
      <w:r>
        <w:rPr>
          <w:iCs/>
          <w:i/>
        </w:rPr>
        <w:t xml:space="preserve">Advances in Cryptology — CRYPTO ’87</w:t>
      </w:r>
      <w:r>
        <w:t xml:space="preserve"> </w:t>
      </w:r>
      <w:r>
        <w:t xml:space="preserve">(LNCS 293, pp. 369–378). Springer. https://doi.org/10.1007/3-540-48184-2_32</w:t>
      </w:r>
    </w:p>
    <w:p>
      <w:pPr>
        <w:pStyle w:val="Bibliography"/>
      </w:pPr>
      <w:r>
        <w:t xml:space="preserve">Nahmias, S. (1982). Perishable inventory theory: A review.</w:t>
      </w:r>
      <w:r>
        <w:t xml:space="preserve"> </w:t>
      </w:r>
      <w:r>
        <w:rPr>
          <w:iCs/>
          <w:i/>
        </w:rPr>
        <w:t xml:space="preserve">Operations Research, 30</w:t>
      </w:r>
      <w:r>
        <w:t xml:space="preserve">(4), 680–708. https://doi.org/10.1287/opre.30.4.680</w:t>
      </w:r>
    </w:p>
    <w:p>
      <w:pPr>
        <w:pStyle w:val="Bibliography"/>
      </w:pPr>
      <w:r>
        <w:t xml:space="preserve">National Institute of Standards and Technology. (2019).</w:t>
      </w:r>
      <w:r>
        <w:t xml:space="preserve"> </w:t>
      </w:r>
      <w:r>
        <w:rPr>
          <w:iCs/>
          <w:i/>
        </w:rPr>
        <w:t xml:space="preserve">Security requirements for cryptographic modules</w:t>
      </w:r>
      <w:r>
        <w:t xml:space="preserve"> </w:t>
      </w:r>
      <w:r>
        <w:t xml:space="preserve">(Federal Information Processing Standards Publication 140-3). U.S. Department of Commerce. https://doi.org/10.6028/NIST.FIPS.140-3</w:t>
      </w:r>
    </w:p>
    <w:p>
      <w:pPr>
        <w:pStyle w:val="Bibliography"/>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ibliography"/>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ibliography"/>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ibliography"/>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ibliography"/>
      </w:pPr>
      <w:r>
        <w:t xml:space="preserve">OpenNCP Project. (2017).</w:t>
      </w:r>
      <w:r>
        <w:t xml:space="preserve"> </w:t>
      </w:r>
      <w:r>
        <w:rPr>
          <w:iCs/>
          <w:i/>
        </w:rPr>
        <w:t xml:space="preserve">OpenNCP</w:t>
      </w:r>
      <w:r>
        <w:t xml:space="preserve"> </w:t>
      </w:r>
      <w:r>
        <w:t xml:space="preserve">[Computer software; GitHub mirror of the epSOS/eHDSI source, commit c8a82d8, 21 April 2017]. GitHub. https://github.com/khypponen/openncp</w:t>
      </w:r>
    </w:p>
    <w:p>
      <w:pPr>
        <w:pStyle w:val="Bibliography"/>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ibliography"/>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[Consolidated text as last amended by LOV-2026-06-19-49, in force 1 October 2026; § 17 unamended; read 5 October 2026]. Norwegian Ministry of Justice and Public Security. https://lovdata.no/lov/2010-05-28-16</w:t>
      </w:r>
    </w:p>
    <w:p>
      <w:pPr>
        <w:pStyle w:val="Bibliography"/>
      </w:pPr>
      <w:r>
        <w:t xml:space="preserve">Politou, E., Casino, F., Alepis, E., &amp; Patsakis, C. (2021). Blockchain mutability: Challenges and proposed solutions.</w:t>
      </w:r>
      <w:r>
        <w:t xml:space="preserve"> </w:t>
      </w:r>
      <w:r>
        <w:rPr>
          <w:iCs/>
          <w:i/>
        </w:rPr>
        <w:t xml:space="preserve">IEEE Transactions on Emerging Topics in Computing, 9</w:t>
      </w:r>
      <w:r>
        <w:t xml:space="preserve">(4), 1972–1986. https://doi.org/10.1109/TETC.2019.2949510</w:t>
      </w:r>
    </w:p>
    <w:p>
      <w:pPr>
        <w:pStyle w:val="Bibliography"/>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ibliography"/>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ibliography"/>
      </w:pPr>
      <w:r>
        <w:t xml:space="preserve">Schneier, B., &amp; Kelsey, J. (1999). Secure audit logs to support computer forensics.</w:t>
      </w:r>
      <w:r>
        <w:t xml:space="preserve"> </w:t>
      </w:r>
      <w:r>
        <w:rPr>
          <w:iCs/>
          <w:i/>
        </w:rPr>
        <w:t xml:space="preserve">ACM Transactions on Information and System Security, 2</w:t>
      </w:r>
      <w:r>
        <w:t xml:space="preserve">(2), 159–176. https://doi.org/10.1145/317087.317089</w:t>
      </w:r>
    </w:p>
    <w:p>
      <w:pPr>
        <w:pStyle w:val="Bibliography"/>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ibliography"/>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ibliography"/>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ibliography"/>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ibliography"/>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ibliography"/>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ibliography"/>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ibliography"/>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ibliography"/>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ibliography"/>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ibliography"/>
      </w:pPr>
      <w:r>
        <w:t xml:space="preserve">Sundhedsdatastyrelsen. (2026).</w:t>
      </w:r>
      <w:r>
        <w:t xml:space="preserve"> </w:t>
      </w:r>
      <w:r>
        <w:rPr>
          <w:iCs/>
          <w:i/>
        </w:rPr>
        <w:t xml:space="preserve">ehdsi</w:t>
      </w:r>
      <w:r>
        <w:t xml:space="preserve"> </w:t>
      </w:r>
      <w:r>
        <w:t xml:space="preserve">[Computer software; Danish NCPeH deployment of OpenNCP 9.1.0, commit 61094e6, 28 September 2026]. GitHub. https://github.com/Sundhedsdatastyrelsen/ehdsi</w:t>
      </w:r>
    </w:p>
    <w:p>
      <w:pPr>
        <w:pStyle w:val="Bibliography"/>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ibliography"/>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ibliography"/>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ibliography"/>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ibliography"/>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bookmarkEnd w:id="109"/>
    <w:bookmarkStart w:id="136" w:name="Xf671d6a047e29416c79aabf8b10d80280f04f69"/>
    <w:p>
      <w:pPr>
        <w:pStyle w:val="Heading1"/>
      </w:pPr>
      <w:bookmarkStart w:id="1087" w:name="app_A"/>
      <w:r>
        <w:t xml:space="preserve">Appendix A. Code Artefacts and Reproduction Record</w:t>
      </w:r>
      <w:bookmarkEnd w:id="1087"/>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 revised 3–4 October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bookmarkStart w:id="110" w:name="a.1-availability"/>
    <w:p>
      <w:pPr>
        <w:pStyle w:val="Heading2"/>
      </w:pPr>
      <w:r>
        <w:t xml:space="preserve">A.1 Availability</w:t>
      </w:r>
    </w:p>
    <w:p>
      <w:pPr>
        <w:pStyle w:val="FirstParagraph"/>
      </w:pPr>
      <w:r>
        <w:t xml:space="preserve">The artefact is publicly available in two forms.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Form</w:t>
            </w:r>
          </w:p>
        </w:tc>
        <w:tc>
          <w:tcPr>
            <w:tcBorders>
              <w:bottom w:val="single" w:sz="8" w:space="0" w:color="333333"/>
            </w:tcBorders>
            <w:shd w:val="clear" w:color="auto" w:fill="E8EDF4"/>
          </w:tcPr>
          <w:p>
            <w:pPr>
              <w:pStyle w:val="Compact"/>
              <w:jc w:val="left"/>
            </w:pPr>
            <w:r>
              <w:rPr>
                <w:b/>
                <w:sz w:val="20"/>
                <w:szCs w:val="20"/>
              </w:rPr>
              <w:t xml:space="preserve">Location</w:t>
            </w:r>
          </w:p>
        </w:tc>
      </w:tr>
      <w:tr>
        <w:trPr>
          <w:cantSplit/>
        </w:trPr>
        <w:tc>
          <w:tcPr/>
          <w:p>
            <w:pPr>
              <w:pStyle w:val="Compact"/>
              <w:jc w:val="left"/>
            </w:pPr>
            <w:r>
              <w:rPr>
                <w:sz w:val="20"/>
                <w:szCs w:val="20"/>
              </w:rPr>
              <w:t xml:space="preserve">Source repository</w:t>
            </w:r>
          </w:p>
        </w:tc>
        <w:tc>
          <w:tcPr/>
          <w:p>
            <w:pPr>
              <w:pStyle w:val="Compact"/>
              <w:jc w:val="left"/>
            </w:pPr>
            <w:r>
              <w:rPr>
                <w:sz w:val="20"/>
                <w:szCs w:val="20"/>
              </w:rPr>
              <w:t xml:space="preserve">https://github.com/Astheno-sphere/TRF</w:t>
            </w:r>
          </w:p>
        </w:tc>
      </w:tr>
      <w:tr>
        <w:trPr>
          <w:cantSplit/>
        </w:trPr>
        <w:tc>
          <w:tcPr/>
          <w:p>
            <w:pPr>
              <w:pStyle w:val="Compact"/>
              <w:jc w:val="left"/>
            </w:pPr>
            <w:r>
              <w:rPr>
                <w:sz w:val="20"/>
                <w:szCs w:val="20"/>
              </w:rPr>
              <w:t xml:space="preserve">Live demonstration</w:t>
            </w:r>
          </w:p>
        </w:tc>
        <w:tc>
          <w:tcPr/>
          <w:p>
            <w:pPr>
              <w:pStyle w:val="Compact"/>
              <w:jc w:val="left"/>
            </w:pPr>
            <w:r>
              <w:rPr>
                <w:sz w:val="20"/>
                <w:szCs w:val="20"/>
              </w:rPr>
              <w:t xml:space="preserve">https://trfhimolde.streamlit.app/</w:t>
            </w:r>
          </w:p>
        </w:tc>
      </w:tr>
    </w:tbl>
    <w:p>
      <w:pPr>
        <w:pStyle w:val="BodyText"/>
        <w:spacing w:before="240" w:after="160" w:line="360" w:lineRule="auto"/>
      </w:pPr>
      <w:r>
        <w:t xml:space="preserve">The repository is the citable artefact. It contains seven Python modules, the eight-bundle Synthea subset the realism layer reads, a recorded console run for every command, and this appendix. The live application is a convenience for readers who prefer not to clone and run: it executes the same unmodified source, and its Thesis run page asserts that the run reproduces the figures reported in </w:t>
      </w:r>
      <w:hyperlink w:anchor="ch_5" w:history="1">
        <w:r>
          <w:rPr>
            <w:rStyle w:val="Hyperlink"/>
          </w:rPr>
          <w:t xml:space="preserve">Chapter 5</w:t>
        </w:r>
      </w:hyperlink>
      <w:r>
        <w:t xml:space="preserve">, displaying a failure notice rather than results if it does not.</w:t>
      </w:r>
    </w:p>
    <w:p>
      <w:pPr>
        <w:pStyle w:val="BodyText"/>
      </w:pPr>
      <w:r>
        <w:t xml:space="preserve">The demonstration has eight pages.</w:t>
      </w:r>
      <w:r>
        <w:t xml:space="preserve"> </w:t>
      </w:r>
      <w:r>
        <w:rPr>
          <w:iCs/>
          <w:i/>
        </w:rPr>
        <w:t xml:space="preserve">Witness a record</w:t>
      </w:r>
      <w:r>
        <w:t xml:space="preserve"> </w:t>
      </w:r>
      <w:r>
        <w:t xml:space="preserve">draws one record of the thesis population through its months, showing where Semantics I contradicts itself and where Semantics II holds, and lights the components of Figure 4.1 that act in each month.</w:t>
      </w:r>
      <w:r>
        <w:t xml:space="preserve"> </w:t>
      </w:r>
      <w:r>
        <w:rPr>
          <w:iCs/>
          <w:i/>
        </w:rPr>
        <w:t xml:space="preserve">How it is built</w:t>
      </w:r>
      <w:r>
        <w:t xml:space="preserve"> </w:t>
      </w:r>
      <w:r>
        <w:t xml:space="preserve">embeds Figures 4.1 and 5.1 as interactive diagrams.</w:t>
      </w:r>
      <w:r>
        <w:t xml:space="preserve"> </w:t>
      </w:r>
      <w:r>
        <w:rPr>
          <w:iCs/>
          <w:i/>
        </w:rPr>
        <w:t xml:space="preserve">Thesis run</w:t>
      </w:r>
      <w:r>
        <w:t xml:space="preserve"> </w:t>
      </w:r>
      <w:r>
        <w:t xml:space="preserve">reproduces </w:t>
      </w:r>
      <w:hyperlink w:anchor="tbl_5_3" w:history="1">
        <w:r>
          <w:rPr>
            <w:rStyle w:val="Hyperlink"/>
          </w:rPr>
          <w:t xml:space="preserve">Tables 5.3</w:t>
        </w:r>
      </w:hyperlink>
      <w:r>
        <w:t xml:space="preserve"> and 5.6 and shows the audit-log integrity check and both tamper tests of </w:t>
      </w:r>
      <w:hyperlink w:anchor="sec_5_7" w:history="1">
        <w:r>
          <w:rPr>
            <w:rStyle w:val="Hyperlink"/>
          </w:rPr>
          <w:t xml:space="preserve">Section 5.7</w:t>
        </w:r>
      </w:hyperlink>
      <w:r>
        <w:t xml:space="preserve">.</w:t>
      </w:r>
      <w:r>
        <w:t xml:space="preserve"> </w:t>
      </w:r>
      <w:r>
        <w:rPr>
          <w:iCs/>
          <w:i/>
        </w:rPr>
        <w:t xml:space="preserve">Where the ceiling is anchored</w:t>
      </w:r>
      <w:r>
        <w:t xml:space="preserve"> </w:t>
      </w:r>
      <w:r>
        <w:t xml:space="preserve">evaluates the condition of Proposition 3 for any floor and ceiling, with Article 68(12) and politiregisterloven § 17 as presets.</w:t>
      </w:r>
      <w:r>
        <w:t xml:space="preserve"> </w:t>
      </w:r>
      <w:r>
        <w:rPr>
          <w:iCs/>
          <w:i/>
        </w:rPr>
        <w:t xml:space="preserve">Robustness and cross-checks</w:t>
      </w:r>
      <w:r>
        <w:t xml:space="preserve"> </w:t>
      </w:r>
      <w:r>
        <w:t xml:space="preserve">runs the independent exhaustive cross-check of </w:t>
      </w:r>
      <w:hyperlink w:anchor="sec_5_5" w:history="1">
        <w:r>
          <w:rPr>
            <w:rStyle w:val="Hyperlink"/>
          </w:rPr>
          <w:t xml:space="preserve">Section 5.5</w:t>
        </w:r>
      </w:hyperlink>
      <w:r>
        <w:t xml:space="preserve">, the erasure-response-period witness of </w:t>
      </w:r>
      <w:hyperlink w:anchor="sec_5_6" w:history="1">
        <w:r>
          <w:rPr>
            <w:rStyle w:val="Hyperlink"/>
          </w:rPr>
          <w:t xml:space="preserve">Section 5.6</w:t>
        </w:r>
      </w:hyperlink>
      <w:r>
        <w:t xml:space="preserve"> and the optional envelope-encryption module of </w:t>
      </w:r>
      <w:hyperlink w:anchor="sec_5_8" w:history="1">
        <w:r>
          <w:rPr>
            <w:rStyle w:val="Hyperlink"/>
          </w:rPr>
          <w:t xml:space="preserve">Section 5.8</w:t>
        </w:r>
      </w:hyperlink>
      <w:r>
        <w:t xml:space="preserve">.</w:t>
      </w:r>
      <w:r>
        <w:t xml:space="preserve"> </w:t>
      </w:r>
      <w:r>
        <w:rPr>
          <w:iCs/>
          <w:i/>
        </w:rPr>
        <w:t xml:space="preserve">Synthea realism</w:t>
      </w:r>
      <w:r>
        <w:t xml:space="preserve"> </w:t>
      </w:r>
      <w:r>
        <w:t xml:space="preserve">reproduces </w:t>
      </w:r>
      <w:hyperlink w:anchor="tbl_5_7" w:history="1">
        <w:r>
          <w:rPr>
            <w:rStyle w:val="Hyperlink"/>
          </w:rPr>
          <w:t xml:space="preserve">Table 5.7</w:t>
        </w:r>
      </w:hyperlink>
      <w:r>
        <w:t xml:space="preserve">.</w:t>
      </w:r>
      <w:r>
        <w:t xml:space="preserve"> </w:t>
      </w:r>
      <w:r>
        <w:rPr>
          <w:iCs/>
          <w:i/>
        </w:rPr>
        <w:t xml:space="preserve">Norwegian context</w:t>
      </w:r>
      <w:r>
        <w:t xml:space="preserve"> </w:t>
      </w:r>
      <w:r>
        <w:t xml:space="preserve">runs the illustrative Norwegian modules, and</w:t>
      </w:r>
      <w:r>
        <w:t xml:space="preserve"> </w:t>
      </w:r>
      <w:r>
        <w:rPr>
          <w:iCs/>
          <w:i/>
        </w:rPr>
        <w:t xml:space="preserve">Explore</w:t>
      </w:r>
      <w:r>
        <w:t xml:space="preserve"> </w:t>
      </w:r>
      <w:r>
        <w:t xml:space="preserve">varies population parameters as a teaching aid; neither reports a thesis figure.</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10"/>
    <w:bookmarkStart w:id="111" w:name="a.2-contents"/>
    <w:p>
      <w:pPr>
        <w:pStyle w:val="Heading2"/>
      </w:pPr>
      <w:r>
        <w:t xml:space="preserve">A.2 Contents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File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Lines</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Feasibility checker — executable witness for Propositions 1 and 2, including the independent exhaustive cross-check and the audit-log integrity check</w:t>
            </w:r>
          </w:p>
        </w:tc>
        <w:tc>
          <w:tcPr/>
          <w:p>
            <w:pPr>
              <w:pStyle w:val="Compact"/>
              <w:jc w:val="left"/>
            </w:pPr>
            <w:r>
              <w:rPr>
                <w:sz w:val="20"/>
                <w:szCs w:val="20"/>
              </w:rPr>
              <w:t xml:space="preserve">533</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Realism layer — substitutes Synthea-generated FHIR R4 payloads and compares every reported figure against the constructed-payload run</w:t>
            </w:r>
          </w:p>
        </w:tc>
        <w:tc>
          <w:tcPr/>
          <w:p>
            <w:pPr>
              <w:pStyle w:val="Compact"/>
              <w:jc w:val="left"/>
            </w:pPr>
            <w:r>
              <w:rPr>
                <w:sz w:val="20"/>
                <w:szCs w:val="20"/>
              </w:rPr>
              <w:t xml:space="preserve">152</w:t>
            </w:r>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Three Norwegian record classes, parallel to the thesis and reporting no thesis figure</w:t>
            </w:r>
          </w:p>
        </w:tc>
        <w:tc>
          <w:tcPr/>
          <w:p>
            <w:pPr>
              <w:pStyle w:val="Compact"/>
              <w:jc w:val="left"/>
            </w:pPr>
            <w:r>
              <w:rPr>
                <w:sz w:val="20"/>
                <w:szCs w:val="20"/>
              </w:rPr>
              <w:t xml:space="preserve">135</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Cross-sector instance drawn from politiregisterloven § 17</w:t>
            </w:r>
          </w:p>
        </w:tc>
        <w:tc>
          <w:tcPr/>
          <w:p>
            <w:pPr>
              <w:pStyle w:val="Compact"/>
              <w:jc w:val="left"/>
            </w:pPr>
            <w:r>
              <w:rPr>
                <w:sz w:val="20"/>
                <w:szCs w:val="20"/>
              </w:rPr>
              <w:t xml:space="preserve">110</w:t>
            </w:r>
          </w:p>
        </w:tc>
      </w:tr>
      <w:tr>
        <w:trPr>
          <w:cantSplit/>
        </w:trPr>
        <w:tc>
          <w:tcPr/>
          <w:p>
            <w:pPr>
              <w:pStyle w:val="Compact"/>
              <w:jc w:val="left"/>
            </w:pPr>
            <w:r>
              <w:rPr>
                <w:rStyle w:val="VerbatimChar"/>
                <w:sz w:val="20"/>
                <w:szCs w:val="20"/>
              </w:rPr>
              <w:t xml:space="preserve">app.py</w:t>
            </w:r>
            <w:r>
              <w:rPr>
                <w:sz w:val="20"/>
                <w:szCs w:val="20"/>
              </w:rPr>
              <w:t xml:space="preserve">,</w:t>
            </w:r>
            <w:r>
              <w:rPr>
                <w:sz w:val="20"/>
                <w:szCs w:val="20"/>
              </w:rPr>
              <w:t xml:space="preserve"> </w:t>
            </w:r>
            <w:r>
              <w:rPr>
                <w:rStyle w:val="VerbatimChar"/>
                <w:sz w:val="20"/>
                <w:szCs w:val="20"/>
              </w:rPr>
              <w:t xml:space="preserve">ui.py</w:t>
            </w:r>
          </w:p>
        </w:tc>
        <w:tc>
          <w:tcPr/>
          <w:p>
            <w:pPr>
              <w:pStyle w:val="Compact"/>
              <w:jc w:val="left"/>
            </w:pPr>
            <w:r>
              <w:rPr>
                <w:sz w:val="20"/>
                <w:szCs w:val="20"/>
              </w:rPr>
              <w:t xml:space="preserve">Eight-page demonstration viewer with live architecture diagrams (Figures 4.1 and 5.1), never a source of results</w:t>
            </w:r>
          </w:p>
        </w:tc>
        <w:tc>
          <w:tcPr/>
          <w:p>
            <w:pPr>
              <w:pStyle w:val="Compact"/>
              <w:jc w:val="left"/>
            </w:pPr>
            <w:r>
              <w:rPr>
                <w:sz w:val="20"/>
                <w:szCs w:val="20"/>
              </w:rPr>
              <w:t xml:space="preserve">804 + 133</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Optional: the same lifecycle with real AES-256-GCM envelope encryption; needs the</w:t>
            </w:r>
            <w:r>
              <w:rPr>
                <w:sz w:val="20"/>
                <w:szCs w:val="20"/>
              </w:rPr>
              <w:t xml:space="preserve"> </w:t>
            </w:r>
            <w:r>
              <w:rPr>
                <w:rStyle w:val="VerbatimChar"/>
                <w:sz w:val="20"/>
                <w:szCs w:val="20"/>
              </w:rPr>
              <w:t xml:space="preserve">cryptography</w:t>
            </w:r>
            <w:r>
              <w:rPr>
                <w:sz w:val="20"/>
                <w:szCs w:val="20"/>
              </w:rPr>
              <w:t xml:space="preserve"> </w:t>
            </w:r>
            <w:r>
              <w:rPr>
                <w:sz w:val="20"/>
                <w:szCs w:val="20"/>
              </w:rPr>
              <w:t xml:space="preserve">package and reports no thesis figure</w:t>
            </w:r>
          </w:p>
        </w:tc>
        <w:tc>
          <w:tcPr/>
          <w:p>
            <w:pPr>
              <w:pStyle w:val="Compact"/>
              <w:jc w:val="left"/>
            </w:pPr>
            <w:r>
              <w:rPr>
                <w:sz w:val="20"/>
                <w:szCs w:val="20"/>
              </w:rPr>
              <w:t xml:space="preserve">118</w:t>
            </w:r>
          </w:p>
        </w:tc>
      </w:tr>
      <w:tr>
        <w:trPr>
          <w:cantSplit/>
        </w:trPr>
        <w:tc>
          <w:tcPr/>
          <w:p>
            <w:pPr>
              <w:pStyle w:val="Compact"/>
              <w:jc w:val="left"/>
            </w:pPr>
            <w:r>
              <w:rPr>
                <w:rStyle w:val="VerbatimChar"/>
                <w:sz w:val="20"/>
                <w:szCs w:val="20"/>
              </w:rPr>
              <w:t xml:space="preserve">z3_check.py</w:t>
            </w:r>
          </w:p>
        </w:tc>
        <w:tc>
          <w:tcPr/>
          <w:p>
            <w:pPr>
              <w:pStyle w:val="Compact"/>
              <w:jc w:val="left"/>
            </w:pPr>
            <w:r>
              <w:rPr>
                <w:sz w:val="20"/>
                <w:szCs w:val="20"/>
              </w:rPr>
              <w:t xml:space="preserve">Optional: bounded SMT check of Propositions 1–3 with the Z3 solver; needs the</w:t>
            </w:r>
            <w:r>
              <w:rPr>
                <w:sz w:val="20"/>
                <w:szCs w:val="20"/>
              </w:rPr>
              <w:t xml:space="preserve"> </w:t>
            </w:r>
            <w:r>
              <w:rPr>
                <w:rStyle w:val="VerbatimChar"/>
                <w:sz w:val="20"/>
                <w:szCs w:val="20"/>
              </w:rPr>
              <w:t xml:space="preserve">z3-solver</w:t>
            </w:r>
            <w:r>
              <w:rPr>
                <w:sz w:val="20"/>
                <w:szCs w:val="20"/>
              </w:rPr>
              <w:t xml:space="preserve"> </w:t>
            </w:r>
            <w:r>
              <w:rPr>
                <w:sz w:val="20"/>
                <w:szCs w:val="20"/>
              </w:rPr>
              <w:t xml:space="preserve">package</w:t>
            </w:r>
          </w:p>
        </w:tc>
        <w:tc>
          <w:tcPr/>
          <w:p>
            <w:pPr>
              <w:pStyle w:val="Compact"/>
              <w:jc w:val="left"/>
            </w:pPr>
            <w:r>
              <w:rPr>
                <w:sz w:val="20"/>
                <w:szCs w:val="20"/>
              </w:rPr>
              <w:t xml:space="preserve">153</w:t>
            </w:r>
          </w:p>
        </w:tc>
      </w:tr>
      <w:tr>
        <w:trPr>
          <w:cantSplit/>
        </w:trPr>
        <w:tc>
          <w:tcPr/>
          <w:p>
            <w:pPr>
              <w:pStyle w:val="Compact"/>
              <w:jc w:val="left"/>
            </w:pPr>
            <w:r>
              <w:rPr>
                <w:rStyle w:val="VerbatimChar"/>
                <w:sz w:val="20"/>
                <w:szCs w:val="20"/>
              </w:rPr>
              <w:t xml:space="preserve">data/synthea_subset/</w:t>
            </w:r>
          </w:p>
        </w:tc>
        <w:tc>
          <w:tcPr/>
          <w:p>
            <w:pPr>
              <w:pStyle w:val="Compact"/>
              <w:jc w:val="left"/>
            </w:pPr>
            <w:r>
              <w:rPr>
                <w:sz w:val="20"/>
                <w:szCs w:val="20"/>
              </w:rPr>
              <w:t xml:space="preserve">Eight untrimmed Synthea bundles from the reported cohort, so a reader can run the realism layer without regenerating it</w:t>
            </w:r>
          </w:p>
        </w:tc>
        <w:tc>
          <w:tcPr/>
          <w:p>
            <w:pPr>
              <w:pStyle w:val="Compact"/>
              <w:jc w:val="left"/>
            </w:pPr>
            <w:r>
              <w:rPr>
                <w:sz w:val="20"/>
                <w:szCs w:val="20"/>
              </w:rPr>
              <w:t xml:space="preserve">8 files, 40 MB</w:t>
            </w:r>
          </w:p>
        </w:tc>
      </w:tr>
      <w:tr>
        <w:trPr>
          <w:cantSplit/>
        </w:trPr>
        <w:tc>
          <w:tcPr/>
          <w:p>
            <w:pPr>
              <w:pStyle w:val="Compact"/>
              <w:jc w:val="left"/>
            </w:pPr>
            <w:r>
              <w:rPr>
                <w:rStyle w:val="VerbatimChar"/>
                <w:sz w:val="20"/>
                <w:szCs w:val="20"/>
              </w:rPr>
              <w:t xml:space="preserve">docs/expected_trf_output.txt</w:t>
            </w:r>
          </w:p>
        </w:tc>
        <w:tc>
          <w:tcPr/>
          <w:p>
            <w:pPr>
              <w:pStyle w:val="Compact"/>
              <w:jc w:val="left"/>
            </w:pPr>
            <w:r>
              <w:rPr>
                <w:sz w:val="20"/>
                <w:szCs w:val="20"/>
              </w:rPr>
              <w:t xml:space="preserve">Recorded console run of the checker</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docs/expected_delta_witness_output.txt</w:t>
            </w:r>
          </w:p>
        </w:tc>
        <w:tc>
          <w:tcPr/>
          <w:p>
            <w:pPr>
              <w:pStyle w:val="Compact"/>
              <w:jc w:val="left"/>
            </w:pPr>
            <w:r>
              <w:rPr>
                <w:sz w:val="20"/>
                <w:szCs w:val="20"/>
              </w:rPr>
              <w:t xml:space="preserve">Recorded run at δ = 1 and δ = 3</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docs/expected_synthea_subset_output.txt</w:t>
            </w:r>
          </w:p>
        </w:tc>
        <w:tc>
          <w:tcPr/>
          <w:p>
            <w:pPr>
              <w:pStyle w:val="Compact"/>
              <w:jc w:val="left"/>
            </w:pPr>
            <w:r>
              <w:rPr>
                <w:sz w:val="20"/>
                <w:szCs w:val="20"/>
              </w:rPr>
              <w:t xml:space="preserve">Recorded realism-layer run against the committed subset</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docs/expected_norwegian_output.txt</w:t>
            </w:r>
          </w:p>
        </w:tc>
        <w:tc>
          <w:tcPr/>
          <w:p>
            <w:pPr>
              <w:pStyle w:val="Compact"/>
              <w:jc w:val="left"/>
            </w:pPr>
            <w:r>
              <w:rPr>
                <w:sz w:val="20"/>
                <w:szCs w:val="20"/>
              </w:rPr>
              <w:t xml:space="preserve">Recorded Norwegian-layer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docs/expected_cross_sector_output.txt</w:t>
            </w:r>
          </w:p>
        </w:tc>
        <w:tc>
          <w:tcPr/>
          <w:p>
            <w:pPr>
              <w:pStyle w:val="Compact"/>
              <w:jc w:val="left"/>
            </w:pPr>
            <w:r>
              <w:rPr>
                <w:sz w:val="20"/>
                <w:szCs w:val="20"/>
              </w:rPr>
              <w:t xml:space="preserve">Recorded politiregisterloven § 17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docs/Data_Provenance_Statement.md</w:t>
            </w:r>
          </w:p>
        </w:tc>
        <w:tc>
          <w:tcPr/>
          <w:p>
            <w:pPr>
              <w:pStyle w:val="Compact"/>
              <w:jc w:val="left"/>
            </w:pPr>
            <w:r>
              <w:rPr>
                <w:sz w:val="20"/>
                <w:szCs w:val="20"/>
              </w:rPr>
              <w:t xml:space="preserve">Where the synthetic data came from, the six Synthea markers a reader can check for, and the cohort-size comparison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requirements.txt</w:t>
            </w:r>
          </w:p>
        </w:tc>
        <w:tc>
          <w:tcPr/>
          <w:p>
            <w:pPr>
              <w:pStyle w:val="Compact"/>
              <w:jc w:val="left"/>
            </w:pPr>
            <w:r>
              <w:rPr>
                <w:rStyle w:val="VerbatimChar"/>
                <w:sz w:val="20"/>
                <w:szCs w:val="20"/>
              </w:rPr>
              <w:t xml:space="preserve">streamlit&gt;=1.50</w:t>
            </w:r>
            <w:r>
              <w:rPr>
                <w:sz w:val="20"/>
                <w:szCs w:val="20"/>
              </w:rPr>
              <w:t xml:space="preserve">,</w:t>
            </w:r>
            <w:r>
              <w:rPr>
                <w:sz w:val="20"/>
                <w:szCs w:val="20"/>
              </w:rPr>
              <w:t xml:space="preserve"> </w:t>
            </w:r>
            <w:r>
              <w:rPr>
                <w:rStyle w:val="VerbatimChar"/>
                <w:sz w:val="20"/>
                <w:szCs w:val="20"/>
              </w:rPr>
              <w:t xml:space="preserve">cryptography&gt;=42</w:t>
            </w:r>
            <w:r>
              <w:rPr>
                <w:sz w:val="20"/>
                <w:szCs w:val="20"/>
              </w:rPr>
              <w:t xml:space="preserve">; the checker itself needs nothing</w:t>
            </w:r>
          </w:p>
        </w:tc>
        <w:tc>
          <w:tcPr/>
          <w:p>
            <w:pPr>
              <w:pStyle w:val="Compact"/>
              <w:jc w:val="left"/>
            </w:pPr>
            <w:r>
              <w:rPr>
                <w:sz w:val="20"/>
                <w:szCs w:val="20"/>
              </w:rPr>
              <w:t xml:space="preserve">2</w:t>
            </w:r>
          </w:p>
        </w:tc>
      </w:tr>
      <w:tr>
        <w:trPr>
          <w:cantSplit/>
        </w:trPr>
        <w:tc>
          <w:tcPr/>
          <w:p>
            <w:pPr>
              <w:pStyle w:val="Compact"/>
              <w:jc w:val="left"/>
            </w:pPr>
            <w:r>
              <w:rPr>
                <w:rStyle w:val="VerbatimChar"/>
                <w:sz w:val="20"/>
                <w:szCs w:val="20"/>
              </w:rPr>
              <w:t xml:space="preserve">build_substrate_patch1.py</w:t>
            </w:r>
            <w:r>
              <w:rPr>
                <w:sz w:val="20"/>
                <w:szCs w:val="20"/>
              </w:rPr>
              <w:t xml:space="preserve">,</w:t>
            </w:r>
            <w:r>
              <w:rPr>
                <w:sz w:val="20"/>
                <w:szCs w:val="20"/>
              </w:rPr>
              <w:t xml:space="preserve"> </w:t>
            </w:r>
            <w:r>
              <w:rPr>
                <w:rStyle w:val="VerbatimChar"/>
                <w:sz w:val="20"/>
                <w:szCs w:val="20"/>
              </w:rPr>
              <w:t xml:space="preserve">build_substrate_patch2.py</w:t>
            </w:r>
          </w:p>
        </w:tc>
        <w:tc>
          <w:tcPr/>
          <w:p>
            <w:pPr>
              <w:pStyle w:val="Compact"/>
              <w:jc w:val="left"/>
            </w:pPr>
            <w:r>
              <w:rPr>
                <w:sz w:val="20"/>
                <w:szCs w:val="20"/>
              </w:rPr>
              <w:t xml:space="preserve">Generators for the research-substrate patch workbooks; no thesis result depends on them</w:t>
            </w:r>
          </w:p>
        </w:tc>
        <w:tc>
          <w:tcPr/>
          <w:p>
            <w:pPr>
              <w:pStyle w:val="Compact"/>
              <w:jc w:val="left"/>
            </w:pPr>
            <w:r>
              <w:rPr>
                <w:sz w:val="20"/>
                <w:szCs w:val="20"/>
              </w:rPr>
              <w:t xml:space="preserve">—</w:t>
            </w:r>
          </w:p>
        </w:tc>
      </w:tr>
    </w:tbl>
    <w:p>
      <w:pPr>
        <w:pStyle w:val="BodyText"/>
        <w:spacing w:before="240" w:after="160" w:line="360" w:lineRule="auto"/>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A.5, deterministically, under the seeds given. The eight-bundle subset that is included is drawn from that cohort and is sufficient to run the realism layer;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the comparison at both cohort sizes and finds every figure identical.</w:t>
      </w:r>
    </w:p>
    <w:bookmarkEnd w:id="111"/>
    <w:bookmarkStart w:id="112" w:name="X20b72384906d28028a424f180cf911ab99ef6d5"/>
    <w:p>
      <w:pPr>
        <w:pStyle w:val="Heading2"/>
      </w:pPr>
      <w:r>
        <w:t xml:space="preserve">A.3 Environment and generation provenance</w:t>
      </w:r>
    </w:p>
    <w:p>
      <w:pPr>
        <w:pStyle w:val="FirstParagraph"/>
      </w:pPr>
      <w:r>
        <w:t xml:space="preserve">The synthetic cohort was generated by the official Synthea release jar, downloaded from the project’s own GitHub releases and executed with the command in Section A.5.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2"/>
    <w:bookmarkStart w:id="113" w:name="a.4-software-environment"/>
    <w:p>
      <w:pPr>
        <w:pStyle w:val="Heading2"/>
      </w:pPr>
      <w:r>
        <w:t xml:space="preserve">A.4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bookmarkEnd w:id="113"/>
    <w:bookmarkStart w:id="114" w:name="a.5-exact-commands"/>
    <w:p>
      <w:pPr>
        <w:pStyle w:val="Heading2"/>
      </w:pPr>
      <w:r>
        <w:t xml:space="preserve">A.5 Exact commands</w:t>
      </w:r>
    </w:p>
    <w:p>
      <w:pPr>
        <w:pStyle w:val="FirstParagraph"/>
      </w:pPr>
      <w:r>
        <w:rPr>
          <w:iCs/>
          <w:i/>
        </w:rPr>
        <w:t xml:space="preserve">1. Run the feasibility checker (produces every figure in </w:t>
      </w:r>
      <w:hyperlink w:anchor="ch_5" w:history="1">
        <w:r>
          <w:rPr>
            <w:rStyle w:val="Hyperlink"/>
            <w:iCs/>
            <w:i/>
          </w:rPr>
          <w:t xml:space="preserve">Chapter 5</w:t>
        </w:r>
      </w:hyperlink>
      <w:r>
        <w:rPr>
          <w:iCs/>
          <w:i/>
        </w:rPr>
        <w:t xml:space="preserve">, </w:t>
      </w:r>
      <w:hyperlink w:anchor="sec_5_3" w:history="1">
        <w:r>
          <w:rPr>
            <w:rStyle w:val="Hyperlink"/>
            <w:iCs/>
            <w:i/>
          </w:rPr>
          <w:t xml:space="preserve">Sections 5.3</w:t>
        </w:r>
      </w:hyperlink>
      <w:r>
        <w:rPr>
          <w:iCs/>
          <w:i/>
        </w:rPr>
        <w:t xml:space="preserve">–5.7):</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w:t>
      </w:r>
      <w:hyperlink w:anchor="tbl_5_7" w:history="1">
        <w:r>
          <w:rPr>
            <w:rStyle w:val="Hyperlink"/>
            <w:iCs/>
            <w:i/>
          </w:rPr>
          <w:t xml:space="preserve">Table 5.7</w:t>
        </w:r>
      </w:hyperlink>
      <w:r>
        <w:rPr>
          <w:iCs/>
          <w:i/>
        </w:rPr>
        <w:t xml:space="preserve">):</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w:t>
      </w:r>
      <w:hyperlink w:anchor="tbl_5_5" w:history="1">
        <w:r>
          <w:rPr>
            <w:rStyle w:val="Hyperlink"/>
            <w:iCs/>
            <w:i/>
          </w:rPr>
          <w:t xml:space="preserve">Table 5.5</w:t>
        </w:r>
      </w:hyperlink>
      <w:r>
        <w:rPr>
          <w:iCs/>
          <w:i/>
        </w:rPr>
        <w:t xml:space="preserve">):</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A.2. A difference means a file changed, not that the result changed.</w:t>
      </w:r>
    </w:p>
    <w:bookmarkEnd w:id="114"/>
    <w:bookmarkStart w:id="117" w:name="a.6-what-the-code-does"/>
    <w:p>
      <w:pPr>
        <w:pStyle w:val="Heading2"/>
      </w:pPr>
      <w:r>
        <w:t xml:space="preserve">A.6 What the code does</w:t>
      </w:r>
    </w:p>
    <w:bookmarkStart w:id="115" w:name="trf_checker.py"/>
    <w:p>
      <w:pPr>
        <w:pStyle w:val="Heading3"/>
      </w:pPr>
      <w:r>
        <w:rPr>
          <w:rStyle w:val="VerbatimChar"/>
        </w:rPr>
        <w:t xml:space="preserve">trf_checker.py</w:t>
      </w:r>
    </w:p>
    <w:p>
      <w:pPr>
        <w:pStyle w:val="FirstParagraph"/>
      </w:pPr>
      <w:r>
        <w:t xml:space="preserve">Implements the TRF Model of </w:t>
      </w:r>
      <w:hyperlink w:anchor="ch_4" w:history="1">
        <w:r>
          <w:rPr>
            <w:rStyle w:val="Hyperlink"/>
          </w:rPr>
          <w:t xml:space="preserve">Chapter 4</w:t>
        </w:r>
      </w:hyperlink>
      <w:r>
        <w:t xml:space="preserve"> directly. Records are the seven-element tuples of </w:t>
      </w:r>
      <w:hyperlink w:anchor="sec_4_3" w:history="1">
        <w:r>
          <w:rPr>
            <w:rStyle w:val="Hyperlink"/>
          </w:rPr>
          <w:t xml:space="preserve">Section 4.3</w:t>
        </w:r>
      </w:hyperlink>
      <w:r>
        <w:t xml:space="preserve">,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w:t>
      </w:r>
      <w:hyperlink w:anchor="ch_5" w:history="1">
        <w:r>
          <w:rPr>
            <w:rStyle w:val="Hyperlink"/>
          </w:rPr>
          <w:t xml:space="preserve">Chapter 5</w:t>
        </w:r>
      </w:hyperlink>
      <w:r>
        <w:t xml:space="preserve">, </w:t>
      </w:r>
      <w:hyperlink w:anchor="tbl_5_2" w:history="1">
        <w:r>
          <w:rPr>
            <w:rStyle w:val="Hyperlink"/>
          </w:rPr>
          <w:t xml:space="preserve">Table 5.2</w:t>
        </w:r>
      </w:hyperlink>
      <w:r>
        <w:t xml:space="preserve">.</w:t>
      </w:r>
    </w:p>
    <w:p>
      <w:pPr>
        <w:pStyle w:val="BodyText"/>
      </w:pPr>
      <w:r>
        <w:t xml:space="preserve">Four components matter for the thesis’s claims:</w:t>
      </w:r>
    </w:p>
    <w:p>
      <w:pPr>
        <w:pStyle w:val="Compact"/>
        <w:numPr>
          <w:ilvl w:val="0"/>
          <w:numId w:val="1005"/>
        </w:numPr>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pStyle w:val="Compact"/>
        <w:numPr>
          <w:ilvl w:val="0"/>
          <w:numId w:val="1005"/>
        </w:numPr>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pStyle w:val="Compact"/>
        <w:numPr>
          <w:ilvl w:val="0"/>
          <w:numId w:val="1005"/>
        </w:numPr>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pStyle w:val="Compact"/>
        <w:numPr>
          <w:ilvl w:val="0"/>
          <w:numId w:val="1005"/>
        </w:numPr>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and treated in Chapter 6.</w:t>
      </w:r>
    </w:p>
    <w:bookmarkEnd w:id="115"/>
    <w:bookmarkStart w:id="116"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A.17). The model reads timing and accessibility, never payload content; running the comparison rather than asserting the invariance lets a reader see the claim tested against inputs that demonstrably changed.</w:t>
      </w:r>
    </w:p>
    <w:bookmarkEnd w:id="116"/>
    <w:bookmarkEnd w:id="117"/>
    <w:bookmarkStart w:id="118" w:name="a.7-data-provenance"/>
    <w:p>
      <w:pPr>
        <w:pStyle w:val="Heading2"/>
      </w:pPr>
      <w:r>
        <w:t xml:space="preserve">A.7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w:t>
      </w:r>
      <w:hyperlink w:anchor="tbl_5_7" w:history="1">
        <w:r>
          <w:rPr>
            <w:rStyle w:val="Hyperlink"/>
          </w:rPr>
          <w:t xml:space="preserve">Table 5.7</w:t>
        </w:r>
      </w:hyperlink>
      <w:r>
        <w:t xml:space="preserve"> establishes that this mismatch cannot affect any reported figure. The thesis’s Norwegian grounding rests on the infrastructure analysis of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and every other figure is identical.</w:t>
      </w:r>
    </w:p>
    <w:bookmarkEnd w:id="118"/>
    <w:bookmarkStart w:id="119" w:name="a.8-integrity-record"/>
    <w:p>
      <w:pPr>
        <w:pStyle w:val="Heading2"/>
      </w:pPr>
      <w:r>
        <w:t xml:space="preserve">A.8 Integrity record</w:t>
      </w:r>
    </w:p>
    <w:p>
      <w:pPr>
        <w:pStyle w:val="FirstParagraph"/>
      </w:pPr>
      <w:r>
        <w:t xml:space="preserve">Results reported in Chapters 4 and 5 and confirmed by execution: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Result</w:t>
            </w:r>
          </w:p>
        </w:tc>
        <w:tc>
          <w:tcPr>
            <w:tcBorders>
              <w:bottom w:val="single" w:sz="8" w:space="0" w:color="333333"/>
            </w:tcBorders>
            <w:shd w:val="clear" w:color="auto" w:fill="E8EDF4"/>
          </w:tcPr>
          <w:p>
            <w:pPr>
              <w:pStyle w:val="Compact"/>
              <w:jc w:val="left"/>
            </w:pPr>
            <w:r>
              <w:rPr>
                <w:b/>
                <w:sz w:val="20"/>
                <w:szCs w:val="20"/>
              </w:rPr>
              <w:t xml:space="preserve">Value</w:t>
            </w:r>
          </w:p>
        </w:tc>
        <w:tc>
          <w:tcPr>
            <w:tcBorders>
              <w:bottom w:val="single" w:sz="8" w:space="0" w:color="333333"/>
            </w:tcBorders>
            <w:shd w:val="clear" w:color="auto" w:fill="E8EDF4"/>
          </w:tcPr>
          <w:p>
            <w:pPr>
              <w:pStyle w:val="Compact"/>
              <w:jc w:val="left"/>
            </w:pPr>
            <w:r>
              <w:rPr>
                <w:b/>
                <w:sz w:val="20"/>
                <w:szCs w:val="20"/>
              </w:rPr>
              <w:t xml:space="preserve">Where reported</w:t>
            </w:r>
          </w:p>
        </w:tc>
      </w:tr>
      <w:tr>
        <w:trPr>
          <w:cantSplit/>
        </w:trPr>
        <w:tc>
          <w:tcPr/>
          <w:p>
            <w:pPr>
              <w:pStyle w:val="Compact"/>
              <w:jc w:val="left"/>
            </w:pPr>
            <w:r>
              <w:rPr>
                <w:sz w:val="20"/>
                <w:szCs w:val="20"/>
              </w:rPr>
              <w:t xml:space="preserve">Semantics I — records with ≥1 violation</w:t>
            </w:r>
          </w:p>
        </w:tc>
        <w:tc>
          <w:tcPr/>
          <w:p>
            <w:pPr>
              <w:pStyle w:val="Compact"/>
              <w:jc w:val="left"/>
            </w:pPr>
            <w:r>
              <w:rPr>
                <w:sz w:val="20"/>
                <w:szCs w:val="20"/>
              </w:rPr>
              <w:t xml:space="preserve">90 / 200</w:t>
            </w:r>
          </w:p>
        </w:tc>
        <w:tc>
          <w:tcPr/>
          <w:p>
            <w:pPr>
              <w:pStyle w:val="Compact"/>
              <w:jc w:val="left"/>
            </w:pPr>
            <w:hyperlink w:anchor="tbl_5_3" w:history="1">
              <w:r>
                <w:rPr>
                  <w:rStyle w:val="Hyperlink"/>
                  <w:sz w:val="20"/>
                  <w:szCs w:val="20"/>
                </w:rPr>
                <w:t xml:space="preserve">Table 5.3</w:t>
              </w:r>
            </w:hyperlink>
          </w:p>
        </w:tc>
      </w:tr>
      <w:tr>
        <w:trPr>
          <w:cantSplit/>
        </w:trPr>
        <w:tc>
          <w:tcPr/>
          <w:p>
            <w:pPr>
              <w:pStyle w:val="Compact"/>
              <w:jc w:val="left"/>
            </w:pPr>
            <w:r>
              <w:rPr>
                <w:sz w:val="20"/>
                <w:szCs w:val="20"/>
              </w:rPr>
              <w:t xml:space="preserve">Semantics I — total violations</w:t>
            </w:r>
          </w:p>
        </w:tc>
        <w:tc>
          <w:tcPr/>
          <w:p>
            <w:pPr>
              <w:pStyle w:val="Compact"/>
              <w:jc w:val="left"/>
            </w:pPr>
            <w:r>
              <w:rPr>
                <w:sz w:val="20"/>
                <w:szCs w:val="20"/>
              </w:rPr>
              <w:t xml:space="preserve">95</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Violation decomposition</w:t>
            </w:r>
          </w:p>
        </w:tc>
        <w:tc>
          <w:tcPr/>
          <w:p>
            <w:pPr>
              <w:pStyle w:val="Compact"/>
              <w:jc w:val="left"/>
            </w:pPr>
            <w:r>
              <w:rPr>
                <w:sz w:val="20"/>
                <w:szCs w:val="20"/>
              </w:rPr>
              <w:t xml:space="preserve">41 C2-only, 44 C3-only, 5 both</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hyperlink w:anchor="sec_5_4" w:history="1">
              <w:r>
                <w:rPr>
                  <w:rStyle w:val="Hyperlink"/>
                  <w:sz w:val="20"/>
                  <w:szCs w:val="20"/>
                </w:rPr>
                <w:t xml:space="preserve">§5.4</w:t>
              </w:r>
            </w:hyperlink>
          </w:p>
        </w:tc>
      </w:tr>
      <w:tr>
        <w:trPr>
          <w:cantSplit/>
        </w:trPr>
        <w:tc>
          <w:tcPr/>
          <w:p>
            <w:pPr>
              <w:pStyle w:val="Compact"/>
              <w:jc w:val="left"/>
            </w:pPr>
            <w:r>
              <w:rPr>
                <w:sz w:val="20"/>
                <w:szCs w:val="20"/>
              </w:rPr>
              <w:t xml:space="preserve">Exhaustive cross-check, three conflict cases</w:t>
            </w:r>
          </w:p>
        </w:tc>
        <w:tc>
          <w:tcPr/>
          <w:p>
            <w:pPr>
              <w:pStyle w:val="Compact"/>
              <w:jc w:val="left"/>
            </w:pPr>
            <w:r>
              <w:rPr>
                <w:sz w:val="20"/>
                <w:szCs w:val="20"/>
              </w:rPr>
              <w:t xml:space="preserve">no satisfying assignment</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Exhaustive cross-check, control case</w:t>
            </w:r>
          </w:p>
        </w:tc>
        <w:tc>
          <w:tcPr/>
          <w:p>
            <w:pPr>
              <w:pStyle w:val="Compact"/>
              <w:jc w:val="left"/>
            </w:pPr>
            <w:r>
              <w:rPr>
                <w:sz w:val="20"/>
                <w:szCs w:val="20"/>
              </w:rPr>
              <w:t xml:space="preserve">satisfying assignment exists</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Semantics II — records invalidated</w:t>
            </w:r>
          </w:p>
        </w:tc>
        <w:tc>
          <w:tcPr/>
          <w:p>
            <w:pPr>
              <w:pStyle w:val="Compact"/>
              <w:jc w:val="left"/>
            </w:pPr>
            <w:r>
              <w:rPr>
                <w:sz w:val="20"/>
                <w:szCs w:val="20"/>
              </w:rPr>
              <w:t xml:space="preserve">138 (52 Art 17, 86 Art 68(12))</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Semantics II — total violations</w:t>
            </w:r>
          </w:p>
        </w:tc>
        <w:tc>
          <w:tcPr/>
          <w:p>
            <w:pPr>
              <w:pStyle w:val="Compact"/>
              <w:jc w:val="left"/>
            </w:pPr>
            <w:r>
              <w:rPr>
                <w:sz w:val="20"/>
                <w:szCs w:val="20"/>
              </w:rPr>
              <w:t xml:space="preserve">0</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Synthea comparison — figures changed</w:t>
            </w:r>
          </w:p>
        </w:tc>
        <w:tc>
          <w:tcPr/>
          <w:p>
            <w:pPr>
              <w:pStyle w:val="Compact"/>
              <w:jc w:val="left"/>
            </w:pPr>
            <w:r>
              <w:rPr>
                <w:sz w:val="20"/>
                <w:szCs w:val="20"/>
              </w:rPr>
              <w:t xml:space="preserve">none</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Synthea comparison — commitments changed</w:t>
            </w:r>
          </w:p>
        </w:tc>
        <w:tc>
          <w:tcPr/>
          <w:p>
            <w:pPr>
              <w:pStyle w:val="Compact"/>
              <w:jc w:val="left"/>
            </w:pPr>
            <w:r>
              <w:rPr>
                <w:sz w:val="20"/>
                <w:szCs w:val="20"/>
              </w:rPr>
              <w:t xml:space="preserve">200 / 200</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Audit-log integrity</w:t>
            </w:r>
          </w:p>
        </w:tc>
        <w:tc>
          <w:tcPr/>
          <w:p>
            <w:pPr>
              <w:pStyle w:val="Compact"/>
              <w:jc w:val="left"/>
            </w:pPr>
            <w:r>
              <w:rPr>
                <w:sz w:val="20"/>
                <w:szCs w:val="20"/>
              </w:rPr>
              <w:t xml:space="preserve">200 / 200 records verify; both tamper tests fail V_II</w:t>
            </w:r>
          </w:p>
        </w:tc>
        <w:tc>
          <w:tcPr/>
          <w:p>
            <w:pPr>
              <w:pStyle w:val="Compact"/>
              <w:jc w:val="left"/>
            </w:pPr>
            <w:hyperlink w:anchor="sec_5_7" w:history="1">
              <w:r>
                <w:rPr>
                  <w:rStyle w:val="Hyperlink"/>
                  <w:sz w:val="20"/>
                  <w:szCs w:val="20"/>
                </w:rPr>
                <w:t xml:space="preserve">§5.7</w:t>
              </w:r>
            </w:hyperlink>
          </w:p>
        </w:tc>
      </w:tr>
      <w:tr>
        <w:trPr>
          <w:cantSplit/>
        </w:trPr>
        <w:tc>
          <w:tcPr/>
          <w:p>
            <w:pPr>
              <w:pStyle w:val="Compact"/>
              <w:jc w:val="left"/>
            </w:pPr>
            <w:r>
              <w:rPr>
                <w:sz w:val="20"/>
                <w:szCs w:val="20"/>
              </w:rPr>
              <w:t xml:space="preserve">Reference commitment, record 100</w:t>
            </w:r>
          </w:p>
        </w:tc>
        <w:tc>
          <w:tcPr/>
          <w:p>
            <w:pPr>
              <w:pStyle w:val="Compact"/>
              <w:jc w:val="left"/>
            </w:pPr>
            <w:r>
              <w:rPr>
                <w:rStyle w:val="VerbatimChar"/>
                <w:sz w:val="20"/>
                <w:szCs w:val="20"/>
              </w:rPr>
              <w:t xml:space="preserve">678ade47c1e6dc03…</w:t>
            </w:r>
          </w:p>
        </w:tc>
        <w:tc>
          <w:tcPr/>
          <w:p>
            <w:pPr>
              <w:pStyle w:val="Compact"/>
              <w:jc w:val="left"/>
            </w:pPr>
            <w:hyperlink w:anchor="sec_5_7" w:history="1">
              <w:r>
                <w:rPr>
                  <w:rStyle w:val="Hyperlink"/>
                  <w:sz w:val="20"/>
                  <w:szCs w:val="20"/>
                </w:rPr>
                <w:t xml:space="preserve">§5.7</w:t>
              </w:r>
            </w:hyperlink>
          </w:p>
        </w:tc>
      </w:tr>
    </w:tbl>
    <w:p>
      <w:pPr>
        <w:pStyle w:val="BodyText"/>
        <w:spacing w:before="240" w:after="160" w:line="360" w:lineRule="auto"/>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Under</w:t>
      </w:r>
      <w:r>
        <w:t xml:space="preserve"> </w:t>
      </w:r>
      <w:r>
        <w:rPr>
          <w:rStyle w:val="VerbatimChar"/>
        </w:rPr>
        <w:t xml:space="preserve">--random-salts</w:t>
      </w:r>
      <w:r>
        <w:t xml:space="preserve"> </w:t>
      </w:r>
      <w:r>
        <w:t xml:space="preserve">it differs on every run, by design.</w:t>
      </w:r>
    </w:p>
    <w:bookmarkEnd w:id="119"/>
    <w:bookmarkStart w:id="120" w:name="a.9-known-limitations-of-the-artefact"/>
    <w:p>
      <w:pPr>
        <w:pStyle w:val="Heading2"/>
      </w:pPr>
      <w:r>
        <w:t xml:space="preserve">A.9 Known limitations of the artefact</w:t>
      </w:r>
    </w:p>
    <w:p>
      <w:pPr>
        <w:pStyle w:val="FirstParagraph"/>
      </w:pPr>
      <w:r>
        <w:t xml:space="preserve">Stated here so that they are not inferred from silence:</w:t>
      </w:r>
    </w:p>
    <w:p>
      <w:pPr>
        <w:pStyle w:val="Compact"/>
        <w:numPr>
          <w:ilvl w:val="0"/>
          <w:numId w:val="1006"/>
        </w:numPr>
      </w:pPr>
      <w:r>
        <w:t xml:space="preserve">The demonstration checks the propositions on the instances generated under one seed. The general claims rest on the proofs in </w:t>
      </w:r>
      <w:hyperlink w:anchor="ch_4" w:history="1">
        <w:r>
          <w:rPr>
            <w:rStyle w:val="Hyperlink"/>
          </w:rPr>
          <w:t xml:space="preserve">Chapter 4</w:t>
        </w:r>
      </w:hyperlink>
      <w:r>
        <w:t xml:space="preserve">, not on this code.</w:t>
      </w:r>
    </w:p>
    <w:p>
      <w:pPr>
        <w:pStyle w:val="Compact"/>
        <w:numPr>
          <w:ilvl w:val="0"/>
          <w:numId w:val="1006"/>
        </w:numPr>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pStyle w:val="Compact"/>
        <w:numPr>
          <w:ilvl w:val="0"/>
          <w:numId w:val="1006"/>
        </w:numPr>
      </w:pPr>
      <w:r>
        <w:t xml:space="preserve">No performance measurement is offered as a result. The runtime figure in </w:t>
      </w:r>
      <w:hyperlink w:anchor="ch_5" w:history="1">
        <w:r>
          <w:rPr>
            <w:rStyle w:val="Hyperlink"/>
          </w:rPr>
          <w:t xml:space="preserve">Chapter 5</w:t>
        </w:r>
      </w:hyperlink>
      <w:r>
        <w:t xml:space="preserve"> indicates only that reproduction is cheap.</w:t>
      </w:r>
    </w:p>
    <w:p>
      <w:pPr>
        <w:pStyle w:val="Compact"/>
        <w:numPr>
          <w:ilvl w:val="0"/>
          <w:numId w:val="1006"/>
        </w:numPr>
      </w:pPr>
      <w:r>
        <w:t xml:space="preserve">Key destruction is simulated in program state. The artefact demonstrates the mechanism’s logic and says nothing about whether destruction can be assured in deployment.</w:t>
      </w:r>
    </w:p>
    <w:p>
      <w:pPr>
        <w:pStyle w:val="Compact"/>
        <w:numPr>
          <w:ilvl w:val="0"/>
          <w:numId w:val="1006"/>
        </w:numPr>
      </w:pPr>
      <w:r>
        <w:t xml:space="preserve">The checker does not connect to any National Contact Point, implement the OpenNCP transmission flow, evaluate consent policies, or implement any zero-knowledge proof system. None of these is claimed anywhere in the thesis.</w:t>
      </w:r>
    </w:p>
    <w:bookmarkEnd w:id="120"/>
    <w:bookmarkStart w:id="121" w:name="a.10-source-listing-trf_checker.py"/>
    <w:p>
      <w:pPr>
        <w:pStyle w:val="Heading2"/>
      </w:pPr>
      <w:r>
        <w:t xml:space="preserve">A.10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534.</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Beyond the constraint check itself:</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w:t>
      </w:r>
      <w:r>
        <w:br/>
      </w:r>
      <w:r>
        <w:rPr>
          <w:rStyle w:val="CommentTok"/>
        </w:rPr>
        <w:t xml:space="preserve">  - make_salt() derives salts from the record id for reproducibility; --random-salts draws them</w:t>
      </w:r>
      <w:r>
        <w:br/>
      </w:r>
      <w:r>
        <w:rPr>
          <w:rStyle w:val="CommentTok"/>
        </w:rPr>
        <w:t xml:space="preserve">    from os.urandom, as a deployment must</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baseline as reported; illustrative (Ch4 s4.3)</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A.6)."""</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both       : V_II=</w:t>
      </w:r>
      <w:r>
        <w:rPr>
          <w:rStyle w:val="SpecialCharTok"/>
        </w:rPr>
        <w:t xml:space="preserve">{</w:t>
      </w:r>
      <w:r>
        <w:rPr>
          <w:rStyle w:val="NormalTok"/>
        </w:rPr>
        <w:t xml:space="preserve">V_II(demo, demo.t_a)[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5.6)</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1"/>
    <w:bookmarkStart w:id="122" w:name="a.11-source-listing-synthea_layer.py"/>
    <w:p>
      <w:pPr>
        <w:pStyle w:val="Heading2"/>
      </w:pPr>
      <w:r>
        <w:t xml:space="preserve">A.11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2"/>
    <w:bookmarkStart w:id="123" w:name="a.12-source-listing-norwegian_layer.py"/>
    <w:p>
      <w:pPr>
        <w:pStyle w:val="Heading2"/>
      </w:pPr>
      <w:r>
        <w:t xml:space="preserve">A.12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bookmarkEnd w:id="123"/>
    <w:bookmarkStart w:id="124" w:name="Xe879672c389eaed76a8bcf89632a4b72896578a"/>
    <w:p>
      <w:pPr>
        <w:pStyle w:val="Heading2"/>
      </w:pPr>
      <w:r>
        <w:t xml:space="preserve">A.13 Source listing:</w:t>
      </w:r>
      <w:r>
        <w:t xml:space="preserve"> </w:t>
      </w:r>
      <w:r>
        <w:rPr>
          <w:rStyle w:val="VerbatimChar"/>
        </w:rPr>
        <w:t xml:space="preserve">cross_sector_check.py</w:t>
      </w:r>
    </w:p>
    <w:p>
      <w:pPr>
        <w:pStyle w:val="FirstParagraph"/>
      </w:pPr>
      <w:r>
        <w:t xml:space="preserve">The cross-sector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4"/>
    <w:bookmarkStart w:id="125" w:name="Xf95b3c51e7ce07a60a76ed04c1d09e76a0e1bdc"/>
    <w:p>
      <w:pPr>
        <w:pStyle w:val="Heading2"/>
      </w:pPr>
      <w:r>
        <w:t xml:space="preserve">A.14 The demonstration viewer:</w:t>
      </w:r>
      <w:r>
        <w:t xml:space="preserve"> </w:t>
      </w:r>
      <w:r>
        <w:rPr>
          <w:rStyle w:val="VerbatimChar"/>
        </w:rPr>
        <w:t xml:space="preserve">app.py</w:t>
      </w:r>
      <w:r>
        <w:t xml:space="preserve"> </w:t>
      </w:r>
      <w:r>
        <w:t xml:space="preserve">and</w:t>
      </w:r>
      <w:r>
        <w:t xml:space="preserve"> </w:t>
      </w:r>
      <w:r>
        <w:rPr>
          <w:rStyle w:val="VerbatimChar"/>
        </w:rPr>
        <w:t xml:space="preserve">ui.py</w:t>
      </w:r>
    </w:p>
    <w:p>
      <w:pPr>
        <w:pStyle w:val="FirstParagraph"/>
      </w:pPr>
      <w:r>
        <w:t xml:space="preserve">Not reproduced here, because the viewer is never a source of results: every figure it displays comes from executing one of the modules listed in this appendix, unmodified.</w:t>
      </w:r>
      <w:r>
        <w:t xml:space="preserve"> </w:t>
      </w:r>
      <w:r>
        <w:rPr>
          <w:rStyle w:val="VerbatimChar"/>
        </w:rPr>
        <w:t xml:space="preserve">app.py</w:t>
      </w:r>
      <w:r>
        <w:t xml:space="preserve"> </w:t>
      </w:r>
      <w:r>
        <w:t xml:space="preserve">(804 lines) holds the pages and the self-checks;</w:t>
      </w:r>
      <w:r>
        <w:t xml:space="preserve"> </w:t>
      </w:r>
      <w:r>
        <w:rPr>
          <w:rStyle w:val="VerbatimChar"/>
        </w:rPr>
        <w:t xml:space="preserve">ui.py</w:t>
      </w:r>
      <w:r>
        <w:t xml:space="preserve"> </w:t>
      </w:r>
      <w:r>
        <w:t xml:space="preserve">(133 lines) holds only presentation: the theme, the record life strip and the embedding of the two Archify diagrams. The Thesis run page asserts the reported figures and shows a failure notice rather than results if the run disagrees with Chapter 5. Both files are in the repository (https://github.com/Astheno-sphere/TRF).</w:t>
      </w:r>
    </w:p>
    <w:bookmarkEnd w:id="125"/>
    <w:bookmarkStart w:id="126" w:name="a.15-source-listing-crypto_envelope.py"/>
    <w:p>
      <w:pPr>
        <w:pStyle w:val="Heading2"/>
      </w:pPr>
      <w:r>
        <w:t xml:space="preserve">A.15 Source listing:</w:t>
      </w:r>
      <w:r>
        <w:t xml:space="preserve"> </w:t>
      </w:r>
      <w:r>
        <w:rPr>
          <w:rStyle w:val="VerbatimChar"/>
        </w:rPr>
        <w:t xml:space="preserve">crypto_envelope.py</w:t>
      </w:r>
    </w:p>
    <w:p>
      <w:pPr>
        <w:pStyle w:val="FirstParagraph"/>
      </w:pPr>
      <w:r>
        <w:t xml:space="preserve">The optional envelope-encryption module. Each record’s payload is encrypted under its own AES-256-GCM data key; the data keys are wrapped under a key-encrypting key held in a custody object standing in for a hardware security module; at each record’s invalidation month the wrapped key is destroyed; every record is then decrypted again. It is the only module with a dependency outside the standard library. Line count: 118.</w:t>
      </w:r>
    </w:p>
    <w:p>
      <w:pPr>
        <w:pStyle w:val="SourceCode"/>
      </w:pPr>
      <w:r>
        <w:rPr>
          <w:rStyle w:val="CommentTok"/>
        </w:rPr>
        <w:t xml:space="preserve">"""</w:t>
      </w:r>
      <w:r>
        <w:br/>
      </w:r>
      <w:r>
        <w:rPr>
          <w:rStyle w:val="CommentTok"/>
        </w:rPr>
        <w:t xml:space="preserve">Envelope encryption with real AES-256-GCM (optional module)</w:t>
      </w:r>
      <w:r>
        <w:br/>
      </w:r>
      <w:r>
        <w:rPr>
          <w:rStyle w:val="CommentTok"/>
        </w:rPr>
        <w:t xml:space="preserve">===========================================================</w:t>
      </w:r>
      <w:r>
        <w:br/>
      </w:r>
      <w:r>
        <w:rPr>
          <w:rStyle w:val="CommentTok"/>
        </w:rPr>
        <w:t xml:space="preserve">The feasibility checker (trf_checker.py) models key destruction as removing a reference and</w:t>
      </w:r>
      <w:r>
        <w:br/>
      </w:r>
      <w:r>
        <w:rPr>
          <w:rStyle w:val="CommentTok"/>
        </w:rPr>
        <w:t xml:space="preserve">uses the standard library only. This module shows the same lifecycle with real cryptography,</w:t>
      </w:r>
      <w:r>
        <w:br/>
      </w:r>
      <w:r>
        <w:rPr>
          <w:rStyle w:val="CommentTok"/>
        </w:rPr>
        <w:t xml:space="preserve">so that "rendered unrecoverable" (TEHDAS2 D7.4, OPR-6) is executed rather than asserted:</w:t>
      </w:r>
      <w:r>
        <w:br/>
      </w:r>
      <w:r>
        <w:br/>
      </w:r>
      <w:r>
        <w:rPr>
          <w:rStyle w:val="CommentTok"/>
        </w:rPr>
        <w:t xml:space="preserve">  - each record's payload is encrypted under its own random 256-bit data key (AES-256-GCM,</w:t>
      </w:r>
      <w:r>
        <w:br/>
      </w:r>
      <w:r>
        <w:rPr>
          <w:rStyle w:val="CommentTok"/>
        </w:rPr>
        <w:t xml:space="preserve">    record id as associated data);</w:t>
      </w:r>
      <w:r>
        <w:br/>
      </w:r>
      <w:r>
        <w:rPr>
          <w:rStyle w:val="CommentTok"/>
        </w:rPr>
        <w:t xml:space="preserve">  - each data key is wrapped under a key-encrypting key held in a custody object standing in</w:t>
      </w:r>
      <w:r>
        <w:br/>
      </w:r>
      <w:r>
        <w:rPr>
          <w:rStyle w:val="CommentTok"/>
        </w:rPr>
        <w:t xml:space="preserve">    for a hardware security module (Chapter 4, Section 4.8, key hierarchy);</w:t>
      </w:r>
      <w:r>
        <w:br/>
      </w:r>
      <w:r>
        <w:rPr>
          <w:rStyle w:val="CommentTok"/>
        </w:rPr>
        <w:t xml:space="preserve">  - at the record's invalidation month the wrapped data key is destroyed in custody;</w:t>
      </w:r>
      <w:r>
        <w:br/>
      </w:r>
      <w:r>
        <w:rPr>
          <w:rStyle w:val="CommentTok"/>
        </w:rPr>
        <w:t xml:space="preserve">  - every record is then decrypted again: invalidated records must fail, the rest must succeed.</w:t>
      </w:r>
      <w:r>
        <w:br/>
      </w:r>
      <w:r>
        <w:br/>
      </w:r>
      <w:r>
        <w:rPr>
          <w:rStyle w:val="CommentTok"/>
        </w:rPr>
        <w:t xml:space="preserve">It reads its population and invalidation months from trf_checker unchanged and reports no</w:t>
      </w:r>
      <w:r>
        <w:br/>
      </w:r>
      <w:r>
        <w:rPr>
          <w:rStyle w:val="CommentTok"/>
        </w:rPr>
        <w:t xml:space="preserve">thesis figure. Destruction here is still destruction in program memory: the module shows that</w:t>
      </w:r>
      <w:r>
        <w:br/>
      </w:r>
      <w:r>
        <w:rPr>
          <w:rStyle w:val="CommentTok"/>
        </w:rPr>
        <w:t xml:space="preserve">the ciphertext is unreadable without the key, not that a key was erased from hardware</w:t>
      </w:r>
      <w:r>
        <w:br/>
      </w:r>
      <w:r>
        <w:rPr>
          <w:rStyle w:val="CommentTok"/>
        </w:rPr>
        <w:t xml:space="preserve">(Chapter 6, Section 6.3).</w:t>
      </w:r>
      <w:r>
        <w:br/>
      </w:r>
      <w:r>
        <w:br/>
      </w:r>
      <w:r>
        <w:rPr>
          <w:rStyle w:val="CommentTok"/>
        </w:rPr>
        <w:t xml:space="preserve">Run:  pip install cryptography   then   python3 crypto_envelope.py</w:t>
      </w:r>
      <w:r>
        <w:br/>
      </w:r>
      <w:r>
        <w:rPr>
          <w:rStyle w:val="CommentTok"/>
        </w:rPr>
        <w:t xml:space="preserve">Keys are random on every run; the printed counts are deterministic.</w:t>
      </w:r>
      <w:r>
        <w:br/>
      </w:r>
      <w:r>
        <w:rPr>
          <w:rStyle w:val="CommentTok"/>
        </w:rPr>
        <w:t xml:space="preserve">"""</w:t>
      </w:r>
      <w:r>
        <w:br/>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InvalidTag</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br/>
      </w:r>
      <w:r>
        <w:rPr>
          <w:rStyle w:val="KeywordTok"/>
        </w:rPr>
        <w:t xml:space="preserve">class</w:t>
      </w:r>
      <w:r>
        <w:rPr>
          <w:rStyle w:val="NormalTok"/>
        </w:rPr>
        <w:t xml:space="preserve"> Custody:</w:t>
      </w:r>
      <w:r>
        <w:br/>
      </w:r>
      <w:r>
        <w:rPr>
          <w:rStyle w:val="NormalTok"/>
        </w:rPr>
        <w:t xml:space="preserve">    </w:t>
      </w:r>
      <w:r>
        <w:rPr>
          <w:rStyle w:val="CommentTok"/>
        </w:rPr>
        <w:t xml:space="preserve">"""Stands in for an HSM: holds the key-encrypting key and the wrapped data keys."""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 </w:t>
      </w:r>
      <w:r>
        <w:rPr>
          <w:rStyle w:val="OperatorTok"/>
        </w:rPr>
        <w:t xml:space="preserve">=</w:t>
      </w:r>
      <w:r>
        <w:rPr>
          <w:rStyle w:val="NormalTok"/>
        </w:rPr>
        <w:t xml:space="preserve"> AESGCM(AESGCM.generate_key(bit_length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._wrapped </w:t>
      </w:r>
      <w:r>
        <w:rPr>
          <w:rStyle w:val="OperatorTok"/>
        </w:rPr>
        <w:t xml:space="preserve">=</w:t>
      </w:r>
      <w:r>
        <w:rPr>
          <w:rStyle w:val="NormalTok"/>
        </w:rPr>
        <w:t xml:space="preserve"> {}                                </w:t>
      </w:r>
      <w:r>
        <w:rPr>
          <w:rStyle w:val="CommentTok"/>
        </w:rPr>
        <w:t xml:space="preserve"># rid -&gt; (nonce, wrapped data key)</w:t>
      </w:r>
      <w:r>
        <w:br/>
      </w:r>
      <w:r>
        <w:br/>
      </w:r>
      <w:r>
        <w:rPr>
          <w:rStyle w:val="NormalTok"/>
        </w:rPr>
        <w:t xml:space="preserve">    </w:t>
      </w:r>
      <w:r>
        <w:rPr>
          <w:rStyle w:val="KeywordTok"/>
        </w:rPr>
        <w:t xml:space="preserve">def</w:t>
      </w:r>
      <w:r>
        <w:rPr>
          <w:rStyle w:val="NormalTok"/>
        </w:rPr>
        <w:t xml:space="preserve"> new_data_key(</w:t>
      </w:r>
      <w:r>
        <w:rPr>
          <w:rStyle w:val="VariableTok"/>
        </w:rPr>
        <w:t xml:space="preserve">self</w:t>
      </w:r>
      <w:r>
        <w:rPr>
          <w:rStyle w:val="NormalTok"/>
        </w:rPr>
        <w:t xml:space="preserve">, rid):</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w:t>
      </w:r>
      <w:r>
        <w:rPr>
          <w:rStyle w:val="VariableTok"/>
        </w:rPr>
        <w:t xml:space="preserve">self</w:t>
      </w:r>
      <w:r>
        <w:rPr>
          <w:rStyle w:val="NormalTok"/>
        </w:rPr>
        <w:t xml:space="preserve">._wrapped[rid] </w:t>
      </w:r>
      <w:r>
        <w:rPr>
          <w:rStyle w:val="OperatorTok"/>
        </w:rPr>
        <w:t xml:space="preserve">=</w:t>
      </w:r>
      <w:r>
        <w:rPr>
          <w:rStyle w:val="NormalTok"/>
        </w:rPr>
        <w:t xml:space="preserve"> (nonce, </w:t>
      </w:r>
      <w:r>
        <w:rPr>
          <w:rStyle w:val="VariableTok"/>
        </w:rPr>
        <w:t xml:space="preserve">self</w:t>
      </w:r>
      <w:r>
        <w:rPr>
          <w:rStyle w:val="NormalTok"/>
        </w:rPr>
        <w:t xml:space="preserve">._kek.encrypt(nonce, dek,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dek</w:t>
      </w:r>
      <w:r>
        <w:br/>
      </w:r>
      <w:r>
        <w:br/>
      </w:r>
      <w:r>
        <w:rPr>
          <w:rStyle w:val="NormalTok"/>
        </w:rPr>
        <w:t xml:space="preserve">    </w:t>
      </w:r>
      <w:r>
        <w:rPr>
          <w:rStyle w:val="KeywordTok"/>
        </w:rPr>
        <w:t xml:space="preserve">def</w:t>
      </w:r>
      <w:r>
        <w:rPr>
          <w:rStyle w:val="NormalTok"/>
        </w:rPr>
        <w:t xml:space="preserve"> data_key(</w:t>
      </w:r>
      <w:r>
        <w:rPr>
          <w:rStyle w:val="VariableTok"/>
        </w:rPr>
        <w:t xml:space="preserve">self</w:t>
      </w:r>
      <w:r>
        <w:rPr>
          <w:rStyle w:val="NormalTok"/>
        </w:rPr>
        <w:t xml:space="preserve">, rid):</w:t>
      </w:r>
      <w:r>
        <w:br/>
      </w:r>
      <w:r>
        <w:rPr>
          <w:rStyle w:val="NormalTok"/>
        </w:rPr>
        <w:t xml:space="preserve">        </w:t>
      </w:r>
      <w:r>
        <w:rPr>
          <w:rStyle w:val="ControlFlowTok"/>
        </w:rPr>
        <w:t xml:space="preserve">if</w:t>
      </w:r>
      <w:r>
        <w:rPr>
          <w:rStyle w:val="NormalTok"/>
        </w:rPr>
        <w:t xml:space="preserve"> rid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._wrapped:</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f"data key for record </w:t>
      </w:r>
      <w:r>
        <w:rPr>
          <w:rStyle w:val="SpecialCharTok"/>
        </w:rPr>
        <w:t xml:space="preserve">{</w:t>
      </w:r>
      <w:r>
        <w:rPr>
          <w:rStyle w:val="NormalTok"/>
        </w:rPr>
        <w:t xml:space="preserve">rid</w:t>
      </w:r>
      <w:r>
        <w:rPr>
          <w:rStyle w:val="SpecialCharTok"/>
        </w:rPr>
        <w:t xml:space="preserve">}</w:t>
      </w:r>
      <w:r>
        <w:rPr>
          <w:rStyle w:val="SpecialStringTok"/>
        </w:rPr>
        <w:t xml:space="preserve"> destroyed"</w:t>
      </w:r>
      <w:r>
        <w:rPr>
          <w:rStyle w:val="NormalTok"/>
        </w:rPr>
        <w:t xml:space="preserve">)</w:t>
      </w:r>
      <w:r>
        <w:br/>
      </w:r>
      <w:r>
        <w:rPr>
          <w:rStyle w:val="NormalTok"/>
        </w:rPr>
        <w:t xml:space="preserve">        nonce, wrapped </w:t>
      </w:r>
      <w:r>
        <w:rPr>
          <w:rStyle w:val="OperatorTok"/>
        </w:rPr>
        <w:t xml:space="preserve">=</w:t>
      </w:r>
      <w:r>
        <w:rPr>
          <w:rStyle w:val="NormalTok"/>
        </w:rPr>
        <w:t xml:space="preserve"> </w:t>
      </w:r>
      <w:r>
        <w:rPr>
          <w:rStyle w:val="VariableTok"/>
        </w:rPr>
        <w:t xml:space="preserve">self</w:t>
      </w:r>
      <w:r>
        <w:rPr>
          <w:rStyle w:val="NormalTok"/>
        </w:rPr>
        <w:t xml:space="preserve">._wrapped[rid]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._kek.decrypt(nonce, wrapped,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rPr>
          <w:rStyle w:val="NormalTok"/>
        </w:rPr>
        <w:t xml:space="preserve">    </w:t>
      </w:r>
      <w:r>
        <w:rPr>
          <w:rStyle w:val="KeywordTok"/>
        </w:rPr>
        <w:t xml:space="preserve">def</w:t>
      </w:r>
      <w:r>
        <w:rPr>
          <w:rStyle w:val="NormalTok"/>
        </w:rPr>
        <w:t xml:space="preserve"> destroy(</w:t>
      </w:r>
      <w:r>
        <w:rPr>
          <w:rStyle w:val="VariableTok"/>
        </w:rPr>
        <w:t xml:space="preserve">self</w:t>
      </w:r>
      <w:r>
        <w:rPr>
          <w:rStyle w:val="NormalTok"/>
        </w:rPr>
        <w:t xml:space="preserve">, rid):</w:t>
      </w:r>
      <w:r>
        <w:br/>
      </w:r>
      <w:r>
        <w:rPr>
          <w:rStyle w:val="NormalTok"/>
        </w:rPr>
        <w:t xml:space="preserve">        </w:t>
      </w:r>
      <w:r>
        <w:rPr>
          <w:rStyle w:val="VariableTok"/>
        </w:rPr>
        <w:t xml:space="preserve">self</w:t>
      </w:r>
      <w:r>
        <w:rPr>
          <w:rStyle w:val="NormalTok"/>
        </w:rPr>
        <w:t xml:space="preserve">._wrapped.pop(rid,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encrypt(custody, rid, payload):</w:t>
      </w:r>
      <w:r>
        <w:br/>
      </w:r>
      <w:r>
        <w:rPr>
          <w:rStyle w:val="NormalTok"/>
        </w:rPr>
        <w:t xml:space="preserve">    dek </w:t>
      </w:r>
      <w:r>
        <w:rPr>
          <w:rStyle w:val="OperatorTok"/>
        </w:rPr>
        <w:t xml:space="preserve">=</w:t>
      </w:r>
      <w:r>
        <w:rPr>
          <w:rStyle w:val="NormalTok"/>
        </w:rPr>
        <w:t xml:space="preserve"> custody.new_data_key(rid)</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payload,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KeywordTok"/>
        </w:rPr>
        <w:t xml:space="preserve">del</w:t>
      </w:r>
      <w:r>
        <w:rPr>
          <w:rStyle w:val="NormalTok"/>
        </w:rPr>
        <w:t xml:space="preserve"> dek                                            </w:t>
      </w:r>
      <w:r>
        <w:rPr>
          <w:rStyle w:val="CommentTok"/>
        </w:rPr>
        <w:t xml:space="preserve"># only the wrapped copy survives</w:t>
      </w:r>
      <w:r>
        <w:br/>
      </w:r>
      <w:r>
        <w:rPr>
          <w:rStyle w:val="NormalTok"/>
        </w:rPr>
        <w:t xml:space="preserve">    </w:t>
      </w:r>
      <w:r>
        <w:rPr>
          <w:rStyle w:val="ControlFlowTok"/>
        </w:rPr>
        <w:t xml:space="preserve">return</w:t>
      </w:r>
      <w:r>
        <w:rPr>
          <w:rStyle w:val="NormalTok"/>
        </w:rPr>
        <w:t xml:space="preserve"> nonce, ct</w:t>
      </w:r>
      <w:r>
        <w:br/>
      </w:r>
      <w:r>
        <w:br/>
      </w:r>
      <w:r>
        <w:br/>
      </w:r>
      <w:r>
        <w:rPr>
          <w:rStyle w:val="KeywordTok"/>
        </w:rPr>
        <w:t xml:space="preserve">def</w:t>
      </w:r>
      <w:r>
        <w:rPr>
          <w:rStyle w:val="NormalTok"/>
        </w:rPr>
        <w:t xml:space="preserve"> decrypt(custody, rid, nonce, ct):</w:t>
      </w:r>
      <w:r>
        <w:br/>
      </w:r>
      <w:r>
        <w:rPr>
          <w:rStyle w:val="NormalTok"/>
        </w:rPr>
        <w:t xml:space="preserve">    </w:t>
      </w:r>
      <w:r>
        <w:rPr>
          <w:rStyle w:val="ControlFlowTok"/>
        </w:rPr>
        <w:t xml:space="preserve">return</w:t>
      </w:r>
      <w:r>
        <w:rPr>
          <w:rStyle w:val="NormalTok"/>
        </w:rPr>
        <w:t xml:space="preserve"> AESGCM(custody.data_key(rid)).decrypt(nonce, ct,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"ENVELOPE ENCRYPTION (AES-256-GCM, wrapped data keys)"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records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Custody()</w:t>
      </w:r>
      <w:r>
        <w:br/>
      </w:r>
      <w:r>
        <w:rPr>
          <w:rStyle w:val="NormalTok"/>
        </w:rPr>
        <w:t xml:space="preserve">    store </w:t>
      </w:r>
      <w:r>
        <w:rPr>
          <w:rStyle w:val="OperatorTok"/>
        </w:rPr>
        <w:t xml:space="preserve">=</w:t>
      </w:r>
      <w:r>
        <w:rPr>
          <w:rStyle w:val="NormalTok"/>
        </w:rPr>
        <w:t xml:space="preserve"> {r.rid: 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ok_before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decrypt(custody, r.rid, </w:t>
      </w:r>
      <w:r>
        <w:rPr>
          <w:rStyle w:val="OperatorTok"/>
        </w:rPr>
        <w:t xml:space="preserve">*</w:t>
      </w:r>
      <w:r>
        <w:rPr>
          <w:rStyle w:val="NormalTok"/>
        </w:rPr>
        <w:t xml:space="preserve">store[r.rid]) </w:t>
      </w:r>
      <w:r>
        <w:rPr>
          <w:rStyle w:val="OperatorTok"/>
        </w:rPr>
        <w:t xml:space="preserve">==</w:t>
      </w:r>
      <w:r>
        <w:rPr>
          <w:rStyle w:val="NormalTok"/>
        </w:rPr>
        <w:t xml:space="preserve"> r.payload)</w:t>
      </w:r>
      <w:r>
        <w:br/>
      </w:r>
      <w:r>
        <w:rPr>
          <w:rStyle w:val="NormalTok"/>
        </w:rPr>
        <w:t xml:space="preserve">    </w:t>
      </w:r>
      <w:r>
        <w:rPr>
          <w:rStyle w:val="BuiltInTok"/>
        </w:rPr>
        <w:t xml:space="preserve">print</w:t>
      </w:r>
      <w:r>
        <w:rPr>
          <w:rStyle w:val="NormalTok"/>
        </w:rPr>
        <w:t xml:space="preserve">(</w:t>
      </w:r>
      <w:r>
        <w:rPr>
          <w:rStyle w:val="SpecialStringTok"/>
        </w:rPr>
        <w:t xml:space="preserve">f"records encrypted                     :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f"decrypt and match before invalidation : </w:t>
      </w:r>
      <w:r>
        <w:rPr>
          <w:rStyle w:val="SpecialCharTok"/>
        </w:rPr>
        <w:t xml:space="preserve">{</w:t>
      </w:r>
      <w:r>
        <w:rPr>
          <w:rStyle w:val="NormalTok"/>
        </w:rPr>
        <w:t xml:space="preserve">ok_before</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br/>
      </w:r>
      <w:r>
        <w:rPr>
          <w:rStyle w:val="NormalTok"/>
        </w:rPr>
        <w:t xml:space="preserve">    invalidated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w:t>
      </w:r>
      <w:r>
        <w:br/>
      </w:r>
      <w:r>
        <w:rPr>
          <w:rStyle w:val="NormalTok"/>
        </w:rPr>
        <w:t xml:space="preserve">        custody.destroy(r.rid)                          </w:t>
      </w:r>
      <w:r>
        <w:rPr>
          <w:rStyle w:val="CommentTok"/>
        </w:rPr>
        <w:t xml:space="preserve"># key destroyed at t_I (Ch4 s4.7 step 2)</w:t>
      </w:r>
      <w:r>
        <w:br/>
      </w:r>
      <w:r>
        <w:rPr>
          <w:rStyle w:val="NormalTok"/>
        </w:rPr>
        <w:t xml:space="preserve">    </w:t>
      </w:r>
      <w:r>
        <w:rPr>
          <w:rStyle w:val="BuiltInTok"/>
        </w:rPr>
        <w:t xml:space="preserve">print</w:t>
      </w:r>
      <w:r>
        <w:rPr>
          <w:rStyle w:val="NormalTok"/>
        </w:rPr>
        <w:t xml:space="preserve">(</w:t>
      </w:r>
      <w:r>
        <w:rPr>
          <w:rStyle w:val="SpecialStringTok"/>
        </w:rPr>
        <w:t xml:space="preserve">f"data keys destroyed (t_I finite)      :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readable, refused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try</w:t>
      </w:r>
      <w:r>
        <w:rPr>
          <w:rStyle w:val="NormalTok"/>
        </w:rPr>
        <w:t xml:space="preserve">:</w:t>
      </w:r>
      <w:r>
        <w:br/>
      </w:r>
      <w:r>
        <w:rPr>
          <w:rStyle w:val="NormalTok"/>
        </w:rPr>
        <w:t xml:space="preserve">            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f"decryptable after invalidation        : </w:t>
      </w:r>
      <w:r>
        <w:rPr>
          <w:rStyle w:val="SpecialCharTok"/>
        </w:rPr>
        <w:t xml:space="preserve">{</w:t>
      </w:r>
      <w:r>
        <w:rPr>
          <w:rStyle w:val="NormalTok"/>
        </w:rPr>
        <w:t xml:space="preserve">readable</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f"refused, key destroyed                : </w:t>
      </w:r>
      <w:r>
        <w:rPr>
          <w:rStyle w:val="SpecialCharTok"/>
        </w:rPr>
        <w:t xml:space="preserve">{</w:t>
      </w:r>
      <w:r>
        <w:rPr>
          <w:rStyle w:val="NormalTok"/>
        </w:rPr>
        <w:t xml:space="preserve">refused</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The ciphertext of an invalidated record does not open under any surviving key.</w:t>
      </w:r>
      <w:r>
        <w:br/>
      </w:r>
      <w:r>
        <w:rPr>
          <w:rStyle w:val="NormalTok"/>
        </w:rPr>
        <w:t xml:space="preserve">    victim </w:t>
      </w:r>
      <w:r>
        <w:rPr>
          <w:rStyle w:val="OperatorTok"/>
        </w:rPr>
        <w:t xml:space="preserve">=</w:t>
      </w:r>
      <w:r>
        <w:rPr>
          <w:rStyle w:val="NormalTok"/>
        </w:rPr>
        <w:t xml:space="preserve"> invalidated[</w:t>
      </w:r>
      <w:r>
        <w:rPr>
          <w:rStyle w:val="DecValTok"/>
        </w:rPr>
        <w:t xml:space="preserve">0</w:t>
      </w:r>
      <w:r>
        <w:rPr>
          <w:rStyle w:val="NormalTok"/>
        </w:rPr>
        <w:t xml:space="preserve">]</w:t>
      </w:r>
      <w:r>
        <w:br/>
      </w:r>
      <w:r>
        <w:rPr>
          <w:rStyle w:val="NormalTok"/>
        </w:rPr>
        <w:t xml:space="preserve">    survivors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w:t>
      </w:r>
      <w:r>
        <w:rPr>
          <w:rStyle w:val="NormalTok"/>
        </w:rPr>
        <w:t xml:space="preserve"> trf.INF]</w:t>
      </w:r>
      <w:r>
        <w:br/>
      </w:r>
      <w:r>
        <w:rPr>
          <w:rStyle w:val="NormalTok"/>
        </w:rPr>
        <w:t xml:space="preserve">    opened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survivors:</w:t>
      </w:r>
      <w:r>
        <w:br/>
      </w:r>
      <w:r>
        <w:rPr>
          <w:rStyle w:val="NormalTok"/>
        </w:rPr>
        <w:t xml:space="preserve">        </w:t>
      </w:r>
      <w:r>
        <w:rPr>
          <w:rStyle w:val="ControlFlowTok"/>
        </w:rPr>
        <w:t xml:space="preserve">try</w:t>
      </w:r>
      <w:r>
        <w:rPr>
          <w:rStyle w:val="NormalTok"/>
        </w:rPr>
        <w:t xml:space="preserve">:</w:t>
      </w:r>
      <w:r>
        <w:br/>
      </w:r>
      <w:r>
        <w:rPr>
          <w:rStyle w:val="NormalTok"/>
        </w:rPr>
        <w:t xml:space="preserve">            AESGCM(custody.data_key(s.rid)).decrypt(store[victim.rid][</w:t>
      </w:r>
      <w:r>
        <w:rPr>
          <w:rStyle w:val="DecValTok"/>
        </w:rPr>
        <w:t xml:space="preserve">0</w:t>
      </w:r>
      <w:r>
        <w:rPr>
          <w:rStyle w:val="NormalTok"/>
        </w:rPr>
        <w:t xml:space="preserve">], store[victim.rid][</w:t>
      </w:r>
      <w:r>
        <w:rPr>
          <w:rStyle w:val="DecValTok"/>
        </w:rPr>
        <w:t xml:space="preserve">1</w:t>
      </w:r>
      <w:r>
        <w:rPr>
          <w:rStyle w:val="NormalTok"/>
        </w:rPr>
        <w:t xml:space="preserve">],</w:t>
      </w:r>
      <w:r>
        <w:br/>
      </w:r>
      <w:r>
        <w:rPr>
          <w:rStyle w:val="NormalTok"/>
        </w:rPr>
        <w:t xml:space="preserve">                                                    </w:t>
      </w:r>
      <w:r>
        <w:rPr>
          <w:rStyle w:val="SpecialStringTok"/>
        </w:rPr>
        <w:t xml:space="preserve">f"rec:</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opened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InvalidTag:</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f"rid=</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 ciphertext tried under </w:t>
      </w:r>
      <w:r>
        <w:rPr>
          <w:rStyle w:val="SpecialCharTok"/>
        </w:rPr>
        <w:t xml:space="preserve">{</w:t>
      </w:r>
      <w:r>
        <w:rPr>
          <w:rStyle w:val="BuiltInTok"/>
        </w:rPr>
        <w:t xml:space="preserve">len</w:t>
      </w:r>
      <w:r>
        <w:rPr>
          <w:rStyle w:val="NormalTok"/>
        </w:rPr>
        <w:t xml:space="preserve">(survivors)</w:t>
      </w:r>
      <w:r>
        <w:rPr>
          <w:rStyle w:val="SpecialCharTok"/>
        </w:rPr>
        <w:t xml:space="preserve">}</w:t>
      </w:r>
      <w:r>
        <w:rPr>
          <w:rStyle w:val="SpecialStringTok"/>
        </w:rPr>
        <w:t xml:space="preserve"> surviving keys : opened </w:t>
      </w:r>
      <w:r>
        <w:rPr>
          <w:rStyle w:val="SpecialCharTok"/>
        </w:rPr>
        <w:t xml:space="preserve">{</w:t>
      </w:r>
      <w:r>
        <w:rPr>
          <w:rStyle w:val="NormalTok"/>
        </w:rPr>
        <w:t xml:space="preserve">opened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                               </w:t>
      </w:r>
      <w:r>
        <w:rPr>
          <w:rStyle w:val="CommentTok"/>
        </w:rPr>
        <w:t xml:space="preserve"># then the ciphertext is deleted (D-17)</w:t>
      </w:r>
      <w:r>
        <w:br/>
      </w:r>
      <w:r>
        <w:rPr>
          <w:rStyle w:val="NormalTok"/>
        </w:rPr>
        <w:t xml:space="preserve">        </w:t>
      </w:r>
      <w:r>
        <w:rPr>
          <w:rStyle w:val="KeywordTok"/>
        </w:rPr>
        <w:t xml:space="preserve">del</w:t>
      </w:r>
      <w:r>
        <w:rPr>
          <w:rStyle w:val="NormalTok"/>
        </w:rPr>
        <w:t xml:space="preserve"> store[r.rid]</w:t>
      </w:r>
      <w:r>
        <w:br/>
      </w:r>
      <w:r>
        <w:rPr>
          <w:rStyle w:val="NormalTok"/>
        </w:rPr>
        <w:t xml:space="preserve">    </w:t>
      </w:r>
      <w:r>
        <w:rPr>
          <w:rStyle w:val="BuiltInTok"/>
        </w:rPr>
        <w:t xml:space="preserve">print</w:t>
      </w:r>
      <w:r>
        <w:rPr>
          <w:rStyle w:val="NormalTok"/>
        </w:rPr>
        <w:t xml:space="preserve">(</w:t>
      </w:r>
      <w:r>
        <w:rPr>
          <w:rStyle w:val="SpecialStringTok"/>
        </w:rPr>
        <w:t xml:space="preserve">f"ciphertexts kept after deletion       : </w:t>
      </w:r>
      <w:r>
        <w:rPr>
          <w:rStyle w:val="SpecialCharTok"/>
        </w:rPr>
        <w:t xml:space="preserve">{</w:t>
      </w:r>
      <w:r>
        <w:rPr>
          <w:rStyle w:val="BuiltInTok"/>
        </w:rPr>
        <w:t xml:space="preserve">len</w:t>
      </w:r>
      <w:r>
        <w:rPr>
          <w:rStyle w:val="NormalTok"/>
        </w:rPr>
        <w:t xml:space="preserve">(store)</w:t>
      </w:r>
      <w:r>
        <w:rPr>
          <w:rStyle w:val="SpecialCharTok"/>
        </w:rPr>
        <w:t xml:space="preserve">}</w:t>
      </w:r>
      <w:r>
        <w:rPr>
          <w:rStyle w:val="SpecialStringTok"/>
        </w:rPr>
        <w:t xml:space="preserve">"</w:t>
      </w:r>
      <w:r>
        <w:rPr>
          <w:rStyle w:val="NormalTok"/>
        </w:rPr>
        <w:t xml:space="preserve">)</w:t>
      </w:r>
      <w:r>
        <w:br/>
      </w:r>
      <w:r>
        <w:br/>
      </w:r>
      <w:r>
        <w:rPr>
          <w:rStyle w:val="NormalTok"/>
        </w:rPr>
        <w:t xml:space="preserve">    ok </w:t>
      </w:r>
      <w:r>
        <w:rPr>
          <w:rStyle w:val="OperatorTok"/>
        </w:rPr>
        <w:t xml:space="preserve">=</w:t>
      </w:r>
      <w:r>
        <w:rPr>
          <w:rStyle w:val="NormalTok"/>
        </w:rPr>
        <w:t xml:space="preserve"> (ok_before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(invalidated)</w:t>
      </w:r>
      <w:r>
        <w:br/>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 </w:t>
      </w:r>
      <w:r>
        <w:rPr>
          <w:rStyle w:val="KeywordTok"/>
        </w:rPr>
        <w:t xml:space="preserve">and</w:t>
      </w:r>
      <w:r>
        <w:rPr>
          <w:rStyle w:val="NormalTok"/>
        </w:rPr>
        <w:t xml:space="preserve"> opened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StringTok"/>
        </w:rPr>
        <w:t xml:space="preserve">'every invalidated record is unrecoverable; every other record reads'</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StringTok"/>
        </w:rPr>
        <w:t xml:space="preserve">'MISMATCH'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6"/>
    <w:bookmarkStart w:id="127" w:name="a.16-console-output-of-the-reported-run"/>
    <w:p>
      <w:pPr>
        <w:pStyle w:val="Heading2"/>
      </w:pPr>
      <w:r>
        <w:t xml:space="preserve">A.16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w:t>
      </w:r>
      <w:hyperlink w:anchor="ch_5" w:history="1">
        <w:r>
          <w:rPr>
            <w:rStyle w:val="Hyperlink"/>
          </w:rPr>
          <w:t xml:space="preserve">Chapter 5</w:t>
        </w:r>
      </w:hyperlink>
      <w:r>
        <w:t xml:space="preserve">, </w:t>
      </w:r>
      <w:hyperlink w:anchor="tbl_5_3" w:history="1">
        <w:r>
          <w:rPr>
            <w:rStyle w:val="Hyperlink"/>
          </w:rPr>
          <w:t xml:space="preserve">Tables 5.3</w:t>
        </w:r>
      </w:hyperlink>
      <w:r>
        <w:t xml:space="preserve">, 5.4 and 5.6 appears here, with the δ = 1 row of </w:t>
      </w:r>
      <w:hyperlink w:anchor="tbl_5_5" w:history="1">
        <w:r>
          <w:rPr>
            <w:rStyle w:val="Hyperlink"/>
          </w:rPr>
          <w:t xml:space="preserve">Table 5.5</w:t>
        </w:r>
      </w:hyperlink>
      <w:r>
        <w:t xml:space="preserve">; its δ = 3 row is in A.18.</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7"/>
    <w:bookmarkStart w:id="128" w:name="X48e3d2dd8ce91f999789c66e0e3195e2a9ca03a"/>
    <w:p>
      <w:pPr>
        <w:pStyle w:val="Heading2"/>
      </w:pPr>
      <w:r>
        <w:t xml:space="preserve">A.17 Console output of the payload-provenance comparison, full cohort</w:t>
      </w:r>
    </w:p>
    <w:p>
      <w:pPr>
        <w:pStyle w:val="FirstParagraph"/>
      </w:pPr>
      <w:r>
        <w:t xml:space="preserve">Produced by command 4 against the regenerated 98-bundle cohort. Verbatim output of</w:t>
      </w:r>
      <w:r>
        <w:t xml:space="preserve"> </w:t>
      </w:r>
      <w:r>
        <w:rPr>
          <w:rStyle w:val="VerbatimChar"/>
        </w:rPr>
        <w:t xml:space="preserve">python3 synthea_layer.py</w:t>
      </w:r>
      <w:r>
        <w:t xml:space="preserve"> </w:t>
      </w:r>
      <w:r>
        <w:t xml:space="preserve">against the full 98-bundle cohort, the source of </w:t>
      </w:r>
      <w:hyperlink w:anchor="ch_5" w:history="1">
        <w:r>
          <w:rPr>
            <w:rStyle w:val="Hyperlink"/>
          </w:rPr>
          <w:t xml:space="preserve">Chapter 5</w:t>
        </w:r>
      </w:hyperlink>
      <w:r>
        <w:t xml:space="preserve">, </w:t>
      </w:r>
      <w:hyperlink w:anchor="tbl_5_7" w:history="1">
        <w:r>
          <w:rPr>
            <w:rStyle w:val="Hyperlink"/>
          </w:rPr>
          <w:t xml:space="preserve">Table 5.7</w:t>
        </w:r>
      </w:hyperlink>
      <w:r>
        <w:t xml:space="preserve">, which </w:t>
      </w:r>
      <w:hyperlink w:anchor="sec_5_8" w:history="1">
        <w:r>
          <w:rPr>
            <w:rStyle w:val="Hyperlink"/>
          </w:rPr>
          <w:t xml:space="preserve">Section 5.8</w:t>
        </w:r>
      </w:hyperlink>
      <w:r>
        <w:t xml:space="preserve"> reports at a mean payload of 1,006 bytes. It was recorded on 28 September 2026, before the code revision of 3 October, and its constructed-payload mean (35 bytes) reflects the earlier constructed strings; no measure in it depends on them, as the subset run in A.21, recorded after the revision, shows. Reproducing it requires regenerating the cohort with command 3, because the full cohort is 314 MB and is not committed.</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28"/>
    <w:bookmarkStart w:id="129" w:name="X1ab1ec694b6985c6e038ee42ecd21e7013aba6f"/>
    <w:p>
      <w:pPr>
        <w:pStyle w:val="Heading2"/>
      </w:pPr>
      <w:r>
        <w:t xml:space="preserve">A.18 Console output of the erasure-response-period witness</w:t>
      </w:r>
    </w:p>
    <w:p>
      <w:pPr>
        <w:pStyle w:val="FirstParagraph"/>
      </w:pPr>
      <w:r>
        <w:t xml:space="preserve">Produced by command 5. Reproduces </w:t>
      </w:r>
      <w:hyperlink w:anchor="tbl_5_5" w:history="1">
        <w:r>
          <w:rPr>
            <w:rStyle w:val="Hyperlink"/>
          </w:rPr>
          <w:t xml:space="preserve">Table 5.5</w:t>
        </w:r>
      </w:hyperlink>
      <w:r>
        <w:t xml:space="preserve">: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bookmarkEnd w:id="129"/>
    <w:bookmarkStart w:id="130" w:name="Xe991bdec0e6dcac64d51d9f41d22c090e7752e6"/>
    <w:p>
      <w:pPr>
        <w:pStyle w:val="Heading2"/>
      </w:pPr>
      <w:r>
        <w:t xml:space="preserve">A.19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bookmarkEnd w:id="130"/>
    <w:bookmarkStart w:id="131" w:name="X5da48627d0686fbeb7efde469c3b9929803edd5"/>
    <w:p>
      <w:pPr>
        <w:pStyle w:val="Heading2"/>
      </w:pPr>
      <w:r>
        <w:t xml:space="preserve">A.20 Console output of the cross-sector instance</w:t>
      </w:r>
    </w:p>
    <w:p>
      <w:pPr>
        <w:pStyle w:val="FirstParagraph"/>
      </w:pPr>
      <w:r>
        <w:t xml:space="preserve">Produced by the second command in 6, and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bookmarkEnd w:id="131"/>
    <w:bookmarkStart w:id="132" w:name="X98d21018ba300539b146b48bf3e212f76d78108"/>
    <w:p>
      <w:pPr>
        <w:pStyle w:val="Heading2"/>
      </w:pPr>
      <w:r>
        <w:t xml:space="preserve">A.21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32"/>
    <w:bookmarkStart w:id="133" w:name="Xa96ac9af4d63dba4b28eb3ce7fbe96e7be164c7"/>
    <w:p>
      <w:pPr>
        <w:pStyle w:val="Heading2"/>
      </w:pPr>
      <w:r>
        <w:t xml:space="preserve">A.22 Console output of the envelope-encryption module</w:t>
      </w:r>
    </w:p>
    <w:p>
      <w:pPr>
        <w:pStyle w:val="FirstParagraph"/>
      </w:pPr>
      <w:r>
        <w:t xml:space="preserve">Verbatim output of</w:t>
      </w:r>
      <w:r>
        <w:t xml:space="preserve"> </w:t>
      </w:r>
      <w:r>
        <w:rPr>
          <w:rStyle w:val="VerbatimChar"/>
        </w:rPr>
        <w:t xml:space="preserve">python3 crypto_envelope.py</w:t>
      </w:r>
      <w:r>
        <w:t xml:space="preserve">. Keys are random on every run; the counts are the same on every run. All 200 records decrypt before invalidation; after the 138 data keys due for destruction are destroyed, those 138 records are refused and the other 62 still read, and the ciphertext of an invalidated record opens under none of the surviving keys.</w:t>
      </w:r>
    </w:p>
    <w:p>
      <w:pPr>
        <w:pStyle w:val="SourceCode"/>
      </w:pPr>
      <w:r>
        <w:rPr>
          <w:rStyle w:val="VerbatimChar"/>
        </w:rPr>
        <w:t xml:space="preserve">==========================================================================</w:t>
      </w:r>
      <w:r>
        <w:br/>
      </w:r>
      <w:r>
        <w:rPr>
          <w:rStyle w:val="VerbatimChar"/>
        </w:rPr>
        <w:t xml:space="preserve">           ENVELOPE ENCRYPTION (AES-256-GCM, wrapped data keys)           </w:t>
      </w:r>
      <w:r>
        <w:br/>
      </w:r>
      <w:r>
        <w:rPr>
          <w:rStyle w:val="VerbatimChar"/>
        </w:rPr>
        <w:t xml:space="preserve">==========================================================================</w:t>
      </w:r>
      <w:r>
        <w:br/>
      </w:r>
      <w:r>
        <w:rPr>
          <w:rStyle w:val="VerbatimChar"/>
        </w:rPr>
        <w:t xml:space="preserve">records encrypted                     : 200</w:t>
      </w:r>
      <w:r>
        <w:br/>
      </w:r>
      <w:r>
        <w:rPr>
          <w:rStyle w:val="VerbatimChar"/>
        </w:rPr>
        <w:t xml:space="preserve">decrypt and match before invalidation : 200/200</w:t>
      </w:r>
      <w:r>
        <w:br/>
      </w:r>
      <w:r>
        <w:rPr>
          <w:rStyle w:val="VerbatimChar"/>
        </w:rPr>
        <w:t xml:space="preserve">data keys destroyed (t_I finite)      : 138</w:t>
      </w:r>
      <w:r>
        <w:br/>
      </w:r>
      <w:r>
        <w:rPr>
          <w:rStyle w:val="VerbatimChar"/>
        </w:rPr>
        <w:t xml:space="preserve">decryptable after invalidation        : 62  (expected 62)</w:t>
      </w:r>
      <w:r>
        <w:br/>
      </w:r>
      <w:r>
        <w:rPr>
          <w:rStyle w:val="VerbatimChar"/>
        </w:rPr>
        <w:t xml:space="preserve">refused, key destroyed                : 138  (expected 138)</w:t>
      </w:r>
      <w:r>
        <w:br/>
      </w:r>
      <w:r>
        <w:rPr>
          <w:rStyle w:val="VerbatimChar"/>
        </w:rPr>
        <w:t xml:space="preserve">rid=3 ciphertext tried under 62 surviving keys : opened 0</w:t>
      </w:r>
      <w:r>
        <w:br/>
      </w:r>
      <w:r>
        <w:rPr>
          <w:rStyle w:val="VerbatimChar"/>
        </w:rPr>
        <w:t xml:space="preserve">ciphertexts kept after deletion       : 62</w:t>
      </w:r>
      <w:r>
        <w:br/>
      </w:r>
      <w:r>
        <w:rPr>
          <w:rStyle w:val="VerbatimChar"/>
        </w:rPr>
        <w:t xml:space="preserve">==========================================================================</w:t>
      </w:r>
      <w:r>
        <w:br/>
      </w:r>
      <w:r>
        <w:rPr>
          <w:rStyle w:val="VerbatimChar"/>
        </w:rPr>
        <w:t xml:space="preserve">RESULT: every invalidated record is unrecoverable; every other record reads</w:t>
      </w:r>
      <w:r>
        <w:br/>
      </w:r>
      <w:r>
        <w:rPr>
          <w:rStyle w:val="VerbatimChar"/>
        </w:rPr>
        <w:t xml:space="preserve">==========================================================================</w:t>
      </w:r>
    </w:p>
    <w:bookmarkEnd w:id="133"/>
    <w:bookmarkStart w:id="134" w:name="a.23-source-listing-z3_check.py"/>
    <w:p>
      <w:pPr>
        <w:pStyle w:val="Heading2"/>
      </w:pPr>
      <w:r>
        <w:t xml:space="preserve">A.23 Source listing:</w:t>
      </w:r>
      <w:r>
        <w:t xml:space="preserve"> </w:t>
      </w:r>
      <w:r>
        <w:rPr>
          <w:rStyle w:val="VerbatimChar"/>
        </w:rPr>
        <w:t xml:space="preserve">z3_check.py</w:t>
      </w:r>
    </w:p>
    <w:p>
      <w:pPr>
        <w:pStyle w:val="FirstParagraph"/>
      </w:pPr>
      <w:r>
        <w:t xml:space="preserve">Optional module. It poses each of Propositions 1–3 to the Z3 SMT solver as a request for a counterexample within stated bounds, and checks that deliberately wrong versions of Proposition 3 are refuted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It reports no thesis figure from the generated population.</w:t>
      </w:r>
    </w:p>
    <w:p>
      <w:pPr>
        <w:pStyle w:val="SourceCode"/>
      </w:pPr>
      <w:r>
        <w:rPr>
          <w:rStyle w:val="CommentTok"/>
        </w:rPr>
        <w:t xml:space="preserve">"""</w:t>
      </w:r>
      <w:r>
        <w:br/>
      </w:r>
      <w:r>
        <w:rPr>
          <w:rStyle w:val="CommentTok"/>
        </w:rPr>
        <w:t xml:space="preserve">Bounded SMT check of Propositions 1-3 (optional module)</w:t>
      </w:r>
      <w:r>
        <w:br/>
      </w:r>
      <w:r>
        <w:rPr>
          <w:rStyle w:val="CommentTok"/>
        </w:rPr>
        <w:t xml:space="preserve">========================================================</w:t>
      </w:r>
      <w:r>
        <w:br/>
      </w:r>
      <w:r>
        <w:rPr>
          <w:rStyle w:val="CommentTok"/>
        </w:rPr>
        <w:t xml:space="preserve">An independent check of the TRF Model's propositions in a different formalism from the</w:t>
      </w:r>
      <w:r>
        <w:br/>
      </w:r>
      <w:r>
        <w:rPr>
          <w:rStyle w:val="CommentTok"/>
        </w:rPr>
        <w:t xml:space="preserve">checker. trf_checker.py evaluates 200 generated records; this module asks the Z3 SMT solver</w:t>
      </w:r>
      <w:r>
        <w:br/>
      </w:r>
      <w:r>
        <w:rPr>
          <w:rStyle w:val="CommentTok"/>
        </w:rPr>
        <w:t xml:space="preserve">whether ANY record, with ANY parameter values inside the stated bounds, contradicts a</w:t>
      </w:r>
      <w:r>
        <w:br/>
      </w:r>
      <w:r>
        <w:rPr>
          <w:rStyle w:val="CommentTok"/>
        </w:rPr>
        <w:t xml:space="preserve">proposition. Every check is posed as "find a counterexample"; the expected answer is</w:t>
      </w:r>
      <w:r>
        <w:br/>
      </w:r>
      <w:r>
        <w:rPr>
          <w:rStyle w:val="CommentTok"/>
        </w:rPr>
        <w:t xml:space="preserve">"unsat" (no counterexample exists within the bounds).</w:t>
      </w:r>
      <w:r>
        <w:br/>
      </w:r>
      <w:r>
        <w:br/>
      </w:r>
      <w:r>
        <w:rPr>
          <w:rStyle w:val="CommentTok"/>
        </w:rPr>
        <w:t xml:space="preserve">Model (Chapter 4, Sections 4.3-4.6), one record, months t = 0..H:</w:t>
      </w:r>
      <w:r>
        <w:br/>
      </w:r>
      <w:r>
        <w:rPr>
          <w:rStyle w:val="CommentTok"/>
        </w:rPr>
        <w:t xml:space="preserve">  alpha_t        payload accessible at month t (free Boolean per month)</w:t>
      </w:r>
      <w:r>
        <w:br/>
      </w:r>
      <w:r>
        <w:rPr>
          <w:rStyle w:val="CommentTok"/>
        </w:rPr>
        <w:t xml:space="preserve">  C1 floor       alpha_t for t in [t_a, t_a + F]                       (Semantics I: V = alpha)</w:t>
      </w:r>
      <w:r>
        <w:br/>
      </w:r>
      <w:r>
        <w:rPr>
          <w:rStyle w:val="CommentTok"/>
        </w:rPr>
        <w:t xml:space="preserve">  C2 right       not alpha_t for t &gt;= t_r + delta, if a request arrives</w:t>
      </w:r>
      <w:r>
        <w:br/>
      </w:r>
      <w:r>
        <w:rPr>
          <w:rStyle w:val="CommentTok"/>
        </w:rPr>
        <w:t xml:space="preserve">  C3 ceiling     not alpha_t for t &gt;= e + L, if a ceiling applies (e: its anchor event)</w:t>
      </w:r>
      <w:r>
        <w:br/>
      </w:r>
      <w:r>
        <w:rPr>
          <w:rStyle w:val="CommentTok"/>
        </w:rPr>
        <w:t xml:space="preserve">Semantics II (Proposition 2) adds the accountability state per month: m_acc kept, c kept,</w:t>
      </w:r>
      <w:r>
        <w:br/>
      </w:r>
      <w:r>
        <w:rPr>
          <w:rStyle w:val="CommentTok"/>
        </w:rPr>
        <w:t xml:space="preserve">an invalidation entry iota present, the subject link beta readable, and a subject-link</w:t>
      </w:r>
      <w:r>
        <w:br/>
      </w:r>
      <w:r>
        <w:rPr>
          <w:rStyle w:val="CommentTok"/>
        </w:rPr>
        <w:t xml:space="preserve">entry iota_subj present. V_II = m_acc and c and (alpha or iota) and (beta or iota_subj),</w:t>
      </w:r>
      <w:r>
        <w:br/>
      </w:r>
      <w:r>
        <w:rPr>
          <w:rStyle w:val="CommentTok"/>
        </w:rPr>
        <w:t xml:space="preserve">and C3 also requires beta = 0 from the ceiling where it reaches the subject fields.</w:t>
      </w:r>
      <w:r>
        <w:br/>
      </w:r>
      <w:r>
        <w:br/>
      </w:r>
      <w:r>
        <w:rPr>
          <w:rStyle w:val="CommentTok"/>
        </w:rPr>
        <w:t xml:space="preserve">Bounds: t_a in [0, 12], F in [1, 120] (so the 120-month cross-border floor is covered),</w:t>
      </w:r>
      <w:r>
        <w:br/>
      </w:r>
      <w:r>
        <w:rPr>
          <w:rStyle w:val="CommentTok"/>
        </w:rPr>
        <w:t xml:space="preserve">delta in [1, 3], request month and anchor event in [t_a, H], L in [1, 120], H = 140.</w:t>
      </w:r>
      <w:r>
        <w:br/>
      </w:r>
      <w:r>
        <w:rPr>
          <w:rStyle w:val="CommentTok"/>
        </w:rPr>
        <w:t xml:space="preserve">This is a bounded check: it covers every combination within the bounds, not all integers.</w:t>
      </w:r>
      <w:r>
        <w:br/>
      </w:r>
      <w:r>
        <w:rPr>
          <w:rStyle w:val="CommentTok"/>
        </w:rPr>
        <w:t xml:space="preserve">It checks that the propositions follow from the constraints as encoded here; like the</w:t>
      </w:r>
      <w:r>
        <w:br/>
      </w:r>
      <w:r>
        <w:rPr>
          <w:rStyle w:val="CommentTok"/>
        </w:rPr>
        <w:t xml:space="preserve">checker, it does not check that the constraints translate the law (Section 4.2 does that).</w:t>
      </w:r>
      <w:r>
        <w:br/>
      </w:r>
      <w:r>
        <w:br/>
      </w:r>
      <w:r>
        <w:rPr>
          <w:rStyle w:val="CommentTok"/>
        </w:rPr>
        <w:t xml:space="preserve">Run:  pip install z3-solver   then   python3 z3_check.py</w:t>
      </w:r>
      <w:r>
        <w:br/>
      </w:r>
      <w:r>
        <w:rPr>
          <w:rStyle w:val="CommentTok"/>
        </w:rPr>
        <w:t xml:space="preserve">"""</w:t>
      </w:r>
      <w:r>
        <w:br/>
      </w:r>
      <w:r>
        <w:br/>
      </w:r>
      <w:r>
        <w:rPr>
          <w:rStyle w:val="ImportTok"/>
        </w:rPr>
        <w:t xml:space="preserve">from</w:t>
      </w:r>
      <w:r>
        <w:rPr>
          <w:rStyle w:val="NormalTok"/>
        </w:rPr>
        <w:t xml:space="preserve"> z3 </w:t>
      </w:r>
      <w:r>
        <w:rPr>
          <w:rStyle w:val="ImportTok"/>
        </w:rPr>
        <w:t xml:space="preserve">import</w:t>
      </w:r>
      <w:r>
        <w:rPr>
          <w:rStyle w:val="NormalTok"/>
        </w:rPr>
        <w:t xml:space="preserve"> And, Bool, If, Implies, Int, Not, Or, Solver, sat, unsat</w:t>
      </w:r>
      <w:r>
        <w:br/>
      </w:r>
      <w:r>
        <w:br/>
      </w:r>
      <w:r>
        <w:rPr>
          <w:rStyle w:val="NormalTok"/>
        </w:rPr>
        <w:t xml:space="preserve">H </w:t>
      </w:r>
      <w:r>
        <w:rPr>
          <w:rStyle w:val="OperatorTok"/>
        </w:rPr>
        <w:t xml:space="preserve">=</w:t>
      </w:r>
      <w:r>
        <w:rPr>
          <w:rStyle w:val="NormalTok"/>
        </w:rPr>
        <w:t xml:space="preserve"> </w:t>
      </w:r>
      <w:r>
        <w:rPr>
          <w:rStyle w:val="DecValTok"/>
        </w:rPr>
        <w:t xml:space="preserve">140</w:t>
      </w:r>
      <w:r>
        <w:br/>
      </w:r>
      <w:r>
        <w:rPr>
          <w:rStyle w:val="NormalTok"/>
        </w:rPr>
        <w:t xml:space="preserve">T </w:t>
      </w:r>
      <w:r>
        <w:rPr>
          <w:rStyle w:val="OperatorTok"/>
        </w:rPr>
        <w:t xml:space="preserve">=</w:t>
      </w:r>
      <w:r>
        <w:rPr>
          <w:rStyle w:val="NormalTok"/>
        </w:rPr>
        <w:t xml:space="preserve"> </w:t>
      </w:r>
      <w:r>
        <w:rPr>
          <w:rStyle w:val="BuiltInTok"/>
        </w:rPr>
        <w:t xml:space="preserve">range</w:t>
      </w:r>
      <w:r>
        <w:rPr>
          <w:rStyle w:val="NormalTok"/>
        </w:rPr>
        <w:t xml:space="preserve">(H </w:t>
      </w:r>
      <w:r>
        <w:rPr>
          <w:rStyle w:val="OperatorTok"/>
        </w:rPr>
        <w:t xml:space="preserve">+</w:t>
      </w:r>
      <w:r>
        <w:rPr>
          <w:rStyle w:val="NormalTok"/>
        </w:rPr>
        <w:t xml:space="preserve"> </w:t>
      </w:r>
      <w:r>
        <w:rPr>
          <w:rStyle w:val="DecValTok"/>
        </w:rPr>
        <w:t xml:space="preserve">1</w:t>
      </w:r>
      <w:r>
        <w:rPr>
          <w:rStyle w:val="NormalTok"/>
        </w:rPr>
        <w:t xml:space="preserve">)</w:t>
      </w:r>
      <w:r>
        <w:br/>
      </w:r>
      <w:r>
        <w:br/>
      </w:r>
      <w:r>
        <w:br/>
      </w:r>
      <w:r>
        <w:rPr>
          <w:rStyle w:val="KeywordTok"/>
        </w:rPr>
        <w:t xml:space="preserve">def</w:t>
      </w:r>
      <w:r>
        <w:rPr>
          <w:rStyle w:val="NormalTok"/>
        </w:rPr>
        <w:t xml:space="preserve"> record():</w:t>
      </w:r>
      <w:r>
        <w:br/>
      </w:r>
      <w:r>
        <w:rPr>
          <w:rStyle w:val="NormalTok"/>
        </w:rPr>
        <w:t xml:space="preserve">    </w:t>
      </w:r>
      <w:r>
        <w:rPr>
          <w:rStyle w:val="CommentTok"/>
        </w:rPr>
        <w:t xml:space="preserve">"""Symbolic parameters and constraints common to every check."""</w:t>
      </w:r>
      <w:r>
        <w:br/>
      </w:r>
      <w:r>
        <w:rPr>
          <w:rStyle w:val="NormalTok"/>
        </w:rPr>
        <w:t xml:space="preserve">    ta, F, d </w:t>
      </w:r>
      <w:r>
        <w:rPr>
          <w:rStyle w:val="OperatorTok"/>
        </w:rPr>
        <w:t xml:space="preserve">=</w:t>
      </w:r>
      <w:r>
        <w:rPr>
          <w:rStyle w:val="NormalTok"/>
        </w:rPr>
        <w:t xml:space="preserve"> Int(</w:t>
      </w:r>
      <w:r>
        <w:rPr>
          <w:rStyle w:val="StringTok"/>
        </w:rPr>
        <w:t xml:space="preserve">"t_a"</w:t>
      </w:r>
      <w:r>
        <w:rPr>
          <w:rStyle w:val="NormalTok"/>
        </w:rPr>
        <w:t xml:space="preserve">), Int(</w:t>
      </w:r>
      <w:r>
        <w:rPr>
          <w:rStyle w:val="StringTok"/>
        </w:rPr>
        <w:t xml:space="preserve">"F"</w:t>
      </w:r>
      <w:r>
        <w:rPr>
          <w:rStyle w:val="NormalTok"/>
        </w:rPr>
        <w:t xml:space="preserve">), Int(</w:t>
      </w:r>
      <w:r>
        <w:rPr>
          <w:rStyle w:val="StringTok"/>
        </w:rPr>
        <w:t xml:space="preserve">"delta"</w:t>
      </w:r>
      <w:r>
        <w:rPr>
          <w:rStyle w:val="NormalTok"/>
        </w:rPr>
        <w:t xml:space="preserve">)</w:t>
      </w:r>
      <w:r>
        <w:br/>
      </w:r>
      <w:r>
        <w:rPr>
          <w:rStyle w:val="NormalTok"/>
        </w:rPr>
        <w:t xml:space="preserve">    tr, e, L </w:t>
      </w:r>
      <w:r>
        <w:rPr>
          <w:rStyle w:val="OperatorTok"/>
        </w:rPr>
        <w:t xml:space="preserve">=</w:t>
      </w:r>
      <w:r>
        <w:rPr>
          <w:rStyle w:val="NormalTok"/>
        </w:rPr>
        <w:t xml:space="preserve"> Int(</w:t>
      </w:r>
      <w:r>
        <w:rPr>
          <w:rStyle w:val="StringTok"/>
        </w:rPr>
        <w:t xml:space="preserve">"t_r"</w:t>
      </w:r>
      <w:r>
        <w:rPr>
          <w:rStyle w:val="NormalTok"/>
        </w:rPr>
        <w:t xml:space="preserve">), Int(</w:t>
      </w:r>
      <w:r>
        <w:rPr>
          <w:rStyle w:val="StringTok"/>
        </w:rPr>
        <w:t xml:space="preserve">"e"</w:t>
      </w:r>
      <w:r>
        <w:rPr>
          <w:rStyle w:val="NormalTok"/>
        </w:rPr>
        <w:t xml:space="preserve">), Int(</w:t>
      </w:r>
      <w:r>
        <w:rPr>
          <w:rStyle w:val="StringTok"/>
        </w:rPr>
        <w:t xml:space="preserve">"L"</w:t>
      </w:r>
      <w:r>
        <w:rPr>
          <w:rStyle w:val="NormalTok"/>
        </w:rPr>
        <w:t xml:space="preserve">)</w:t>
      </w:r>
      <w:r>
        <w:br/>
      </w:r>
      <w:r>
        <w:rPr>
          <w:rStyle w:val="NormalTok"/>
        </w:rPr>
        <w:t xml:space="preserve">    req, ceil </w:t>
      </w:r>
      <w:r>
        <w:rPr>
          <w:rStyle w:val="OperatorTok"/>
        </w:rPr>
        <w:t xml:space="preserve">=</w:t>
      </w:r>
      <w:r>
        <w:rPr>
          <w:rStyle w:val="NormalTok"/>
        </w:rPr>
        <w:t xml:space="preserve"> Bool(</w:t>
      </w:r>
      <w:r>
        <w:rPr>
          <w:rStyle w:val="StringTok"/>
        </w:rPr>
        <w:t xml:space="preserve">"request"</w:t>
      </w:r>
      <w:r>
        <w:rPr>
          <w:rStyle w:val="NormalTok"/>
        </w:rPr>
        <w:t xml:space="preserve">), Bool(</w:t>
      </w:r>
      <w:r>
        <w:rPr>
          <w:rStyle w:val="StringTok"/>
        </w:rPr>
        <w:t xml:space="preserve">"ceiling"</w:t>
      </w:r>
      <w:r>
        <w:rPr>
          <w:rStyle w:val="NormalTok"/>
        </w:rPr>
        <w:t xml:space="preserve">)</w:t>
      </w:r>
      <w:r>
        <w:br/>
      </w:r>
      <w:r>
        <w:rPr>
          <w:rStyle w:val="NormalTok"/>
        </w:rPr>
        <w:t xml:space="preserve">    alpha </w:t>
      </w:r>
      <w:r>
        <w:rPr>
          <w:rStyle w:val="OperatorTok"/>
        </w:rPr>
        <w:t xml:space="preserve">=</w:t>
      </w:r>
      <w:r>
        <w:rPr>
          <w:rStyle w:val="NormalTok"/>
        </w:rPr>
        <w:t xml:space="preserve"> [Bool(</w:t>
      </w:r>
      <w:r>
        <w:rPr>
          <w:rStyle w:val="SpecialStringTok"/>
        </w:rPr>
        <w:t xml:space="preserve">f"alpha_</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bounds </w:t>
      </w:r>
      <w:r>
        <w:rPr>
          <w:rStyle w:val="OperatorTok"/>
        </w:rPr>
        <w:t xml:space="preserve">=</w:t>
      </w:r>
      <w:r>
        <w:rPr>
          <w:rStyle w:val="NormalTok"/>
        </w:rPr>
        <w:t xml:space="preserve"> And(ta </w:t>
      </w:r>
      <w:r>
        <w:rPr>
          <w:rStyle w:val="OperatorTok"/>
        </w:rPr>
        <w:t xml:space="preserve">&gt;=</w:t>
      </w:r>
      <w:r>
        <w:rPr>
          <w:rStyle w:val="NormalTok"/>
        </w:rPr>
        <w:t xml:space="preserve"> </w:t>
      </w:r>
      <w:r>
        <w:rPr>
          <w:rStyle w:val="DecValTok"/>
        </w:rPr>
        <w:t xml:space="preserve">0</w:t>
      </w:r>
      <w:r>
        <w:rPr>
          <w:rStyle w:val="NormalTok"/>
        </w:rPr>
        <w:t xml:space="preserve">, ta </w:t>
      </w:r>
      <w:r>
        <w:rPr>
          <w:rStyle w:val="OperatorTok"/>
        </w:rPr>
        <w:t xml:space="preserve">&lt;=</w:t>
      </w:r>
      <w:r>
        <w:rPr>
          <w:rStyle w:val="NormalTok"/>
        </w:rPr>
        <w:t xml:space="preserve"> </w:t>
      </w:r>
      <w:r>
        <w:rPr>
          <w:rStyle w:val="DecValTok"/>
        </w:rPr>
        <w:t xml:space="preserve">12</w:t>
      </w:r>
      <w:r>
        <w:rPr>
          <w:rStyle w:val="NormalTok"/>
        </w:rPr>
        <w:t xml:space="preserve">, F </w:t>
      </w:r>
      <w:r>
        <w:rPr>
          <w:rStyle w:val="OperatorTok"/>
        </w:rPr>
        <w:t xml:space="preserve">&gt;=</w:t>
      </w:r>
      <w:r>
        <w:rPr>
          <w:rStyle w:val="NormalTok"/>
        </w:rPr>
        <w:t xml:space="preserve"> </w:t>
      </w:r>
      <w:r>
        <w:rPr>
          <w:rStyle w:val="DecValTok"/>
        </w:rPr>
        <w:t xml:space="preserve">1</w:t>
      </w:r>
      <w:r>
        <w:rPr>
          <w:rStyle w:val="NormalTok"/>
        </w:rPr>
        <w:t xml:space="preserve">, F </w:t>
      </w:r>
      <w:r>
        <w:rPr>
          <w:rStyle w:val="OperatorTok"/>
        </w:rPr>
        <w:t xml:space="preserve">&lt;=</w:t>
      </w:r>
      <w:r>
        <w:rPr>
          <w:rStyle w:val="NormalTok"/>
        </w:rPr>
        <w:t xml:space="preserve"> </w:t>
      </w:r>
      <w:r>
        <w:rPr>
          <w:rStyle w:val="DecValTok"/>
        </w:rPr>
        <w:t xml:space="preserve">120</w:t>
      </w:r>
      <w:r>
        <w:rPr>
          <w:rStyle w:val="NormalTok"/>
        </w:rPr>
        <w:t xml:space="preserve">, d </w:t>
      </w:r>
      <w:r>
        <w:rPr>
          <w:rStyle w:val="OperatorTok"/>
        </w:rPr>
        <w:t xml:space="preserve">&gt;=</w:t>
      </w:r>
      <w:r>
        <w:rPr>
          <w:rStyle w:val="NormalTok"/>
        </w:rPr>
        <w:t xml:space="preserve"> </w:t>
      </w:r>
      <w:r>
        <w:rPr>
          <w:rStyle w:val="DecValTok"/>
        </w:rPr>
        <w:t xml:space="preserve">1</w:t>
      </w:r>
      <w:r>
        <w:rPr>
          <w:rStyle w:val="NormalTok"/>
        </w:rPr>
        <w:t xml:space="preserve">, d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tr </w:t>
      </w:r>
      <w:r>
        <w:rPr>
          <w:rStyle w:val="OperatorTok"/>
        </w:rPr>
        <w:t xml:space="preserve">&gt;=</w:t>
      </w:r>
      <w:r>
        <w:rPr>
          <w:rStyle w:val="NormalTok"/>
        </w:rPr>
        <w:t xml:space="preserve"> ta, tr </w:t>
      </w:r>
      <w:r>
        <w:rPr>
          <w:rStyle w:val="OperatorTok"/>
        </w:rPr>
        <w:t xml:space="preserve">&lt;=</w:t>
      </w:r>
      <w:r>
        <w:rPr>
          <w:rStyle w:val="NormalTok"/>
        </w:rPr>
        <w:t xml:space="preserve"> H, e </w:t>
      </w:r>
      <w:r>
        <w:rPr>
          <w:rStyle w:val="OperatorTok"/>
        </w:rPr>
        <w:t xml:space="preserve">&gt;=</w:t>
      </w:r>
      <w:r>
        <w:rPr>
          <w:rStyle w:val="NormalTok"/>
        </w:rPr>
        <w:t xml:space="preserve"> ta, e </w:t>
      </w:r>
      <w:r>
        <w:rPr>
          <w:rStyle w:val="OperatorTok"/>
        </w:rPr>
        <w:t xml:space="preserve">&lt;=</w:t>
      </w:r>
      <w:r>
        <w:rPr>
          <w:rStyle w:val="NormalTok"/>
        </w:rPr>
        <w:t xml:space="preserve"> H, L </w:t>
      </w:r>
      <w:r>
        <w:rPr>
          <w:rStyle w:val="OperatorTok"/>
        </w:rPr>
        <w:t xml:space="preserve">&gt;=</w:t>
      </w:r>
      <w:r>
        <w:rPr>
          <w:rStyle w:val="NormalTok"/>
        </w:rPr>
        <w:t xml:space="preserve"> </w:t>
      </w:r>
      <w:r>
        <w:rPr>
          <w:rStyle w:val="DecValTok"/>
        </w:rPr>
        <w:t xml:space="preserve">1</w:t>
      </w:r>
      <w:r>
        <w:rPr>
          <w:rStyle w:val="NormalTok"/>
        </w:rPr>
        <w:t xml:space="preserve">, L </w:t>
      </w:r>
      <w:r>
        <w:rPr>
          <w:rStyle w:val="OperatorTok"/>
        </w:rPr>
        <w:t xml:space="preserve">&lt;=</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ControlFlowTok"/>
        </w:rPr>
        <w:t xml:space="preserve">return</w:t>
      </w:r>
      <w:r>
        <w:rPr>
          <w:rStyle w:val="NormalTok"/>
        </w:rPr>
        <w:t xml:space="preserve"> ta, F, d, tr, e, L, req, ceil, alpha, bounds</w:t>
      </w:r>
      <w:r>
        <w:br/>
      </w:r>
      <w:r>
        <w:br/>
      </w:r>
      <w:r>
        <w:br/>
      </w:r>
      <w:r>
        <w:rPr>
          <w:rStyle w:val="KeywordTok"/>
        </w:rPr>
        <w:t xml:space="preserve">def</w:t>
      </w:r>
      <w:r>
        <w:rPr>
          <w:rStyle w:val="NormalTok"/>
        </w:rPr>
        <w:t xml:space="preserve"> C1(alpha, ta, F):</w:t>
      </w:r>
      <w:r>
        <w:br/>
      </w:r>
      <w:r>
        <w:rPr>
          <w:rStyle w:val="NormalTok"/>
        </w:rPr>
        <w:t xml:space="preserve">    </w:t>
      </w:r>
      <w:r>
        <w:rPr>
          <w:rStyle w:val="ControlFlowTok"/>
        </w:rPr>
        <w:t xml:space="preserve">return</w:t>
      </w:r>
      <w:r>
        <w:rPr>
          <w:rStyle w:val="NormalTok"/>
        </w:rPr>
        <w:t xml:space="preserve"> And([Implies(And(ta </w:t>
      </w:r>
      <w:r>
        <w:rPr>
          <w:rStyle w:val="OperatorTok"/>
        </w:rPr>
        <w:t xml:space="preserve">&lt;=</w:t>
      </w:r>
      <w:r>
        <w:rPr>
          <w:rStyle w:val="NormalTok"/>
        </w:rPr>
        <w:t xml:space="preserve"> t, t </w:t>
      </w:r>
      <w:r>
        <w:rPr>
          <w:rStyle w:val="OperatorTok"/>
        </w:rPr>
        <w:t xml:space="preserve">&lt;=</w:t>
      </w:r>
      <w:r>
        <w:rPr>
          <w:rStyle w:val="NormalTok"/>
        </w:rPr>
        <w:t xml:space="preserve"> ta </w:t>
      </w:r>
      <w:r>
        <w:rPr>
          <w:rStyle w:val="OperatorTok"/>
        </w:rPr>
        <w:t xml:space="preserve">+</w:t>
      </w:r>
      <w:r>
        <w:rPr>
          <w:rStyle w:val="NormalTok"/>
        </w:rPr>
        <w:t xml:space="preserve"> F), 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C2(alpha, req, tr, d):</w:t>
      </w:r>
      <w:r>
        <w:br/>
      </w:r>
      <w:r>
        <w:rPr>
          <w:rStyle w:val="NormalTok"/>
        </w:rPr>
        <w:t xml:space="preserve">    </w:t>
      </w:r>
      <w:r>
        <w:rPr>
          <w:rStyle w:val="ControlFlowTok"/>
        </w:rPr>
        <w:t xml:space="preserve">return</w:t>
      </w:r>
      <w:r>
        <w:rPr>
          <w:rStyle w:val="NormalTok"/>
        </w:rPr>
        <w:t xml:space="preserve"> And([Implies(And(req, t </w:t>
      </w:r>
      <w:r>
        <w:rPr>
          <w:rStyle w:val="OperatorTok"/>
        </w:rPr>
        <w:t xml:space="preserve">&gt;=</w:t>
      </w:r>
      <w:r>
        <w:rPr>
          <w:rStyle w:val="NormalTok"/>
        </w:rPr>
        <w:t xml:space="preserve"> tr </w:t>
      </w:r>
      <w:r>
        <w:rPr>
          <w:rStyle w:val="OperatorTok"/>
        </w:rPr>
        <w:t xml:space="preserve">+</w:t>
      </w:r>
      <w:r>
        <w:rPr>
          <w:rStyle w:val="NormalTok"/>
        </w:rPr>
        <w:t xml:space="preserve"> d), Not(alpha[t]))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C3(alpha, ceil, e, L):</w:t>
      </w:r>
      <w:r>
        <w:br/>
      </w:r>
      <w:r>
        <w:rPr>
          <w:rStyle w:val="NormalTok"/>
        </w:rPr>
        <w:t xml:space="preserve">    </w:t>
      </w:r>
      <w:r>
        <w:rPr>
          <w:rStyle w:val="ControlFlowTok"/>
        </w:rPr>
        <w:t xml:space="preserve">return</w:t>
      </w:r>
      <w:r>
        <w:rPr>
          <w:rStyle w:val="NormalTok"/>
        </w:rPr>
        <w:t xml:space="preserve"> And([Implies(And(ceil, t </w:t>
      </w:r>
      <w:r>
        <w:rPr>
          <w:rStyle w:val="OperatorTok"/>
        </w:rPr>
        <w:t xml:space="preserve">&gt;=</w:t>
      </w:r>
      <w:r>
        <w:rPr>
          <w:rStyle w:val="NormalTok"/>
        </w:rPr>
        <w:t xml:space="preserve"> e </w:t>
      </w:r>
      <w:r>
        <w:rPr>
          <w:rStyle w:val="OperatorTok"/>
        </w:rPr>
        <w:t xml:space="preserve">+</w:t>
      </w:r>
      <w:r>
        <w:rPr>
          <w:rStyle w:val="NormalTok"/>
        </w:rPr>
        <w:t xml:space="preserve"> L), Not(alpha[t]))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check(name, formula):</w:t>
      </w:r>
      <w:r>
        <w:br/>
      </w:r>
      <w:r>
        <w:rPr>
          <w:rStyle w:val="NormalTok"/>
        </w:rPr>
        <w:t xml:space="preserve">    s </w:t>
      </w:r>
      <w:r>
        <w:rPr>
          <w:rStyle w:val="OperatorTok"/>
        </w:rPr>
        <w:t xml:space="preserve">=</w:t>
      </w:r>
      <w:r>
        <w:rPr>
          <w:rStyle w:val="NormalTok"/>
        </w:rPr>
        <w:t xml:space="preserve"> Solver()</w:t>
      </w:r>
      <w:r>
        <w:br/>
      </w:r>
      <w:r>
        <w:rPr>
          <w:rStyle w:val="NormalTok"/>
        </w:rPr>
        <w:t xml:space="preserve">    s.add(formula)</w:t>
      </w:r>
      <w:r>
        <w:br/>
      </w:r>
      <w:r>
        <w:rPr>
          <w:rStyle w:val="NormalTok"/>
        </w:rPr>
        <w:t xml:space="preserve">    r </w:t>
      </w:r>
      <w:r>
        <w:rPr>
          <w:rStyle w:val="OperatorTok"/>
        </w:rPr>
        <w:t xml:space="preserve">=</w:t>
      </w:r>
      <w:r>
        <w:rPr>
          <w:rStyle w:val="NormalTok"/>
        </w:rPr>
        <w:t xml:space="preserve"> s.check()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:&lt;74}</w:t>
      </w:r>
      <w:r>
        <w:rPr>
          <w:rStyle w:val="SpecialStringTok"/>
        </w:rPr>
        <w:t xml:space="preserve"> </w:t>
      </w:r>
      <w:r>
        <w:rPr>
          <w:rStyle w:val="SpecialCharTok"/>
        </w:rPr>
        <w:t xml:space="preserve">{</w:t>
      </w:r>
      <w:r>
        <w:rPr>
          <w:rStyle w:val="StringTok"/>
        </w:rPr>
        <w:t xml:space="preserve">'unsat (no counterexample)'</w:t>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unsat </w:t>
      </w:r>
      <w:r>
        <w:rPr>
          <w:rStyle w:val="ControlFlowTok"/>
        </w:rPr>
        <w:t xml:space="preserve">else</w:t>
      </w:r>
      <w:r>
        <w:rPr>
          <w:rStyle w:val="NormalTok"/>
        </w:rPr>
        <w:t xml:space="preserve"> </w:t>
      </w:r>
      <w:r>
        <w:rPr>
          <w:rStyle w:val="StringTok"/>
        </w:rPr>
        <w:t xml:space="preserve">'SAT: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(s.model())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 </w:t>
      </w:r>
      <w:r>
        <w:rPr>
          <w:rStyle w:val="OperatorTok"/>
        </w:rPr>
        <w:t xml:space="preserve">==</w:t>
      </w:r>
      <w:r>
        <w:rPr>
          <w:rStyle w:val="NormalTok"/>
        </w:rPr>
        <w:t xml:space="preserve"> unsat</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SMT CHECK OF PROPOSITIONS 1-3 (Z3)"</w:t>
      </w:r>
      <w:r>
        <w:rPr>
          <w:rStyle w:val="NormalTok"/>
        </w:rPr>
        <w:t xml:space="preserve">.center(</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f"bounds: t_a 0..12, F 1..120, delta 1..3, t_r and e in [t_a, </w:t>
      </w:r>
      <w:r>
        <w:rPr>
          <w:rStyle w:val="SpecialCharTok"/>
        </w:rPr>
        <w:t xml:space="preserve">{</w:t>
      </w:r>
      <w:r>
        <w:rPr>
          <w:rStyle w:val="NormalTok"/>
        </w:rPr>
        <w:t xml:space="preserve">H</w:t>
      </w:r>
      <w:r>
        <w:rPr>
          <w:rStyle w:val="SpecialCharTok"/>
        </w:rPr>
        <w:t xml:space="preserve">}</w:t>
      </w:r>
      <w:r>
        <w:rPr>
          <w:rStyle w:val="SpecialStringTok"/>
        </w:rPr>
        <w:t xml:space="preserve">], L 1..120, horizon </w:t>
      </w:r>
      <w:r>
        <w:rPr>
          <w:rStyle w:val="SpecialCharTok"/>
        </w:rPr>
        <w:t xml:space="preserve">{</w:t>
      </w:r>
      <w:r>
        <w:rPr>
          <w:rStyle w:val="NormalTok"/>
        </w:rPr>
        <w:t xml:space="preserve">H</w:t>
      </w:r>
      <w:r>
        <w:rPr>
          <w:rStyle w:val="SpecialCharTok"/>
        </w:rPr>
        <w:t xml:space="preserve">}</w:t>
      </w:r>
      <w:r>
        <w:rPr>
          <w:rStyle w:val="SpecialStringTok"/>
        </w:rPr>
        <w:t xml:space="preserve">"</w:t>
      </w:r>
      <w:r>
        <w:rPr>
          <w:rStyle w:val="NormalTok"/>
        </w:rPr>
        <w:t xml:space="preserve">)</w:t>
      </w:r>
      <w:r>
        <w:br/>
      </w:r>
      <w:r>
        <w:rPr>
          <w:rStyle w:val="NormalTok"/>
        </w:rPr>
        <w:t xml:space="preserve">    ok </w:t>
      </w:r>
      <w:r>
        <w:rPr>
          <w:rStyle w:val="OperatorTok"/>
        </w:rPr>
        <w:t xml:space="preserve">=</w:t>
      </w:r>
      <w:r>
        <w:rPr>
          <w:rStyle w:val="NormalTok"/>
        </w:rPr>
        <w:t xml:space="preserve"> []</w:t>
      </w:r>
      <w:r>
        <w:br/>
      </w:r>
      <w:r>
        <w:rPr>
          <w:rStyle w:val="NormalTok"/>
        </w:rPr>
        <w:t xml:space="preserve">    ta, F, d, tr, e, L, req, ceil, alpha, B </w:t>
      </w:r>
      <w:r>
        <w:rPr>
          <w:rStyle w:val="OperatorTok"/>
        </w:rPr>
        <w:t xml:space="preserve">=</w:t>
      </w:r>
      <w:r>
        <w:rPr>
          <w:rStyle w:val="NormalTok"/>
        </w:rPr>
        <w:t xml:space="preserve"> record()</w:t>
      </w:r>
      <w:r>
        <w:br/>
      </w:r>
      <w:r>
        <w:br/>
      </w:r>
      <w:r>
        <w:rPr>
          <w:rStyle w:val="NormalTok"/>
        </w:rPr>
        <w:t xml:space="preserve">    </w:t>
      </w:r>
      <w:r>
        <w:rPr>
          <w:rStyle w:val="CommentTok"/>
        </w:rPr>
        <w:t xml:space="preserve"># Proposition 1, infeasibility direction: if a deadline falls inside the window,</w:t>
      </w:r>
      <w:r>
        <w:br/>
      </w:r>
      <w:r>
        <w:rPr>
          <w:rStyle w:val="NormalTok"/>
        </w:rPr>
        <w:t xml:space="preserve">    </w:t>
      </w:r>
      <w:r>
        <w:rPr>
          <w:rStyle w:val="CommentTok"/>
        </w:rPr>
        <w:t xml:space="preserve"># no accessibility trajectory satisfies C1, C2 and C3 under Semantics I.</w:t>
      </w:r>
      <w:r>
        <w:br/>
      </w:r>
      <w:r>
        <w:rPr>
          <w:rStyle w:val="NormalTok"/>
        </w:rPr>
        <w:t xml:space="preserve">    inside </w:t>
      </w:r>
      <w:r>
        <w:rPr>
          <w:rStyle w:val="OperatorTok"/>
        </w:rPr>
        <w:t xml:space="preserve">=</w:t>
      </w:r>
      <w:r>
        <w:rPr>
          <w:rStyle w:val="NormalTok"/>
        </w:rPr>
        <w:t xml:space="preserve"> Or(And(req, tr </w:t>
      </w:r>
      <w:r>
        <w:rPr>
          <w:rStyle w:val="OperatorTok"/>
        </w:rPr>
        <w:t xml:space="preserve">+</w:t>
      </w:r>
      <w:r>
        <w:rPr>
          <w:rStyle w:val="NormalTok"/>
        </w:rPr>
        <w:t xml:space="preserve"> d </w:t>
      </w:r>
      <w:r>
        <w:rPr>
          <w:rStyle w:val="OperatorTok"/>
        </w:rPr>
        <w:t xml:space="preserve">&lt;=</w:t>
      </w:r>
      <w:r>
        <w:rPr>
          <w:rStyle w:val="NormalTok"/>
        </w:rPr>
        <w:t xml:space="preserve"> ta </w:t>
      </w:r>
      <w:r>
        <w:rPr>
          <w:rStyle w:val="OperatorTok"/>
        </w:rPr>
        <w:t xml:space="preserve">+</w:t>
      </w:r>
      <w:r>
        <w:rPr>
          <w:rStyle w:val="NormalTok"/>
        </w:rPr>
        <w:t xml:space="preserve"> F), And(ceil,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w:t>
      </w:r>
      <w:r>
        <w:br/>
      </w:r>
      <w:r>
        <w:rPr>
          <w:rStyle w:val="NormalTok"/>
        </w:rPr>
        <w:t xml:space="preserve">    ok.append(check(</w:t>
      </w:r>
      <w:r>
        <w:rPr>
          <w:rStyle w:val="StringTok"/>
        </w:rPr>
        <w:t xml:space="preserve">"P1  deadline inside window =&gt; no trajectory satisfies C1-C3 (Sem I)"</w:t>
      </w:r>
      <w:r>
        <w:rPr>
          <w:rStyle w:val="NormalTok"/>
        </w:rPr>
        <w:t xml:space="preserve">,</w:t>
      </w:r>
      <w:r>
        <w:br/>
      </w:r>
      <w:r>
        <w:rPr>
          <w:rStyle w:val="NormalTok"/>
        </w:rPr>
        <w:t xml:space="preserve">                    And(B, inside, C1(alpha, ta, F), C2(alpha, req, tr, d), C3(alpha, ceil, e, L))))</w:t>
      </w:r>
      <w:r>
        <w:br/>
      </w:r>
      <w:r>
        <w:br/>
      </w:r>
      <w:r>
        <w:rPr>
          <w:rStyle w:val="NormalTok"/>
        </w:rPr>
        <w:t xml:space="preserve">    </w:t>
      </w:r>
      <w:r>
        <w:rPr>
          <w:rStyle w:val="CommentTok"/>
        </w:rPr>
        <w:t xml:space="preserve"># Proposition 1, boundary: if no deadline falls inside the window, the trajectory</w:t>
      </w:r>
      <w:r>
        <w:br/>
      </w:r>
      <w:r>
        <w:rPr>
          <w:rStyle w:val="NormalTok"/>
        </w:rPr>
        <w:t xml:space="preserve">    </w:t>
      </w:r>
      <w:r>
        <w:rPr>
          <w:rStyle w:val="CommentTok"/>
        </w:rPr>
        <w:t xml:space="preserve"># "accessible until the earliest deadline" satisfies all three. Counterexample = it fails.</w:t>
      </w:r>
      <w:r>
        <w:br/>
      </w:r>
      <w:r>
        <w:rPr>
          <w:rStyle w:val="NormalTok"/>
        </w:rPr>
        <w:t xml:space="preserve">    dl </w:t>
      </w:r>
      <w:r>
        <w:rPr>
          <w:rStyle w:val="OperatorTok"/>
        </w:rPr>
        <w:t xml:space="preserve">=</w:t>
      </w:r>
      <w:r>
        <w:rPr>
          <w:rStyle w:val="NormalTok"/>
        </w:rPr>
        <w:t xml:space="preserve"> If(req, If(ceil, If(tr </w:t>
      </w:r>
      <w:r>
        <w:rPr>
          <w:rStyle w:val="OperatorTok"/>
        </w:rPr>
        <w:t xml:space="preserve">+</w:t>
      </w:r>
      <w:r>
        <w:rPr>
          <w:rStyle w:val="NormalTok"/>
        </w:rPr>
        <w:t xml:space="preserve"> d </w:t>
      </w:r>
      <w:r>
        <w:rPr>
          <w:rStyle w:val="OperatorTok"/>
        </w:rPr>
        <w:t xml:space="preserve">&lt;</w:t>
      </w:r>
      <w:r>
        <w:rPr>
          <w:rStyle w:val="NormalTok"/>
        </w:rPr>
        <w:t xml:space="preserve"> e </w:t>
      </w:r>
      <w:r>
        <w:rPr>
          <w:rStyle w:val="OperatorTok"/>
        </w:rPr>
        <w:t xml:space="preserve">+</w:t>
      </w:r>
      <w:r>
        <w:rPr>
          <w:rStyle w:val="NormalTok"/>
        </w:rPr>
        <w:t xml:space="preserve"> L, tr </w:t>
      </w:r>
      <w:r>
        <w:rPr>
          <w:rStyle w:val="OperatorTok"/>
        </w:rPr>
        <w:t xml:space="preserve">+</w:t>
      </w:r>
      <w:r>
        <w:rPr>
          <w:rStyle w:val="NormalTok"/>
        </w:rPr>
        <w:t xml:space="preserve"> d, e </w:t>
      </w:r>
      <w:r>
        <w:rPr>
          <w:rStyle w:val="OperatorTok"/>
        </w:rPr>
        <w:t xml:space="preserve">+</w:t>
      </w:r>
      <w:r>
        <w:rPr>
          <w:rStyle w:val="NormalTok"/>
        </w:rPr>
        <w:t xml:space="preserve"> L), tr </w:t>
      </w:r>
      <w:r>
        <w:rPr>
          <w:rStyle w:val="OperatorTok"/>
        </w:rPr>
        <w:t xml:space="preserve">+</w:t>
      </w:r>
      <w:r>
        <w:rPr>
          <w:rStyle w:val="NormalTok"/>
        </w:rPr>
        <w:t xml:space="preserve"> d), If(ceil, e </w:t>
      </w:r>
      <w:r>
        <w:rPr>
          <w:rStyle w:val="OperatorTok"/>
        </w:rPr>
        <w:t xml:space="preserve">+</w:t>
      </w:r>
      <w:r>
        <w:rPr>
          <w:rStyle w:val="NormalTok"/>
        </w:rPr>
        <w:t xml:space="preserve"> L,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witness </w:t>
      </w:r>
      <w:r>
        <w:rPr>
          <w:rStyle w:val="OperatorTok"/>
        </w:rPr>
        <w:t xml:space="preserve">=</w:t>
      </w:r>
      <w:r>
        <w:rPr>
          <w:rStyle w:val="NormalTok"/>
        </w:rPr>
        <w:t xml:space="preserve"> [t </w:t>
      </w:r>
      <w:r>
        <w:rPr>
          <w:rStyle w:val="OperatorTok"/>
        </w:rPr>
        <w:t xml:space="preserve">&lt;</w:t>
      </w:r>
      <w:r>
        <w:rPr>
          <w:rStyle w:val="NormalTok"/>
        </w:rPr>
        <w:t xml:space="preserve"> dl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"P1  no deadline inside window =&gt; witness trajectory satisfies C1-C3"</w:t>
      </w:r>
      <w:r>
        <w:rPr>
          <w:rStyle w:val="NormalTok"/>
        </w:rPr>
        <w:t xml:space="preserve">,</w:t>
      </w:r>
      <w:r>
        <w:br/>
      </w:r>
      <w:r>
        <w:rPr>
          <w:rStyle w:val="NormalTok"/>
        </w:rPr>
        <w:t xml:space="preserve">                    And(B, Not(inside),</w:t>
      </w:r>
      <w:r>
        <w:br/>
      </w:r>
      <w:r>
        <w:rPr>
          <w:rStyle w:val="NormalTok"/>
        </w:rPr>
        <w:t xml:space="preserve">                        Not(And(C1(witness, ta, F), C2(witness, req, tr, d), C3(witness, ceil, e, L))))))</w:t>
      </w:r>
      <w:r>
        <w:br/>
      </w:r>
      <w:r>
        <w:br/>
      </w:r>
      <w:r>
        <w:rPr>
          <w:rStyle w:val="NormalTok"/>
        </w:rPr>
        <w:t xml:space="preserve">    </w:t>
      </w:r>
      <w:r>
        <w:rPr>
          <w:rStyle w:val="CommentTok"/>
        </w:rPr>
        <w:t xml:space="preserve"># Proposition 2: under Semantics II the constructive trajectory satisfies C1, C2 and C3</w:t>
      </w:r>
      <w:r>
        <w:br/>
      </w:r>
      <w:r>
        <w:rPr>
          <w:rStyle w:val="NormalTok"/>
        </w:rPr>
        <w:t xml:space="preserve">    </w:t>
      </w:r>
      <w:r>
        <w:rPr>
          <w:rStyle w:val="CommentTok"/>
        </w:rPr>
        <w:t xml:space="preserve"># for every arrival pattern and floor. The construction keeps m_acc and c, sets alpha = 0</w:t>
      </w:r>
      <w:r>
        <w:br/>
      </w:r>
      <w:r>
        <w:rPr>
          <w:rStyle w:val="NormalTok"/>
        </w:rPr>
        <w:t xml:space="preserve">    </w:t>
      </w:r>
      <w:r>
        <w:rPr>
          <w:rStyle w:val="CommentTok"/>
        </w:rPr>
        <w:t xml:space="preserve"># and logs iota from t_I = earliest deadline, and, where a ceiling applies (SPE records</w:t>
      </w:r>
      <w:r>
        <w:br/>
      </w:r>
      <w:r>
        <w:rPr>
          <w:rStyle w:val="NormalTok"/>
        </w:rPr>
        <w:t xml:space="preserve">    </w:t>
      </w:r>
      <w:r>
        <w:rPr>
          <w:rStyle w:val="CommentTok"/>
        </w:rPr>
        <w:t xml:space="preserve"># whose subject fields it reaches), sets beta = 0 and logs iota_subj from the ceiling.</w:t>
      </w:r>
      <w:r>
        <w:br/>
      </w:r>
      <w:r>
        <w:rPr>
          <w:rStyle w:val="NormalTok"/>
        </w:rPr>
        <w:t xml:space="preserve">    tI </w:t>
      </w:r>
      <w:r>
        <w:rPr>
          <w:rStyle w:val="OperatorTok"/>
        </w:rPr>
        <w:t xml:space="preserve">=</w:t>
      </w:r>
      <w:r>
        <w:rPr>
          <w:rStyle w:val="NormalTok"/>
        </w:rPr>
        <w:t xml:space="preserve"> dl</w:t>
      </w:r>
      <w:r>
        <w:br/>
      </w:r>
      <w:r>
        <w:rPr>
          <w:rStyle w:val="NormalTok"/>
        </w:rPr>
        <w:t xml:space="preserve">    traj </w:t>
      </w:r>
      <w:r>
        <w:rPr>
          <w:rStyle w:val="OperatorTok"/>
        </w:rPr>
        <w:t xml:space="preserve">=</w:t>
      </w:r>
      <w:r>
        <w:rPr>
          <w:rStyle w:val="NormalTok"/>
        </w:rPr>
        <w:t xml:space="preserve"> [t </w:t>
      </w:r>
      <w:r>
        <w:rPr>
          <w:rStyle w:val="OperatorTok"/>
        </w:rPr>
        <w:t xml:space="preserve">&lt;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rPr>
          <w:rStyle w:val="NormalTok"/>
        </w:rPr>
        <w:t xml:space="preserve">    </w:t>
      </w:r>
      <w:r>
        <w:rPr>
          <w:rStyle w:val="KeywordTok"/>
        </w:rPr>
        <w:t xml:space="preserve">def</w:t>
      </w:r>
      <w:r>
        <w:rPr>
          <w:rStyle w:val="NormalTok"/>
        </w:rPr>
        <w:t xml:space="preserve"> sem2(macc, c, iota, beta, iota_s):</w:t>
      </w:r>
      <w:r>
        <w:br/>
      </w:r>
      <w:r>
        <w:rPr>
          <w:rStyle w:val="NormalTok"/>
        </w:rPr>
        <w:t xml:space="preserve">        V2 </w:t>
      </w:r>
      <w:r>
        <w:rPr>
          <w:rStyle w:val="OperatorTok"/>
        </w:rPr>
        <w:t xml:space="preserve">=</w:t>
      </w:r>
      <w:r>
        <w:rPr>
          <w:rStyle w:val="NormalTok"/>
        </w:rPr>
        <w:t xml:space="preserve"> [And(macc[t], c[t], Or(traj[t], iota[t]), Or(beta[t], iota_s[t]))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c1 </w:t>
      </w:r>
      <w:r>
        <w:rPr>
          <w:rStyle w:val="OperatorTok"/>
        </w:rPr>
        <w:t xml:space="preserve">=</w:t>
      </w:r>
      <w:r>
        <w:rPr>
          <w:rStyle w:val="NormalTok"/>
        </w:rPr>
        <w:t xml:space="preserve"> And([Implies(And(ta </w:t>
      </w:r>
      <w:r>
        <w:rPr>
          <w:rStyle w:val="OperatorTok"/>
        </w:rPr>
        <w:t xml:space="preserve">&lt;=</w:t>
      </w:r>
      <w:r>
        <w:rPr>
          <w:rStyle w:val="NormalTok"/>
        </w:rPr>
        <w:t xml:space="preserve"> t, t </w:t>
      </w:r>
      <w:r>
        <w:rPr>
          <w:rStyle w:val="OperatorTok"/>
        </w:rPr>
        <w:t xml:space="preserve">&lt;=</w:t>
      </w:r>
      <w:r>
        <w:rPr>
          <w:rStyle w:val="NormalTok"/>
        </w:rPr>
        <w:t xml:space="preserve"> ta </w:t>
      </w:r>
      <w:r>
        <w:rPr>
          <w:rStyle w:val="OperatorTok"/>
        </w:rPr>
        <w:t xml:space="preserve">+</w:t>
      </w:r>
      <w:r>
        <w:rPr>
          <w:rStyle w:val="NormalTok"/>
        </w:rPr>
        <w:t xml:space="preserve"> F), V2[t])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c3b </w:t>
      </w:r>
      <w:r>
        <w:rPr>
          <w:rStyle w:val="OperatorTok"/>
        </w:rPr>
        <w:t xml:space="preserve">=</w:t>
      </w:r>
      <w:r>
        <w:rPr>
          <w:rStyle w:val="NormalTok"/>
        </w:rPr>
        <w:t xml:space="preserve"> And([Implies(And(ceil, t </w:t>
      </w:r>
      <w:r>
        <w:rPr>
          <w:rStyle w:val="OperatorTok"/>
        </w:rPr>
        <w:t xml:space="preserve">&gt;=</w:t>
      </w:r>
      <w:r>
        <w:rPr>
          <w:rStyle w:val="NormalTok"/>
        </w:rPr>
        <w:t xml:space="preserve"> e </w:t>
      </w:r>
      <w:r>
        <w:rPr>
          <w:rStyle w:val="OperatorTok"/>
        </w:rPr>
        <w:t xml:space="preserve">+</w:t>
      </w:r>
      <w:r>
        <w:rPr>
          <w:rStyle w:val="NormalTok"/>
        </w:rPr>
        <w:t xml:space="preserve"> L), Not(beta[t]))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w:t>
      </w:r>
      <w:r>
        <w:rPr>
          <w:rStyle w:val="ControlFlowTok"/>
        </w:rPr>
        <w:t xml:space="preserve">return</w:t>
      </w:r>
      <w:r>
        <w:rPr>
          <w:rStyle w:val="NormalTok"/>
        </w:rPr>
        <w:t xml:space="preserve"> And(c1, C2(traj, req, tr, d), C3(traj, ceil, e, L), c3b)</w:t>
      </w:r>
      <w:r>
        <w:br/>
      </w:r>
      <w:r>
        <w:br/>
      </w:r>
      <w:r>
        <w:rPr>
          <w:rStyle w:val="NormalTok"/>
        </w:rPr>
        <w:t xml:space="preserve">    keep </w:t>
      </w:r>
      <w:r>
        <w:rPr>
          <w:rStyle w:val="OperatorTok"/>
        </w:rPr>
        <w:t xml:space="preserve">=</w:t>
      </w:r>
      <w:r>
        <w:rPr>
          <w:rStyle w:val="NormalTok"/>
        </w:rPr>
        <w:t xml:space="preserve"> [</w:t>
      </w:r>
      <w:r>
        <w:rPr>
          <w:rStyle w:val="VariableTok"/>
        </w:rPr>
        <w:t xml:space="preserve">True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iota </w:t>
      </w:r>
      <w:r>
        <w:rPr>
          <w:rStyle w:val="OperatorTok"/>
        </w:rPr>
        <w:t xml:space="preserve">=</w:t>
      </w:r>
      <w:r>
        <w:rPr>
          <w:rStyle w:val="NormalTok"/>
        </w:rPr>
        <w:t xml:space="preserve"> [t </w:t>
      </w:r>
      <w:r>
        <w:rPr>
          <w:rStyle w:val="OperatorTok"/>
        </w:rPr>
        <w:t xml:space="preserve">&gt;=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beta </w:t>
      </w:r>
      <w:r>
        <w:rPr>
          <w:rStyle w:val="OperatorTok"/>
        </w:rPr>
        <w:t xml:space="preserve">=</w:t>
      </w:r>
      <w:r>
        <w:rPr>
          <w:rStyle w:val="NormalTok"/>
        </w:rPr>
        <w:t xml:space="preserve"> [Or(Not(ceil), t </w:t>
      </w:r>
      <w:r>
        <w:rPr>
          <w:rStyle w:val="OperatorTok"/>
        </w:rPr>
        <w:t xml:space="preserve">&lt;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iota_s </w:t>
      </w:r>
      <w:r>
        <w:rPr>
          <w:rStyle w:val="OperatorTok"/>
        </w:rPr>
        <w:t xml:space="preserve">=</w:t>
      </w:r>
      <w:r>
        <w:rPr>
          <w:rStyle w:val="NormalTok"/>
        </w:rPr>
        <w:t xml:space="preserve"> [And(ceil, t </w:t>
      </w:r>
      <w:r>
        <w:rPr>
          <w:rStyle w:val="OperatorTok"/>
        </w:rPr>
        <w:t xml:space="preserve">&gt;=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"P2  constructive trajectory satisfies C1 (Sem II), C2, C3 for all inputs"</w:t>
      </w:r>
      <w:r>
        <w:rPr>
          <w:rStyle w:val="NormalTok"/>
        </w:rPr>
        <w:t xml:space="preserve">,</w:t>
      </w:r>
      <w:r>
        <w:br/>
      </w:r>
      <w:r>
        <w:rPr>
          <w:rStyle w:val="NormalTok"/>
        </w:rPr>
        <w:t xml:space="preserve">                    And(B, Not(sem2(keep, keep, iota, beta, iota_s)))))</w:t>
      </w:r>
      <w:r>
        <w:br/>
      </w:r>
      <w:r>
        <w:rPr>
          <w:rStyle w:val="NormalTok"/>
        </w:rPr>
        <w:t xml:space="preserve">    </w:t>
      </w:r>
      <w:r>
        <w:rPr>
          <w:rStyle w:val="CommentTok"/>
        </w:rPr>
        <w:t xml:space="preserve"># Mutations of the construction must be refuted (sat): no invalidation entry; the</w:t>
      </w:r>
      <w:r>
        <w:br/>
      </w:r>
      <w:r>
        <w:rPr>
          <w:rStyle w:val="NormalTok"/>
        </w:rPr>
        <w:t xml:space="preserve">    </w:t>
      </w:r>
      <w:r>
        <w:rPr>
          <w:rStyle w:val="CommentTok"/>
        </w:rPr>
        <w:t xml:space="preserve"># commitment removed at t_I; the subject link removed without its entry.</w:t>
      </w:r>
      <w:r>
        <w:br/>
      </w:r>
      <w:r>
        <w:rPr>
          <w:rStyle w:val="NormalTok"/>
        </w:rPr>
        <w:t xml:space="preserve">    mut2 </w:t>
      </w:r>
      <w:r>
        <w:rPr>
          <w:rStyle w:val="OperatorTok"/>
        </w:rPr>
        <w:t xml:space="preserve">=</w:t>
      </w:r>
      <w:r>
        <w:rPr>
          <w:rStyle w:val="NormalTok"/>
        </w:rPr>
        <w:t xml:space="preserve"> [Solver()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mut2[</w:t>
      </w:r>
      <w:r>
        <w:rPr>
          <w:rStyle w:val="DecValTok"/>
        </w:rPr>
        <w:t xml:space="preserve">0</w:t>
      </w:r>
      <w:r>
        <w:rPr>
          <w:rStyle w:val="NormalTok"/>
        </w:rPr>
        <w:t xml:space="preserve">].add(B, Not(sem2(keep, keep, [</w:t>
      </w:r>
      <w:r>
        <w:rPr>
          <w:rStyle w:val="VariableTok"/>
        </w:rPr>
        <w:t xml:space="preserve">False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 beta, iota_s)))</w:t>
      </w:r>
      <w:r>
        <w:br/>
      </w:r>
      <w:r>
        <w:rPr>
          <w:rStyle w:val="NormalTok"/>
        </w:rPr>
        <w:t xml:space="preserve">    mut2[</w:t>
      </w:r>
      <w:r>
        <w:rPr>
          <w:rStyle w:val="DecValTok"/>
        </w:rPr>
        <w:t xml:space="preserve">1</w:t>
      </w:r>
      <w:r>
        <w:rPr>
          <w:rStyle w:val="NormalTok"/>
        </w:rPr>
        <w:t xml:space="preserve">].add(B, Not(sem2(keep, [t </w:t>
      </w:r>
      <w:r>
        <w:rPr>
          <w:rStyle w:val="OperatorTok"/>
        </w:rPr>
        <w:t xml:space="preserve">&lt;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 iota, beta, iota_s)))</w:t>
      </w:r>
      <w:r>
        <w:br/>
      </w:r>
      <w:r>
        <w:rPr>
          <w:rStyle w:val="NormalTok"/>
        </w:rPr>
        <w:t xml:space="preserve">    mut2[</w:t>
      </w:r>
      <w:r>
        <w:rPr>
          <w:rStyle w:val="DecValTok"/>
        </w:rPr>
        <w:t xml:space="preserve">2</w:t>
      </w:r>
      <w:r>
        <w:rPr>
          <w:rStyle w:val="NormalTok"/>
        </w:rPr>
        <w:t xml:space="preserve">].add(B, Not(sem2(keep, keep, iota, beta, [</w:t>
      </w:r>
      <w:r>
        <w:rPr>
          <w:rStyle w:val="VariableTok"/>
        </w:rPr>
        <w:t xml:space="preserve">False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m2ok </w:t>
      </w:r>
      <w:r>
        <w:rPr>
          <w:rStyle w:val="OperatorTok"/>
        </w:rPr>
        <w:t xml:space="preserve">=</w:t>
      </w:r>
      <w:r>
        <w:rPr>
          <w:rStyle w:val="NormalTok"/>
        </w:rPr>
        <w:t xml:space="preserve"> </w:t>
      </w:r>
      <w:r>
        <w:rPr>
          <w:rStyle w:val="BuiltInTok"/>
        </w:rPr>
        <w:t xml:space="preserve">all</w:t>
      </w:r>
      <w:r>
        <w:rPr>
          <w:rStyle w:val="NormalTok"/>
        </w:rPr>
        <w:t xml:space="preserve">(m.check() </w:t>
      </w:r>
      <w:r>
        <w:rPr>
          <w:rStyle w:val="OperatorTok"/>
        </w:rPr>
        <w:t xml:space="preserve">==</w:t>
      </w:r>
      <w:r>
        <w:rPr>
          <w:rStyle w:val="NormalTok"/>
        </w:rPr>
        <w:t xml:space="preserve"> sat </w:t>
      </w:r>
      <w:r>
        <w:rPr>
          <w:rStyle w:val="ControlFlowTok"/>
        </w:rPr>
        <w:t xml:space="preserve">for</w:t>
      </w:r>
      <w:r>
        <w:rPr>
          <w:rStyle w:val="NormalTok"/>
        </w:rPr>
        <w:t xml:space="preserve"> m </w:t>
      </w:r>
      <w:r>
        <w:rPr>
          <w:rStyle w:val="KeywordTok"/>
        </w:rPr>
        <w:t xml:space="preserve">in</w:t>
      </w:r>
      <w:r>
        <w:rPr>
          <w:rStyle w:val="NormalTok"/>
        </w:rPr>
        <w:t xml:space="preserve"> mut2)</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'mutation: construction without iota / without c / without iota_subj refuted'</w:t>
      </w:r>
      <w:r>
        <w:rPr>
          <w:rStyle w:val="SpecialCharTok"/>
        </w:rPr>
        <w:t xml:space="preserve">:&lt;74}</w:t>
      </w:r>
      <w:r>
        <w:rPr>
          <w:rStyle w:val="SpecialStringTok"/>
        </w:rPr>
        <w:t xml:space="preserve"> </w:t>
      </w:r>
      <w:r>
        <w:rPr>
          <w:rStyle w:val="SpecialCharTok"/>
        </w:rPr>
        <w:t xml:space="preserve">{</w:t>
      </w:r>
      <w:r>
        <w:rPr>
          <w:rStyle w:val="StringTok"/>
        </w:rPr>
        <w:t xml:space="preserve">'sat, counterexamples found (as expected)'</w:t>
      </w:r>
      <w:r>
        <w:rPr>
          <w:rStyle w:val="NormalTok"/>
        </w:rPr>
        <w:t xml:space="preserve"> </w:t>
      </w:r>
      <w:r>
        <w:rPr>
          <w:rStyle w:val="ControlFlowTok"/>
        </w:rPr>
        <w:t xml:space="preserve">if</w:t>
      </w:r>
      <w:r>
        <w:rPr>
          <w:rStyle w:val="NormalTok"/>
        </w:rPr>
        <w:t xml:space="preserve"> m2ok </w:t>
      </w:r>
      <w:r>
        <w:rPr>
          <w:rStyle w:val="ControlFlowTok"/>
        </w:rPr>
        <w:t xml:space="preserve">else</w:t>
      </w:r>
      <w:r>
        <w:rPr>
          <w:rStyle w:val="NormalTok"/>
        </w:rPr>
        <w:t xml:space="preserve"> </w:t>
      </w:r>
      <w:r>
        <w:rPr>
          <w:rStyle w:val="StringTok"/>
        </w:rPr>
        <w:t xml:space="preserve">'UNSAT: check insensitive'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Proposition 3: floor F from t_a, ceiling L from e &gt;= t_a, Semantics I.</w:t>
      </w:r>
      <w:r>
        <w:br/>
      </w:r>
      <w:r>
        <w:rPr>
          <w:rStyle w:val="NormalTok"/>
        </w:rPr>
        <w:t xml:space="preserve">    </w:t>
      </w:r>
      <w:r>
        <w:rPr>
          <w:rStyle w:val="CommentTok"/>
        </w:rPr>
        <w:t xml:space="preserve"># (a) collision whenever e + L &lt;= t_a + F: no trajectory satisfies floor and ceiling.</w:t>
      </w:r>
      <w:r>
        <w:br/>
      </w:r>
      <w:r>
        <w:rPr>
          <w:rStyle w:val="NormalTok"/>
        </w:rPr>
        <w:t xml:space="preserve">    both </w:t>
      </w:r>
      <w:r>
        <w:rPr>
          <w:rStyle w:val="OperatorTok"/>
        </w:rPr>
        <w:t xml:space="preserve">=</w:t>
      </w:r>
      <w:r>
        <w:rPr>
          <w:rStyle w:val="NormalTok"/>
        </w:rPr>
        <w:t xml:space="preserve"> And(C1(alpha, ta, F), C3(alpha, </w:t>
      </w:r>
      <w:r>
        <w:rPr>
          <w:rStyle w:val="VariableTok"/>
        </w:rPr>
        <w:t xml:space="preserve">True</w:t>
      </w:r>
      <w:r>
        <w:rPr>
          <w:rStyle w:val="NormalTok"/>
        </w:rPr>
        <w:t xml:space="preserve">, e, L))</w:t>
      </w:r>
      <w:r>
        <w:br/>
      </w:r>
      <w:r>
        <w:rPr>
          <w:rStyle w:val="NormalTok"/>
        </w:rPr>
        <w:t xml:space="preserve">    ok.append(check(</w:t>
      </w:r>
      <w:r>
        <w:rPr>
          <w:rStyle w:val="StringTok"/>
        </w:rPr>
        <w:t xml:space="preserve">"P3  e + L &lt;= t_a + F =&gt; floor and ceiling not jointly satisfiable"</w:t>
      </w:r>
      <w:r>
        <w:rPr>
          <w:rStyle w:val="NormalTok"/>
        </w:rPr>
        <w:t xml:space="preserve">,</w:t>
      </w:r>
      <w:r>
        <w:br/>
      </w:r>
      <w:r>
        <w:rPr>
          <w:rStyle w:val="NormalTok"/>
        </w:rPr>
        <w:t xml:space="preserve">                    And(B,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 both)))</w:t>
      </w:r>
      <w:r>
        <w:br/>
      </w:r>
      <w:r>
        <w:rPr>
          <w:rStyle w:val="NormalTok"/>
        </w:rPr>
        <w:t xml:space="preserve">    </w:t>
      </w:r>
      <w:r>
        <w:rPr>
          <w:rStyle w:val="CommentTok"/>
        </w:rPr>
        <w:t xml:space="preserve"># (b) no collision whenever e + L &gt; t_a + F: accessible-until-(e+L) satisfies both.</w:t>
      </w:r>
      <w:r>
        <w:br/>
      </w:r>
      <w:r>
        <w:rPr>
          <w:rStyle w:val="NormalTok"/>
        </w:rPr>
        <w:t xml:space="preserve">    w3 </w:t>
      </w:r>
      <w:r>
        <w:rPr>
          <w:rStyle w:val="OperatorTok"/>
        </w:rPr>
        <w:t xml:space="preserve">=</w:t>
      </w:r>
      <w:r>
        <w:rPr>
          <w:rStyle w:val="NormalTok"/>
        </w:rPr>
        <w:t xml:space="preserve"> [t </w:t>
      </w:r>
      <w:r>
        <w:rPr>
          <w:rStyle w:val="OperatorTok"/>
        </w:rPr>
        <w:t xml:space="preserve">&lt;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"P3  e + L &gt; t_a + F =&gt; witness satisfies floor and ceiling"</w:t>
      </w:r>
      <w:r>
        <w:rPr>
          <w:rStyle w:val="NormalTok"/>
        </w:rPr>
        <w:t xml:space="preserve">,</w:t>
      </w:r>
      <w:r>
        <w:br/>
      </w:r>
      <w:r>
        <w:rPr>
          <w:rStyle w:val="NormalTok"/>
        </w:rPr>
        <w:t xml:space="preserve">                    And(B, e </w:t>
      </w:r>
      <w:r>
        <w:rPr>
          <w:rStyle w:val="OperatorTok"/>
        </w:rPr>
        <w:t xml:space="preserve">+</w:t>
      </w:r>
      <w:r>
        <w:rPr>
          <w:rStyle w:val="NormalTok"/>
        </w:rPr>
        <w:t xml:space="preserve"> L </w:t>
      </w:r>
      <w:r>
        <w:rPr>
          <w:rStyle w:val="OperatorTok"/>
        </w:rPr>
        <w:t xml:space="preserve">&gt;</w:t>
      </w:r>
      <w:r>
        <w:rPr>
          <w:rStyle w:val="NormalTok"/>
        </w:rPr>
        <w:t xml:space="preserve"> ta </w:t>
      </w:r>
      <w:r>
        <w:rPr>
          <w:rStyle w:val="OperatorTok"/>
        </w:rPr>
        <w:t xml:space="preserve">+</w:t>
      </w:r>
      <w:r>
        <w:rPr>
          <w:rStyle w:val="NormalTok"/>
        </w:rPr>
        <w:t xml:space="preserve"> F, Not(And(C1(w3, ta, F), C3(w3, </w:t>
      </w:r>
      <w:r>
        <w:rPr>
          <w:rStyle w:val="VariableTok"/>
        </w:rPr>
        <w:t xml:space="preserve">True</w:t>
      </w:r>
      <w:r>
        <w:rPr>
          <w:rStyle w:val="NormalTok"/>
        </w:rPr>
        <w:t xml:space="preserve">, e, L))))))</w:t>
      </w:r>
      <w:r>
        <w:br/>
      </w:r>
      <w:r>
        <w:rPr>
          <w:rStyle w:val="NormalTok"/>
        </w:rPr>
        <w:t xml:space="preserve">    </w:t>
      </w:r>
      <w:r>
        <w:rPr>
          <w:rStyle w:val="CommentTok"/>
        </w:rPr>
        <w:t xml:space="preserve"># (i) same anchor (e = t_a): satisfiable for the record iff L &gt; F.</w:t>
      </w:r>
      <w:r>
        <w:br/>
      </w:r>
      <w:r>
        <w:rPr>
          <w:rStyle w:val="NormalTok"/>
        </w:rPr>
        <w:t xml:space="preserve">    ok.append(check(</w:t>
      </w:r>
      <w:r>
        <w:rPr>
          <w:rStyle w:val="StringTok"/>
        </w:rPr>
        <w:t xml:space="preserve">"P3(i)  e = t_a: jointly satisfiable only if L &gt; F"</w:t>
      </w:r>
      <w:r>
        <w:rPr>
          <w:rStyle w:val="NormalTok"/>
        </w:rPr>
        <w:t xml:space="preserve">,</w:t>
      </w:r>
      <w:r>
        <w:br/>
      </w:r>
      <w:r>
        <w:rPr>
          <w:rStyle w:val="NormalTok"/>
        </w:rPr>
        <w:t xml:space="preserve">                    And(B, e </w:t>
      </w:r>
      <w:r>
        <w:rPr>
          <w:rStyle w:val="OperatorTok"/>
        </w:rPr>
        <w:t xml:space="preserve">==</w:t>
      </w:r>
      <w:r>
        <w:rPr>
          <w:rStyle w:val="NormalTok"/>
        </w:rPr>
        <w:t xml:space="preserve"> ta, L </w:t>
      </w:r>
      <w:r>
        <w:rPr>
          <w:rStyle w:val="OperatorTok"/>
        </w:rPr>
        <w:t xml:space="preserve">&lt;=</w:t>
      </w:r>
      <w:r>
        <w:rPr>
          <w:rStyle w:val="NormalTok"/>
        </w:rPr>
        <w:t xml:space="preserve"> F, both)))</w:t>
      </w:r>
      <w:r>
        <w:br/>
      </w:r>
      <w:r>
        <w:rPr>
          <w:rStyle w:val="NormalTok"/>
        </w:rPr>
        <w:t xml:space="preserve">    ok.append(check(</w:t>
      </w:r>
      <w:r>
        <w:rPr>
          <w:rStyle w:val="StringTok"/>
        </w:rPr>
        <w:t xml:space="preserve">"P3(i)  e = t_a and L &gt; F: witness satisfies floor and ceiling"</w:t>
      </w:r>
      <w:r>
        <w:rPr>
          <w:rStyle w:val="NormalTok"/>
        </w:rPr>
        <w:t xml:space="preserve">,</w:t>
      </w:r>
      <w:r>
        <w:br/>
      </w:r>
      <w:r>
        <w:rPr>
          <w:rStyle w:val="NormalTok"/>
        </w:rPr>
        <w:t xml:space="preserve">                    And(B, e </w:t>
      </w:r>
      <w:r>
        <w:rPr>
          <w:rStyle w:val="OperatorTok"/>
        </w:rPr>
        <w:t xml:space="preserve">==</w:t>
      </w:r>
      <w:r>
        <w:rPr>
          <w:rStyle w:val="NormalTok"/>
        </w:rPr>
        <w:t xml:space="preserve"> ta, L </w:t>
      </w:r>
      <w:r>
        <w:rPr>
          <w:rStyle w:val="OperatorTok"/>
        </w:rPr>
        <w:t xml:space="preserve">&gt;</w:t>
      </w:r>
      <w:r>
        <w:rPr>
          <w:rStyle w:val="NormalTok"/>
        </w:rPr>
        <w:t xml:space="preserve"> F, Not(And(C1(w3, ta, F), C3(w3, </w:t>
      </w:r>
      <w:r>
        <w:rPr>
          <w:rStyle w:val="VariableTok"/>
        </w:rPr>
        <w:t xml:space="preserve">True</w:t>
      </w:r>
      <w:r>
        <w:rPr>
          <w:rStyle w:val="NormalTok"/>
        </w:rPr>
        <w:t xml:space="preserve">, e, L))))))</w:t>
      </w:r>
      <w:r>
        <w:br/>
      </w:r>
      <w:r>
        <w:rPr>
          <w:rStyle w:val="NormalTok"/>
        </w:rPr>
        <w:t xml:space="preserve">    </w:t>
      </w:r>
      <w:r>
        <w:rPr>
          <w:rStyle w:val="CommentTok"/>
        </w:rPr>
        <w:t xml:space="preserve"># (ii) external anchor with L &lt;= F: collision exactly when e - t_a &lt;= F - L.</w:t>
      </w:r>
      <w:r>
        <w:br/>
      </w:r>
      <w:r>
        <w:rPr>
          <w:rStyle w:val="NormalTok"/>
        </w:rPr>
        <w:t xml:space="preserve">    ok.append(check(</w:t>
      </w:r>
      <w:r>
        <w:rPr>
          <w:rStyle w:val="StringTok"/>
        </w:rPr>
        <w:t xml:space="preserve">"P3(ii) L &lt;= F, e - t_a &lt;= F - L =&gt; collision"</w:t>
      </w:r>
      <w:r>
        <w:rPr>
          <w:rStyle w:val="NormalTok"/>
        </w:rPr>
        <w:t xml:space="preserve">,</w:t>
      </w:r>
      <w:r>
        <w:br/>
      </w:r>
      <w:r>
        <w:rPr>
          <w:rStyle w:val="NormalTok"/>
        </w:rPr>
        <w:t xml:space="preserve">                    And(B, L </w:t>
      </w:r>
      <w:r>
        <w:rPr>
          <w:rStyle w:val="OperatorTok"/>
        </w:rPr>
        <w:t xml:space="preserve">&lt;=</w:t>
      </w:r>
      <w:r>
        <w:rPr>
          <w:rStyle w:val="NormalTok"/>
        </w:rPr>
        <w:t xml:space="preserve"> F, e </w:t>
      </w:r>
      <w:r>
        <w:rPr>
          <w:rStyle w:val="OperatorTok"/>
        </w:rPr>
        <w:t xml:space="preserve">-</w:t>
      </w:r>
      <w:r>
        <w:rPr>
          <w:rStyle w:val="NormalTok"/>
        </w:rPr>
        <w:t xml:space="preserve"> ta </w:t>
      </w:r>
      <w:r>
        <w:rPr>
          <w:rStyle w:val="OperatorTok"/>
        </w:rPr>
        <w:t xml:space="preserve">&lt;=</w:t>
      </w:r>
      <w:r>
        <w:rPr>
          <w:rStyle w:val="NormalTok"/>
        </w:rPr>
        <w:t xml:space="preserve"> F </w:t>
      </w:r>
      <w:r>
        <w:rPr>
          <w:rStyle w:val="OperatorTok"/>
        </w:rPr>
        <w:t xml:space="preserve">-</w:t>
      </w:r>
      <w:r>
        <w:rPr>
          <w:rStyle w:val="NormalTok"/>
        </w:rPr>
        <w:t xml:space="preserve"> L, both)))</w:t>
      </w:r>
      <w:r>
        <w:br/>
      </w:r>
      <w:r>
        <w:rPr>
          <w:rStyle w:val="NormalTok"/>
        </w:rPr>
        <w:t xml:space="preserve">    ok.append(check(</w:t>
      </w:r>
      <w:r>
        <w:rPr>
          <w:rStyle w:val="StringTok"/>
        </w:rPr>
        <w:t xml:space="preserve">"P3(ii) L &lt;= F, e - t_a &gt;  F - L =&gt; witness satisfies both"</w:t>
      </w:r>
      <w:r>
        <w:rPr>
          <w:rStyle w:val="NormalTok"/>
        </w:rPr>
        <w:t xml:space="preserve">,</w:t>
      </w:r>
      <w:r>
        <w:br/>
      </w:r>
      <w:r>
        <w:rPr>
          <w:rStyle w:val="NormalTok"/>
        </w:rPr>
        <w:t xml:space="preserve">                    And(B, L </w:t>
      </w:r>
      <w:r>
        <w:rPr>
          <w:rStyle w:val="OperatorTok"/>
        </w:rPr>
        <w:t xml:space="preserve">&lt;=</w:t>
      </w:r>
      <w:r>
        <w:rPr>
          <w:rStyle w:val="NormalTok"/>
        </w:rPr>
        <w:t xml:space="preserve"> F, e </w:t>
      </w:r>
      <w:r>
        <w:rPr>
          <w:rStyle w:val="OperatorTok"/>
        </w:rPr>
        <w:t xml:space="preserve">-</w:t>
      </w:r>
      <w:r>
        <w:rPr>
          <w:rStyle w:val="NormalTok"/>
        </w:rPr>
        <w:t xml:space="preserve"> ta </w:t>
      </w:r>
      <w:r>
        <w:rPr>
          <w:rStyle w:val="OperatorTok"/>
        </w:rPr>
        <w:t xml:space="preserve">&gt;</w:t>
      </w:r>
      <w:r>
        <w:rPr>
          <w:rStyle w:val="NormalTok"/>
        </w:rPr>
        <w:t xml:space="preserve"> F </w:t>
      </w:r>
      <w:r>
        <w:rPr>
          <w:rStyle w:val="OperatorTok"/>
        </w:rPr>
        <w:t xml:space="preserve">-</w:t>
      </w:r>
      <w:r>
        <w:rPr>
          <w:rStyle w:val="NormalTok"/>
        </w:rPr>
        <w:t xml:space="preserve"> L, Not(And(C1(w3, ta, F), C3(w3, </w:t>
      </w:r>
      <w:r>
        <w:rPr>
          <w:rStyle w:val="VariableTok"/>
        </w:rPr>
        <w:t xml:space="preserve">True</w:t>
      </w:r>
      <w:r>
        <w:rPr>
          <w:rStyle w:val="NormalTok"/>
        </w:rPr>
        <w:t xml:space="preserve">, e, L))))))</w:t>
      </w:r>
      <w:r>
        <w:br/>
      </w:r>
      <w:r>
        <w:br/>
      </w:r>
      <w:r>
        <w:rPr>
          <w:rStyle w:val="NormalTok"/>
        </w:rPr>
        <w:t xml:space="preserve">    </w:t>
      </w:r>
      <w:r>
        <w:rPr>
          <w:rStyle w:val="CommentTok"/>
        </w:rPr>
        <w:t xml:space="preserve"># Sanity: the encoding can return sat, so unsat above is not an artefact of a broken model.</w:t>
      </w:r>
      <w:r>
        <w:br/>
      </w:r>
      <w:r>
        <w:rPr>
          <w:rStyle w:val="NormalTok"/>
        </w:rPr>
        <w:t xml:space="preserve">    s </w:t>
      </w:r>
      <w:r>
        <w:rPr>
          <w:rStyle w:val="OperatorTok"/>
        </w:rPr>
        <w:t xml:space="preserve">=</w:t>
      </w:r>
      <w:r>
        <w:rPr>
          <w:rStyle w:val="NormalTok"/>
        </w:rPr>
        <w:t xml:space="preserve"> Solver()</w:t>
      </w:r>
      <w:r>
        <w:rPr>
          <w:rStyle w:val="OperatorTok"/>
        </w:rPr>
        <w:t xml:space="preserve">;</w:t>
      </w:r>
      <w:r>
        <w:rPr>
          <w:rStyle w:val="NormalTok"/>
        </w:rPr>
        <w:t xml:space="preserve"> s.add(B, Not(req), Not(ceil), C1(alpha, ta, F))</w:t>
      </w:r>
      <w:r>
        <w:br/>
      </w:r>
      <w:r>
        <w:rPr>
          <w:rStyle w:val="NormalTok"/>
        </w:rPr>
        <w:t xml:space="preserve">    sanity </w:t>
      </w:r>
      <w:r>
        <w:rPr>
          <w:rStyle w:val="OperatorTok"/>
        </w:rPr>
        <w:t xml:space="preserve">=</w:t>
      </w:r>
      <w:r>
        <w:rPr>
          <w:rStyle w:val="NormalTok"/>
        </w:rPr>
        <w:t xml:space="preserve"> s.check() </w:t>
      </w:r>
      <w:r>
        <w:rPr>
          <w:rStyle w:val="OperatorTok"/>
        </w:rPr>
        <w:t xml:space="preserve">==</w:t>
      </w:r>
      <w:r>
        <w:rPr>
          <w:rStyle w:val="NormalTok"/>
        </w:rPr>
        <w:t xml:space="preserve"> sat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'sanity: no request, no ceiling =&gt; some trajectory satisfies C1'</w:t>
      </w:r>
      <w:r>
        <w:rPr>
          <w:rStyle w:val="SpecialCharTok"/>
        </w:rPr>
        <w:t xml:space="preserve">:&lt;74}</w:t>
      </w:r>
      <w:r>
        <w:rPr>
          <w:rStyle w:val="SpecialStringTok"/>
        </w:rPr>
        <w:t xml:space="preserve"> </w:t>
      </w:r>
      <w:r>
        <w:rPr>
          <w:rStyle w:val="SpecialCharTok"/>
        </w:rPr>
        <w:t xml:space="preserve">{</w:t>
      </w:r>
      <w:r>
        <w:rPr>
          <w:rStyle w:val="StringTok"/>
        </w:rPr>
        <w:t xml:space="preserve">'sat (as expected)'</w:t>
      </w:r>
      <w:r>
        <w:rPr>
          <w:rStyle w:val="NormalTok"/>
        </w:rPr>
        <w:t xml:space="preserve"> </w:t>
      </w:r>
      <w:r>
        <w:rPr>
          <w:rStyle w:val="ControlFlowTok"/>
        </w:rPr>
        <w:t xml:space="preserve">if</w:t>
      </w:r>
      <w:r>
        <w:rPr>
          <w:rStyle w:val="NormalTok"/>
        </w:rPr>
        <w:t xml:space="preserve"> sanity </w:t>
      </w:r>
      <w:r>
        <w:rPr>
          <w:rStyle w:val="ControlFlowTok"/>
        </w:rPr>
        <w:t xml:space="preserve">else</w:t>
      </w:r>
      <w:r>
        <w:rPr>
          <w:rStyle w:val="NormalTok"/>
        </w:rPr>
        <w:t xml:space="preserve"> </w:t>
      </w:r>
      <w:r>
        <w:rPr>
          <w:rStyle w:val="StringTok"/>
        </w:rPr>
        <w:t xml:space="preserve">'UNSAT: encoding broken'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Mutation checks: deliberately wrong versions of Proposition 3 must be refuted (sat),</w:t>
      </w:r>
      <w:r>
        <w:br/>
      </w:r>
      <w:r>
        <w:rPr>
          <w:rStyle w:val="NormalTok"/>
        </w:rPr>
        <w:t xml:space="preserve">    </w:t>
      </w:r>
      <w:r>
        <w:rPr>
          <w:rStyle w:val="CommentTok"/>
        </w:rPr>
        <w:t xml:space="preserve"># showing the checks are sensitive to an off-by-one in the condition.</w:t>
      </w:r>
      <w:r>
        <w:br/>
      </w:r>
      <w:r>
        <w:rPr>
          <w:rStyle w:val="NormalTok"/>
        </w:rPr>
        <w:t xml:space="preserve">    m1 </w:t>
      </w:r>
      <w:r>
        <w:rPr>
          <w:rStyle w:val="OperatorTok"/>
        </w:rPr>
        <w:t xml:space="preserve">=</w:t>
      </w:r>
      <w:r>
        <w:rPr>
          <w:rStyle w:val="NormalTok"/>
        </w:rPr>
        <w:t xml:space="preserve"> Solver()</w:t>
      </w:r>
      <w:r>
        <w:rPr>
          <w:rStyle w:val="OperatorTok"/>
        </w:rPr>
        <w:t xml:space="preserve">;</w:t>
      </w:r>
      <w:r>
        <w:rPr>
          <w:rStyle w:val="NormalTok"/>
        </w:rPr>
        <w:t xml:space="preserve"> m1.add(B,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 both)       </w:t>
      </w:r>
      <w:r>
        <w:rPr>
          <w:rStyle w:val="CommentTok"/>
        </w:rPr>
        <w:t xml:space="preserve"># claims collision one month too late</w:t>
      </w:r>
      <w:r>
        <w:br/>
      </w:r>
      <w:r>
        <w:rPr>
          <w:rStyle w:val="NormalTok"/>
        </w:rPr>
        <w:t xml:space="preserve">    m2 </w:t>
      </w:r>
      <w:r>
        <w:rPr>
          <w:rStyle w:val="OperatorTok"/>
        </w:rPr>
        <w:t xml:space="preserve">=</w:t>
      </w:r>
      <w:r>
        <w:rPr>
          <w:rStyle w:val="NormalTok"/>
        </w:rPr>
        <w:t xml:space="preserve"> Solver()</w:t>
      </w:r>
      <w:r>
        <w:rPr>
          <w:rStyle w:val="OperatorTok"/>
        </w:rPr>
        <w:t xml:space="preserve">;</w:t>
      </w:r>
      <w:r>
        <w:rPr>
          <w:rStyle w:val="NormalTok"/>
        </w:rPr>
        <w:t xml:space="preserve"> m2.add(B, e </w:t>
      </w:r>
      <w:r>
        <w:rPr>
          <w:rStyle w:val="OperatorTok"/>
        </w:rPr>
        <w:t xml:space="preserve">+</w:t>
      </w:r>
      <w:r>
        <w:rPr>
          <w:rStyle w:val="NormalTok"/>
        </w:rPr>
        <w:t xml:space="preserve"> L </w:t>
      </w:r>
      <w:r>
        <w:rPr>
          <w:rStyle w:val="OperatorTok"/>
        </w:rPr>
        <w:t xml:space="preserve">&gt;</w:t>
      </w:r>
      <w:r>
        <w:rPr>
          <w:rStyle w:val="NormalTok"/>
        </w:rPr>
        <w:t xml:space="preserve"> ta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 Not(And(C1(w3, ta, F), C3(w3, </w:t>
      </w:r>
      <w:r>
        <w:rPr>
          <w:rStyle w:val="VariableTok"/>
        </w:rPr>
        <w:t xml:space="preserve">True</w:t>
      </w:r>
      <w:r>
        <w:rPr>
          <w:rStyle w:val="NormalTok"/>
        </w:rPr>
        <w:t xml:space="preserve">, e, L))))</w:t>
      </w:r>
      <w:r>
        <w:br/>
      </w:r>
      <w:r>
        <w:rPr>
          <w:rStyle w:val="NormalTok"/>
        </w:rPr>
        <w:t xml:space="preserve">    mut </w:t>
      </w:r>
      <w:r>
        <w:rPr>
          <w:rStyle w:val="OperatorTok"/>
        </w:rPr>
        <w:t xml:space="preserve">=</w:t>
      </w:r>
      <w:r>
        <w:rPr>
          <w:rStyle w:val="NormalTok"/>
        </w:rPr>
        <w:t xml:space="preserve"> m1.check() </w:t>
      </w:r>
      <w:r>
        <w:rPr>
          <w:rStyle w:val="OperatorTok"/>
        </w:rPr>
        <w:t xml:space="preserve">==</w:t>
      </w:r>
      <w:r>
        <w:rPr>
          <w:rStyle w:val="NormalTok"/>
        </w:rPr>
        <w:t xml:space="preserve"> sat </w:t>
      </w:r>
      <w:r>
        <w:rPr>
          <w:rStyle w:val="KeywordTok"/>
        </w:rPr>
        <w:t xml:space="preserve">and</w:t>
      </w:r>
      <w:r>
        <w:rPr>
          <w:rStyle w:val="NormalTok"/>
        </w:rPr>
        <w:t xml:space="preserve"> m2.check() </w:t>
      </w:r>
      <w:r>
        <w:rPr>
          <w:rStyle w:val="OperatorTok"/>
        </w:rPr>
        <w:t xml:space="preserve">==</w:t>
      </w:r>
      <w:r>
        <w:rPr>
          <w:rStyle w:val="NormalTok"/>
        </w:rPr>
        <w:t xml:space="preserve"> sat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'mutation: Proposition 3 with an off-by-one condition is refuted'</w:t>
      </w:r>
      <w:r>
        <w:rPr>
          <w:rStyle w:val="SpecialCharTok"/>
        </w:rPr>
        <w:t xml:space="preserve">:&lt;74}</w:t>
      </w:r>
      <w:r>
        <w:rPr>
          <w:rStyle w:val="SpecialStringTok"/>
        </w:rPr>
        <w:t xml:space="preserve"> </w:t>
      </w:r>
      <w:r>
        <w:rPr>
          <w:rStyle w:val="SpecialCharTok"/>
        </w:rPr>
        <w:t xml:space="preserve">{</w:t>
      </w:r>
      <w:r>
        <w:rPr>
          <w:rStyle w:val="StringTok"/>
        </w:rPr>
        <w:t xml:space="preserve">'sat, counterexample found (as expected)'</w:t>
      </w:r>
      <w:r>
        <w:rPr>
          <w:rStyle w:val="NormalTok"/>
        </w:rPr>
        <w:t xml:space="preserve"> </w:t>
      </w:r>
      <w:r>
        <w:rPr>
          <w:rStyle w:val="ControlFlowTok"/>
        </w:rPr>
        <w:t xml:space="preserve">if</w:t>
      </w:r>
      <w:r>
        <w:rPr>
          <w:rStyle w:val="NormalTok"/>
        </w:rPr>
        <w:t xml:space="preserve"> mut </w:t>
      </w:r>
      <w:r>
        <w:rPr>
          <w:rStyle w:val="ControlFlowTok"/>
        </w:rPr>
        <w:t xml:space="preserve">else</w:t>
      </w:r>
      <w:r>
        <w:rPr>
          <w:rStyle w:val="NormalTok"/>
        </w:rPr>
        <w:t xml:space="preserve"> </w:t>
      </w:r>
      <w:r>
        <w:rPr>
          <w:rStyle w:val="StringTok"/>
        </w:rPr>
        <w:t xml:space="preserve">'UNSAT: checks insensitive'</w:t>
      </w:r>
      <w:r>
        <w:rPr>
          <w:rStyle w:val="SpecialCharTok"/>
        </w:rPr>
        <w:t xml:space="preserve">}</w:t>
      </w:r>
      <w:r>
        <w:rPr>
          <w:rStyle w:val="SpecialStringTok"/>
        </w:rPr>
        <w:t xml:space="preserve">"</w:t>
      </w:r>
      <w:r>
        <w:rPr>
          <w:rStyle w:val="NormalTok"/>
        </w:rPr>
        <w:t xml:space="preserve">)</w:t>
      </w:r>
      <w:r>
        <w:br/>
      </w:r>
      <w:r>
        <w:rPr>
          <w:rStyle w:val="NormalTok"/>
        </w:rPr>
        <w:t xml:space="preserve">    sanity </w:t>
      </w:r>
      <w:r>
        <w:rPr>
          <w:rStyle w:val="OperatorTok"/>
        </w:rPr>
        <w:t xml:space="preserve">=</w:t>
      </w:r>
      <w:r>
        <w:rPr>
          <w:rStyle w:val="NormalTok"/>
        </w:rPr>
        <w:t xml:space="preserve"> sanity </w:t>
      </w:r>
      <w:r>
        <w:rPr>
          <w:rStyle w:val="KeywordTok"/>
        </w:rPr>
        <w:t xml:space="preserve">and</w:t>
      </w:r>
      <w:r>
        <w:rPr>
          <w:rStyle w:val="NormalTok"/>
        </w:rPr>
        <w:t xml:space="preserve"> mut </w:t>
      </w:r>
      <w:r>
        <w:rPr>
          <w:rStyle w:val="KeywordTok"/>
        </w:rPr>
        <w:t xml:space="preserve">and</w:t>
      </w:r>
      <w:r>
        <w:rPr>
          <w:rStyle w:val="NormalTok"/>
        </w:rPr>
        <w:t xml:space="preserve"> m2ok</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BuiltInTok"/>
        </w:rPr>
        <w:t xml:space="preserve">sum</w:t>
      </w:r>
      <w:r>
        <w:rPr>
          <w:rStyle w:val="NormalTok"/>
        </w:rPr>
        <w:t xml:space="preserve">(ok)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(ok)</w:t>
      </w:r>
      <w:r>
        <w:rPr>
          <w:rStyle w:val="SpecialCharTok"/>
        </w:rPr>
        <w:t xml:space="preserve">}</w:t>
      </w:r>
      <w:r>
        <w:rPr>
          <w:rStyle w:val="SpecialStringTok"/>
        </w:rPr>
        <w:t xml:space="preserve"> checks found no counterexample; sanity and mutation checks </w:t>
      </w:r>
      <w:r>
        <w:rPr>
          <w:rStyle w:val="SpecialCharTok"/>
        </w:rPr>
        <w:t xml:space="preserve">{</w:t>
      </w:r>
      <w:r>
        <w:rPr>
          <w:rStyle w:val="StringTok"/>
        </w:rPr>
        <w:t xml:space="preserve">'passed'</w:t>
      </w:r>
      <w:r>
        <w:rPr>
          <w:rStyle w:val="NormalTok"/>
        </w:rPr>
        <w:t xml:space="preserve"> </w:t>
      </w:r>
      <w:r>
        <w:rPr>
          <w:rStyle w:val="ControlFlowTok"/>
        </w:rPr>
        <w:t xml:space="preserve">if</w:t>
      </w:r>
      <w:r>
        <w:rPr>
          <w:rStyle w:val="NormalTok"/>
        </w:rPr>
        <w:t xml:space="preserve"> sanity </w:t>
      </w:r>
      <w:r>
        <w:rPr>
          <w:rStyle w:val="ControlFlowTok"/>
        </w:rPr>
        <w:t xml:space="preserve">else</w:t>
      </w:r>
      <w:r>
        <w:rPr>
          <w:rStyle w:val="NormalTok"/>
        </w:rPr>
        <w:t xml:space="preserve"> </w:t>
      </w:r>
      <w:r>
        <w:rPr>
          <w:rStyle w:val="StringTok"/>
        </w:rPr>
        <w:t xml:space="preserve">'FAILED'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34"/>
    <w:bookmarkStart w:id="135" w:name="X86d27b959083564fe26ec2516ea1ac03f98e8cf"/>
    <w:p>
      <w:pPr>
        <w:pStyle w:val="Heading2"/>
      </w:pPr>
      <w:r>
        <w:t xml:space="preserve">A.24 Console output of the bounded SMT check</w:t>
      </w:r>
    </w:p>
    <w:p>
      <w:pPr>
        <w:pStyle w:val="FirstParagraph"/>
      </w:pPr>
      <w:r>
        <w:t xml:space="preserve">Verbatim output of</w:t>
      </w:r>
      <w:r>
        <w:t xml:space="preserve"> </w:t>
      </w:r>
      <w:r>
        <w:rPr>
          <w:rStyle w:val="VerbatimChar"/>
        </w:rPr>
        <w:t xml:space="preserve">python3 z3_check.py</w:t>
      </w:r>
      <w:r>
        <w:t xml:space="preserve"> </w:t>
      </w:r>
      <w:r>
        <w:t xml:space="preserve">(Z3 5.1.0). Nine checks find no counterexample; the sanity check finds a satisfying trajectory and the mutation check finds counterexamples, as they must.</w:t>
      </w:r>
    </w:p>
    <w:p>
      <w:pPr>
        <w:pStyle w:val="SourceCode"/>
      </w:pPr>
      <w:r>
        <w:rPr>
          <w:rStyle w:val="VerbatimChar"/>
        </w:rPr>
        <w:t xml:space="preserve">====================================================================================================</w:t>
      </w:r>
      <w:r>
        <w:br/>
      </w:r>
      <w:r>
        <w:rPr>
          <w:rStyle w:val="VerbatimChar"/>
        </w:rPr>
        <w:t xml:space="preserve">                             BOUNDED SMT CHECK OF PROPOSITIONS 1-3 (Z3)                             </w:t>
      </w:r>
      <w:r>
        <w:br/>
      </w:r>
      <w:r>
        <w:rPr>
          <w:rStyle w:val="VerbatimChar"/>
        </w:rPr>
        <w:t xml:space="preserve">====================================================================================================</w:t>
      </w:r>
      <w:r>
        <w:br/>
      </w:r>
      <w:r>
        <w:rPr>
          <w:rStyle w:val="VerbatimChar"/>
        </w:rPr>
        <w:t xml:space="preserve">bounds: t_a 0..12, F 1..120, delta 1..3, t_r and e in [t_a, 140], L 1..120, horizon 140</w:t>
      </w:r>
      <w:r>
        <w:br/>
      </w:r>
      <w:r>
        <w:rPr>
          <w:rStyle w:val="VerbatimChar"/>
        </w:rPr>
        <w:t xml:space="preserve">P1  deadline inside window =&gt; no trajectory satisfies C1-C3 (Sem I)        unsat (no counterexample)</w:t>
      </w:r>
      <w:r>
        <w:br/>
      </w:r>
      <w:r>
        <w:rPr>
          <w:rStyle w:val="VerbatimChar"/>
        </w:rPr>
        <w:t xml:space="preserve">P1  no deadline inside window =&gt; witness trajectory satisfies C1-C3        unsat (no counterexample)</w:t>
      </w:r>
      <w:r>
        <w:br/>
      </w:r>
      <w:r>
        <w:rPr>
          <w:rStyle w:val="VerbatimChar"/>
        </w:rPr>
        <w:t xml:space="preserve">P2  constructive trajectory satisfies C1 (Sem II), C2, C3 for all inputs   unsat (no counterexample)</w:t>
      </w:r>
      <w:r>
        <w:br/>
      </w:r>
      <w:r>
        <w:rPr>
          <w:rStyle w:val="VerbatimChar"/>
        </w:rPr>
        <w:t xml:space="preserve">mutation: construction without iota / without c / without iota_subj refuted sat, counterexamples found (as expected)</w:t>
      </w:r>
      <w:r>
        <w:br/>
      </w:r>
      <w:r>
        <w:rPr>
          <w:rStyle w:val="VerbatimChar"/>
        </w:rPr>
        <w:t xml:space="preserve">P3  e + L &lt;= t_a + F =&gt; floor and ceiling not jointly satisfiable          unsat (no counterexample)</w:t>
      </w:r>
      <w:r>
        <w:br/>
      </w:r>
      <w:r>
        <w:rPr>
          <w:rStyle w:val="VerbatimChar"/>
        </w:rPr>
        <w:t xml:space="preserve">P3  e + L &gt; t_a + F =&gt; witness satisfies floor and ceiling                 unsat (no counterexample)</w:t>
      </w:r>
      <w:r>
        <w:br/>
      </w:r>
      <w:r>
        <w:rPr>
          <w:rStyle w:val="VerbatimChar"/>
        </w:rPr>
        <w:t xml:space="preserve">P3(i)  e = t_a: jointly satisfiable only if L &gt; F                          unsat (no counterexample)</w:t>
      </w:r>
      <w:r>
        <w:br/>
      </w:r>
      <w:r>
        <w:rPr>
          <w:rStyle w:val="VerbatimChar"/>
        </w:rPr>
        <w:t xml:space="preserve">P3(i)  e = t_a and L &gt; F: witness satisfies floor and ceiling              unsat (no counterexample)</w:t>
      </w:r>
      <w:r>
        <w:br/>
      </w:r>
      <w:r>
        <w:rPr>
          <w:rStyle w:val="VerbatimChar"/>
        </w:rPr>
        <w:t xml:space="preserve">P3(ii) L &lt;= F, e - t_a &lt;= F - L =&gt; collision                               unsat (no counterexample)</w:t>
      </w:r>
      <w:r>
        <w:br/>
      </w:r>
      <w:r>
        <w:rPr>
          <w:rStyle w:val="VerbatimChar"/>
        </w:rPr>
        <w:t xml:space="preserve">P3(ii) L &lt;= F, e - t_a &gt;  F - L =&gt; witness satisfies both                  unsat (no counterexample)</w:t>
      </w:r>
      <w:r>
        <w:br/>
      </w:r>
      <w:r>
        <w:rPr>
          <w:rStyle w:val="VerbatimChar"/>
        </w:rPr>
        <w:t xml:space="preserve">sanity: no request, no ceiling =&gt; some trajectory satisfies C1             sat (as expected)</w:t>
      </w:r>
      <w:r>
        <w:br/>
      </w:r>
      <w:r>
        <w:rPr>
          <w:rStyle w:val="VerbatimChar"/>
        </w:rPr>
        <w:t xml:space="preserve">mutation: Proposition 3 with an off-by-one condition is refuted            sat, counterexample found (as expected)</w:t>
      </w:r>
      <w:r>
        <w:br/>
      </w:r>
      <w:r>
        <w:rPr>
          <w:rStyle w:val="VerbatimChar"/>
        </w:rPr>
        <w:t xml:space="preserve">====================================================================================================</w:t>
      </w:r>
      <w:r>
        <w:br/>
      </w:r>
      <w:r>
        <w:rPr>
          <w:rStyle w:val="VerbatimChar"/>
        </w:rPr>
        <w:t xml:space="preserve">RESULT: 9/9 checks found no counterexample; sanity and mutation checks passed</w:t>
      </w:r>
      <w:r>
        <w:br/>
      </w:r>
      <w:r>
        <w:rPr>
          <w:rStyle w:val="VerbatimChar"/>
        </w:rPr>
        <w:t xml:space="preserve">====================================================================================================</w:t>
      </w:r>
    </w:p>
    <w:bookmarkEnd w:id="135"/>
    <w:bookmarkEnd w:id="136"/>
    <w:bookmarkStart w:id="143" w:name="appendix-b.-search-query-log"/>
    <w:p>
      <w:pPr>
        <w:pStyle w:val="Heading1"/>
      </w:pPr>
      <w:bookmarkStart w:id="1088" w:name="app_B"/>
      <w:r>
        <w:t xml:space="preserve">Appendix B. Search Query Log</w:t>
      </w:r>
      <w:bookmarkEnd w:id="1088"/>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w:t>
      </w:r>
      <w:hyperlink w:anchor="ch_2" w:history="1">
        <w:r>
          <w:rPr>
            <w:rStyle w:val="Hyperlink"/>
          </w:rPr>
          <w:t xml:space="preserve">Chapter 2</w:t>
        </w:r>
      </w:hyperlink>
      <w:r>
        <w:t xml:space="preserve">, </w:t>
      </w:r>
      <w:hyperlink w:anchor="sec_2_9" w:history="1">
        <w:r>
          <w:rPr>
            <w:rStyle w:val="Hyperlink"/>
          </w:rPr>
          <w:t xml:space="preserve">Section 2.9</w:t>
        </w:r>
      </w:hyperlink>
      <w:r>
        <w:t xml:space="preserve">. They are natural-language queries rather than Boolean strings, which is what the review actually used;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 states this and gives a Boolean replication protocol separately.</w:t>
      </w:r>
    </w:p>
    <w:bookmarkStart w:id="137" w:name="X1c7b8e7cdf46281783c18b02ca8b2002eb422aa"/>
    <w:p>
      <w:pPr>
        <w:pStyle w:val="Heading2"/>
      </w:pPr>
      <w:r>
        <w:t xml:space="preserve">Round 1: 25 May 2026 (landscape, infrastructure, regulatory baseline)</w:t>
      </w:r>
    </w:p>
    <w:p>
      <w:pPr>
        <w:pStyle w:val="Compact"/>
        <w:numPr>
          <w:ilvl w:val="0"/>
          <w:numId w:val="1007"/>
        </w:numPr>
      </w:pPr>
      <w:r>
        <w:rPr>
          <w:rStyle w:val="VerbatimChar"/>
        </w:rPr>
        <w:t xml:space="preserve">Norway electronic health record EHR infrastructure 2026 new regulations</w:t>
      </w:r>
    </w:p>
    <w:p>
      <w:pPr>
        <w:pStyle w:val="Compact"/>
        <w:numPr>
          <w:ilvl w:val="0"/>
          <w:numId w:val="1007"/>
        </w:numPr>
      </w:pPr>
      <w:r>
        <w:rPr>
          <w:rStyle w:val="VerbatimChar"/>
        </w:rPr>
        <w:t xml:space="preserve">MyHealth@EU cross-border patient summary how it works national contact point</w:t>
      </w:r>
    </w:p>
    <w:p>
      <w:pPr>
        <w:pStyle w:val="Compact"/>
        <w:numPr>
          <w:ilvl w:val="0"/>
          <w:numId w:val="1007"/>
        </w:numPr>
      </w:pPr>
      <w:r>
        <w:rPr>
          <w:rStyle w:val="VerbatimChar"/>
        </w:rPr>
        <w:t xml:space="preserve">eHDSI OpenNCP audit trail consent data minimisation HCP authorization IHE XCA</w:t>
      </w:r>
    </w:p>
    <w:p>
      <w:pPr>
        <w:pStyle w:val="Compact"/>
        <w:numPr>
          <w:ilvl w:val="0"/>
          <w:numId w:val="1007"/>
        </w:numPr>
      </w:pPr>
      <w:r>
        <w:rPr>
          <w:rStyle w:val="VerbatimChar"/>
        </w:rPr>
        <w:t xml:space="preserve">Norway Helsenorge kjernejournal architecture FHIR HL7 helseplattformen DIPS</w:t>
      </w:r>
    </w:p>
    <w:p>
      <w:pPr>
        <w:pStyle w:val="Compact"/>
        <w:numPr>
          <w:ilvl w:val="0"/>
          <w:numId w:val="1007"/>
        </w:numPr>
      </w:pPr>
      <w:r>
        <w:rPr>
          <w:rStyle w:val="VerbatimChar"/>
        </w:rPr>
        <w:t xml:space="preserve">European Health Data Space EHDS regulation 2025 primary secondary use timeline</w:t>
      </w:r>
    </w:p>
    <w:p>
      <w:pPr>
        <w:pStyle w:val="Compact"/>
        <w:numPr>
          <w:ilvl w:val="0"/>
          <w:numId w:val="1007"/>
        </w:numPr>
      </w:pPr>
      <w:r>
        <w:rPr>
          <w:rStyle w:val="VerbatimChar"/>
        </w:rPr>
        <w:t xml:space="preserve">Norway health data research innovation Helseanalyseplattformen Norwegian Centre HUNT BigMed</w:t>
      </w:r>
    </w:p>
    <w:p>
      <w:pPr>
        <w:pStyle w:val="Compact"/>
        <w:numPr>
          <w:ilvl w:val="0"/>
          <w:numId w:val="1007"/>
        </w:numPr>
      </w:pPr>
      <w:r>
        <w:rPr>
          <w:rStyle w:val="VerbatimChar"/>
        </w:rPr>
        <w:t xml:space="preserve">Norway Helsedataservice secondary use health data 2025 application portal Direktoratet for e-helse</w:t>
      </w:r>
    </w:p>
    <w:p>
      <w:pPr>
        <w:pStyle w:val="Compact"/>
        <w:numPr>
          <w:ilvl w:val="0"/>
          <w:numId w:val="1007"/>
        </w:numPr>
      </w:pPr>
      <w:r>
        <w:rPr>
          <w:rStyle w:val="VerbatimChar"/>
        </w:rPr>
        <w:t xml:space="preserve">Norwegian patient gets treated Spain ePrescription patient summary how process works</w:t>
      </w:r>
    </w:p>
    <w:p>
      <w:pPr>
        <w:pStyle w:val="Compact"/>
        <w:numPr>
          <w:ilvl w:val="0"/>
          <w:numId w:val="1007"/>
        </w:numPr>
      </w:pPr>
      <w:r>
        <w:rPr>
          <w:rStyle w:val="VerbatimChar"/>
        </w:rPr>
        <w:t xml:space="preserve">Norway MyHealth@EU national contact point eHealth go-live status 2025 2026</w:t>
      </w:r>
    </w:p>
    <w:p>
      <w:pPr>
        <w:pStyle w:val="Compact"/>
        <w:numPr>
          <w:ilvl w:val="0"/>
          <w:numId w:val="1007"/>
        </w:numPr>
      </w:pPr>
      <w:r>
        <w:rPr>
          <w:rStyle w:val="VerbatimChar"/>
        </w:rPr>
        <w:t xml:space="preserve">Norway AI medical imaging research 2025 federated learning health data</w:t>
      </w:r>
    </w:p>
    <w:p>
      <w:pPr>
        <w:pStyle w:val="Compact"/>
        <w:numPr>
          <w:ilvl w:val="0"/>
          <w:numId w:val="1007"/>
        </w:numPr>
      </w:pPr>
      <w:r>
        <w:rPr>
          <w:rStyle w:val="VerbatimChar"/>
        </w:rPr>
        <w:t xml:space="preserve">ZK-EHR zk-SNARK blockchain electronic health records MDPI Systems 2026</w:t>
      </w:r>
    </w:p>
    <w:p>
      <w:pPr>
        <w:pStyle w:val="Compact"/>
        <w:numPr>
          <w:ilvl w:val="0"/>
          <w:numId w:val="1007"/>
        </w:numPr>
      </w:pPr>
      <w:r>
        <w:rPr>
          <w:rStyle w:val="VerbatimChar"/>
        </w:rPr>
        <w:t xml:space="preserve">MDPI Systems \</w:t>
      </w:r>
    </w:p>
    <w:p>
      <w:pPr>
        <w:pStyle w:val="Compact"/>
        <w:numPr>
          <w:ilvl w:val="0"/>
          <w:numId w:val="1007"/>
        </w:numPr>
      </w:pPr>
      <w:r>
        <w:rPr>
          <w:rStyle w:val="VerbatimChar"/>
        </w:rPr>
        <w:t xml:space="preserve">KONFIDO project \</w:t>
      </w:r>
    </w:p>
    <w:p>
      <w:pPr>
        <w:pStyle w:val="Compact"/>
        <w:numPr>
          <w:ilvl w:val="0"/>
          <w:numId w:val="1007"/>
        </w:numPr>
      </w:pPr>
      <w:r>
        <w:rPr>
          <w:rStyle w:val="VerbatimChar"/>
        </w:rPr>
        <w:t xml:space="preserve">Helsedirektoratet EHDS European Health Data Space gap analysis Norway 2025</w:t>
      </w:r>
    </w:p>
    <w:p>
      <w:pPr>
        <w:pStyle w:val="Compact"/>
        <w:numPr>
          <w:ilvl w:val="0"/>
          <w:numId w:val="1007"/>
        </w:numPr>
      </w:pPr>
      <w:r>
        <w:rPr>
          <w:rStyle w:val="VerbatimChar"/>
        </w:rPr>
        <w:t xml:space="preserve">OpenNCP github repository ehdsi.europa.eu source code documentation NCP gateway</w:t>
      </w:r>
    </w:p>
    <w:p>
      <w:pPr>
        <w:pStyle w:val="Compact"/>
        <w:numPr>
          <w:ilvl w:val="0"/>
          <w:numId w:val="1007"/>
        </w:numPr>
      </w:pPr>
      <w:r>
        <w:rPr>
          <w:rStyle w:val="VerbatimChar"/>
        </w:rPr>
        <w:t xml:space="preserve">Norway AI Act implementation Nkom DigDir consultation 2025 h\u00f8ring Regulation 2024/1689</w:t>
      </w:r>
    </w:p>
    <w:bookmarkEnd w:id="137"/>
    <w:bookmarkStart w:id="138" w:name="X4a2a7d0c1e0e0ea8658fb362d79a91af0d4ac60"/>
    <w:p>
      <w:pPr>
        <w:pStyle w:val="Heading2"/>
      </w:pPr>
      <w:r>
        <w:t xml:space="preserve">Round 2: 29 May 2026 (verification and correction round)</w:t>
      </w:r>
    </w:p>
    <w:p>
      <w:pPr>
        <w:pStyle w:val="Compact"/>
        <w:numPr>
          <w:ilvl w:val="0"/>
          <w:numId w:val="1008"/>
        </w:numPr>
      </w:pPr>
      <w:r>
        <w:rPr>
          <w:rStyle w:val="VerbatimChar"/>
        </w:rPr>
        <w:t xml:space="preserve">SPUHiN \</w:t>
      </w:r>
    </w:p>
    <w:p>
      <w:pPr>
        <w:pStyle w:val="Compact"/>
        <w:numPr>
          <w:ilvl w:val="0"/>
          <w:numId w:val="1008"/>
        </w:numPr>
      </w:pPr>
      <w:r>
        <w:rPr>
          <w:rStyle w:val="VerbatimChar"/>
        </w:rPr>
        <w:t xml:space="preserve">EHDS implementation 2026 cross-border patient summary technical infrastructure Member State</w:t>
      </w:r>
    </w:p>
    <w:p>
      <w:pPr>
        <w:pStyle w:val="Compact"/>
        <w:numPr>
          <w:ilvl w:val="0"/>
          <w:numId w:val="1008"/>
        </w:numPr>
      </w:pPr>
      <w:r>
        <w:rPr>
          <w:rStyle w:val="VerbatimChar"/>
        </w:rPr>
        <w:t xml:space="preserve">IHE ATNA Audit Trail Node Authentication integration profile retention requirement</w:t>
      </w:r>
    </w:p>
    <w:p>
      <w:pPr>
        <w:pStyle w:val="Compact"/>
        <w:numPr>
          <w:ilvl w:val="0"/>
          <w:numId w:val="1008"/>
        </w:numPr>
      </w:pPr>
      <w:r>
        <w:rPr>
          <w:rStyle w:val="VerbatimChar"/>
        </w:rPr>
        <w:t xml:space="preserve">eHDSI MyHealth@EU audit log retention period years requirement</w:t>
      </w:r>
    </w:p>
    <w:p>
      <w:pPr>
        <w:pStyle w:val="Compact"/>
        <w:numPr>
          <w:ilvl w:val="0"/>
          <w:numId w:val="1008"/>
        </w:numPr>
      </w:pPr>
      <w:r>
        <w:rPr>
          <w:rStyle w:val="VerbatimChar"/>
        </w:rPr>
        <w:t xml:space="preserve">eHDSI security framework audit log retention specification cross-border European</w:t>
      </w:r>
    </w:p>
    <w:p>
      <w:pPr>
        <w:pStyle w:val="Compact"/>
        <w:numPr>
          <w:ilvl w:val="0"/>
          <w:numId w:val="1008"/>
        </w:numPr>
      </w:pPr>
      <w:r>
        <w:rPr>
          <w:rStyle w:val="VerbatimChar"/>
        </w:rPr>
        <w:t xml:space="preserve">GDPR Article 17 right erasure audit log retention healthcare EDPB guidance</w:t>
      </w:r>
    </w:p>
    <w:p>
      <w:pPr>
        <w:pStyle w:val="Compact"/>
        <w:numPr>
          <w:ilvl w:val="0"/>
          <w:numId w:val="1008"/>
        </w:numPr>
      </w:pPr>
      <w:r>
        <w:rPr>
          <w:rStyle w:val="VerbatimChar"/>
        </w:rPr>
        <w:t xml:space="preserve">cryptographic erasure audit log healthcare GDPR right to be forgotten academic</w:t>
      </w:r>
    </w:p>
    <w:p>
      <w:pPr>
        <w:pStyle w:val="Compact"/>
        <w:numPr>
          <w:ilvl w:val="0"/>
          <w:numId w:val="1008"/>
        </w:numPr>
      </w:pPr>
      <w:r>
        <w:rPr>
          <w:rStyle w:val="VerbatimChar"/>
        </w:rPr>
        <w:t xml:space="preserve">KONFIDO project OpenNCP architecture cross-border 2018 technical paper Natsiavas</w:t>
      </w:r>
    </w:p>
    <w:p>
      <w:pPr>
        <w:pStyle w:val="Compact"/>
        <w:numPr>
          <w:ilvl w:val="0"/>
          <w:numId w:val="1008"/>
        </w:numPr>
      </w:pPr>
      <w:r>
        <w:rPr>
          <w:rStyle w:val="VerbatimChar"/>
        </w:rPr>
        <w:t xml:space="preserve">zero-knowledge proof healthcare audit log verifiable revocation 2024 2025 2026</w:t>
      </w:r>
    </w:p>
    <w:p>
      <w:pPr>
        <w:pStyle w:val="Compact"/>
        <w:numPr>
          <w:ilvl w:val="0"/>
          <w:numId w:val="1008"/>
        </w:numPr>
      </w:pPr>
      <w:r>
        <w:rPr>
          <w:rStyle w:val="VerbatimChar"/>
        </w:rPr>
        <w:t xml:space="preserve">cryptographic accumulator commitment scheme revocation healthcare audit hash chain</w:t>
      </w:r>
    </w:p>
    <w:bookmarkEnd w:id="138"/>
    <w:bookmarkStart w:id="139" w:name="Xfe03fc85fed18cf0c2a2aedd5ecc7558e489de6"/>
    <w:p>
      <w:pPr>
        <w:pStyle w:val="Heading2"/>
      </w:pPr>
      <w:r>
        <w:t xml:space="preserve">Round 3: 15 September 2026 (resumption; novelty and currency)</w:t>
      </w:r>
    </w:p>
    <w:p>
      <w:pPr>
        <w:pStyle w:val="Compact"/>
        <w:numPr>
          <w:ilvl w:val="0"/>
          <w:numId w:val="1009"/>
        </w:numPr>
      </w:pPr>
      <w:r>
        <w:rPr>
          <w:rStyle w:val="VerbatimChar"/>
        </w:rPr>
        <w:t xml:space="preserve">Helsedataservice Norway secondary use access body workflow data permit registry</w:t>
      </w:r>
    </w:p>
    <w:p>
      <w:pPr>
        <w:pStyle w:val="Compact"/>
        <w:numPr>
          <w:ilvl w:val="0"/>
          <w:numId w:val="1009"/>
        </w:numPr>
      </w:pPr>
      <w:r>
        <w:rPr>
          <w:rStyle w:val="VerbatimChar"/>
        </w:rPr>
        <w:t xml:space="preserve">information logistics digital supply chain cross-border data flow regulatory compliance academic</w:t>
      </w:r>
    </w:p>
    <w:p>
      <w:pPr>
        <w:pStyle w:val="Compact"/>
        <w:numPr>
          <w:ilvl w:val="0"/>
          <w:numId w:val="1009"/>
        </w:numPr>
      </w:pPr>
      <w:r>
        <w:rPr>
          <w:rStyle w:val="VerbatimChar"/>
        </w:rPr>
        <w:t xml:space="preserve">Norwegian offshore workers health records cross-border medical exchange maritime logistics</w:t>
      </w:r>
    </w:p>
    <w:p>
      <w:pPr>
        <w:pStyle w:val="Compact"/>
        <w:numPr>
          <w:ilvl w:val="0"/>
          <w:numId w:val="1009"/>
        </w:numPr>
      </w:pPr>
      <w:r>
        <w:rPr>
          <w:rStyle w:val="VerbatimChar"/>
        </w:rPr>
        <w:t xml:space="preserve">formal model conflict audit log retention GDPR right to erasure constraint satisfaction</w:t>
      </w:r>
    </w:p>
    <w:p>
      <w:pPr>
        <w:pStyle w:val="Compact"/>
        <w:numPr>
          <w:ilvl w:val="0"/>
          <w:numId w:val="1009"/>
        </w:numPr>
      </w:pPr>
      <w:r>
        <w:rPr>
          <w:rStyle w:val="VerbatimChar"/>
        </w:rPr>
        <w:t xml:space="preserve">formal verification regulatory compliance conflicting retention requirements temporal logic healthcare audit</w:t>
      </w:r>
    </w:p>
    <w:p>
      <w:pPr>
        <w:pStyle w:val="Compact"/>
        <w:numPr>
          <w:ilvl w:val="0"/>
          <w:numId w:val="1009"/>
        </w:numPr>
      </w:pPr>
      <w:r>
        <w:rPr>
          <w:rStyle w:val="VerbatimChar"/>
        </w:rPr>
        <w:t xml:space="preserve">operations research optimization model data governance compliance reconciliation supply chain regulatory constraints</w:t>
      </w:r>
    </w:p>
    <w:p>
      <w:pPr>
        <w:pStyle w:val="Compact"/>
        <w:numPr>
          <w:ilvl w:val="0"/>
          <w:numId w:val="1009"/>
        </w:numPr>
      </w:pPr>
      <w:r>
        <w:rPr>
          <w:rStyle w:val="VerbatimChar"/>
        </w:rPr>
        <w:t xml:space="preserve">thesis chapter 3 TRF model formal specification VERA-SNARK</w:t>
      </w:r>
    </w:p>
    <w:p>
      <w:pPr>
        <w:pStyle w:val="Compact"/>
        <w:numPr>
          <w:ilvl w:val="0"/>
          <w:numId w:val="1009"/>
        </w:numPr>
      </w:pPr>
      <w:r>
        <w:rPr>
          <w:rStyle w:val="VerbatimChar"/>
        </w:rPr>
        <w:t xml:space="preserve">TRF model gate feasibility theorem crypto-erasure invalidation chapter 4</w:t>
      </w:r>
    </w:p>
    <w:p>
      <w:pPr>
        <w:pStyle w:val="Compact"/>
        <w:numPr>
          <w:ilvl w:val="0"/>
          <w:numId w:val="1009"/>
        </w:numPr>
      </w:pPr>
      <w:r>
        <w:rPr>
          <w:rStyle w:val="VerbatimChar"/>
        </w:rPr>
        <w:t xml:space="preserve">Norge EHDS E\u00d8S gjennomf\u00f8ring helsedata juni 2026</w:t>
      </w:r>
    </w:p>
    <w:p>
      <w:pPr>
        <w:pStyle w:val="Compact"/>
        <w:numPr>
          <w:ilvl w:val="0"/>
          <w:numId w:val="1009"/>
        </w:numPr>
      </w:pPr>
      <w:r>
        <w:rPr>
          <w:rStyle w:val="VerbatimChar"/>
        </w:rPr>
        <w:t xml:space="preserve">Google Drive read file content</w:t>
      </w:r>
    </w:p>
    <w:bookmarkEnd w:id="139"/>
    <w:bookmarkStart w:id="140" w:name="X42e6240ce94ac92875ca4170810e6341d8d647c"/>
    <w:p>
      <w:pPr>
        <w:pStyle w:val="Heading2"/>
      </w:pPr>
      <w:r>
        <w:t xml:space="preserve">Round 4: 16 September 2026 (adversarial novelty, prior art, currency)</w:t>
      </w:r>
    </w:p>
    <w:p>
      <w:pPr>
        <w:pStyle w:val="Compact"/>
        <w:numPr>
          <w:ilvl w:val="0"/>
          <w:numId w:val="1010"/>
        </w:numPr>
      </w:pPr>
      <w:r>
        <w:rPr>
          <w:rStyle w:val="VerbatimChar"/>
        </w:rPr>
        <w:t xml:space="preserve">EHDS secondary use audit log retention erasure 2026 IEEE Scopus formal compliance health data</w:t>
      </w:r>
    </w:p>
    <w:p>
      <w:pPr>
        <w:pStyle w:val="Compact"/>
        <w:numPr>
          <w:ilvl w:val="0"/>
          <w:numId w:val="1010"/>
        </w:numPr>
      </w:pPr>
      <w:r>
        <w:rPr>
          <w:rStyle w:val="VerbatimChar"/>
        </w:rPr>
        <w:t xml:space="preserve">"retention conflict" OR "conflicting retention" cryptographic erasure formal model 2026 arXiv</w:t>
      </w:r>
    </w:p>
    <w:p>
      <w:pPr>
        <w:pStyle w:val="Compact"/>
        <w:numPr>
          <w:ilvl w:val="0"/>
          <w:numId w:val="1010"/>
        </w:numPr>
      </w:pPr>
      <w:r>
        <w:rPr>
          <w:rStyle w:val="VerbatimChar"/>
        </w:rPr>
        <w:t xml:space="preserve">EUR-Lex 2025/327 Article 73 secure processing environment "keeping of identifiable logs" access activities year</w:t>
      </w:r>
    </w:p>
    <w:p>
      <w:pPr>
        <w:pStyle w:val="Compact"/>
        <w:numPr>
          <w:ilvl w:val="0"/>
          <w:numId w:val="1010"/>
        </w:numPr>
      </w:pPr>
      <w:r>
        <w:rPr>
          <w:rStyle w:val="VerbatimChar"/>
        </w:rPr>
        <w:t xml:space="preserve">Regulation 2025/327 EHDS entry into force 26 March 2025 application date Article 105 staggered 2029</w:t>
      </w:r>
    </w:p>
    <w:p>
      <w:pPr>
        <w:pStyle w:val="Compact"/>
        <w:numPr>
          <w:ilvl w:val="0"/>
          <w:numId w:val="1010"/>
        </w:numPr>
      </w:pPr>
      <w:r>
        <w:rPr>
          <w:rStyle w:val="VerbatimChar"/>
        </w:rPr>
        <w:t xml:space="preserve">EDPB Guidelines 02/2025 blockchain personal data final version adopted after public consultation</w:t>
      </w:r>
    </w:p>
    <w:p>
      <w:pPr>
        <w:pStyle w:val="Compact"/>
        <w:numPr>
          <w:ilvl w:val="0"/>
          <w:numId w:val="1010"/>
        </w:numPr>
      </w:pPr>
      <w:r>
        <w:rPr>
          <w:rStyle w:val="VerbatimChar"/>
        </w:rPr>
        <w:t xml:space="preserve">TEHDAS2 deliverable secure processing environment technical specifications 2026 D7 tehdas.eu</w:t>
      </w:r>
    </w:p>
    <w:p>
      <w:pPr>
        <w:pStyle w:val="Compact"/>
        <w:numPr>
          <w:ilvl w:val="0"/>
          <w:numId w:val="1010"/>
        </w:numPr>
      </w:pPr>
      <w:r>
        <w:rPr>
          <w:rStyle w:val="VerbatimChar"/>
        </w:rPr>
        <w:t xml:space="preserve">eHOMB eHealth Operational Management Board Norway ePrescription without eDispensation change proposal requirement catalogue approved</w:t>
      </w:r>
    </w:p>
    <w:p>
      <w:pPr>
        <w:pStyle w:val="Compact"/>
        <w:numPr>
          <w:ilvl w:val="0"/>
          <w:numId w:val="1010"/>
        </w:numPr>
      </w:pPr>
      <w:r>
        <w:rPr>
          <w:rStyle w:val="VerbatimChar"/>
        </w:rPr>
        <w:t xml:space="preserve">EHDS Article 68 paragraph 12 "data permit" delete personal electronic health data secure processing environment six months expiry</w:t>
      </w:r>
    </w:p>
    <w:p>
      <w:pPr>
        <w:pStyle w:val="Compact"/>
        <w:numPr>
          <w:ilvl w:val="0"/>
          <w:numId w:val="1010"/>
        </w:numPr>
      </w:pPr>
      <w:r>
        <w:rPr>
          <w:rStyle w:val="VerbatimChar"/>
        </w:rPr>
        <w:t xml:space="preserve">Walonoski Synthea synthetic patient generator JAMIA 2018 25(3) 230-238</w:t>
      </w:r>
    </w:p>
    <w:p>
      <w:pPr>
        <w:pStyle w:val="Compact"/>
        <w:numPr>
          <w:ilvl w:val="0"/>
          <w:numId w:val="1010"/>
        </w:numPr>
      </w:pPr>
      <w:r>
        <w:rPr>
          <w:rStyle w:val="VerbatimChar"/>
        </w:rPr>
        <w:t xml:space="preserve">validity synthetic clinical data Synthea validation clinical quality measures limitations</w:t>
      </w:r>
    </w:p>
    <w:p>
      <w:pPr>
        <w:pStyle w:val="Compact"/>
        <w:numPr>
          <w:ilvl w:val="0"/>
          <w:numId w:val="1010"/>
        </w:numPr>
      </w:pPr>
      <w:r>
        <w:rPr>
          <w:rStyle w:val="VerbatimChar"/>
        </w:rPr>
        <w:t xml:space="preserve">HL7 Norway basisprofiler FHIR R4 no-basis 2026 status</w:t>
      </w:r>
    </w:p>
    <w:p>
      <w:pPr>
        <w:pStyle w:val="Compact"/>
        <w:numPr>
          <w:ilvl w:val="0"/>
          <w:numId w:val="1010"/>
        </w:numPr>
      </w:pPr>
      <w:r>
        <w:rPr>
          <w:rStyle w:val="VerbatimChar"/>
        </w:rPr>
        <w:t xml:space="preserve">Datatilsynet NIF Norges idrettsforbund vedtak syntetiske testdata personopplysninger test</w:t>
      </w:r>
    </w:p>
    <w:p>
      <w:pPr>
        <w:pStyle w:val="Compact"/>
        <w:numPr>
          <w:ilvl w:val="0"/>
          <w:numId w:val="1010"/>
        </w:numPr>
      </w:pPr>
      <w:r>
        <w:rPr>
          <w:rStyle w:val="VerbatimChar"/>
        </w:rPr>
        <w:t xml:space="preserve">Peffers Tuunanen Rothenberger Chatterjee design science research methodology Journal of Management Information Systems 2007 24 3 45-77</w:t>
      </w:r>
    </w:p>
    <w:p>
      <w:pPr>
        <w:pStyle w:val="Compact"/>
        <w:numPr>
          <w:ilvl w:val="0"/>
          <w:numId w:val="1010"/>
        </w:numPr>
      </w:pPr>
      <w:r>
        <w:rPr>
          <w:rStyle w:val="VerbatimChar"/>
        </w:rPr>
        <w:t xml:space="preserve">NIST SP 800-88 Revision 2 media sanitization published date 2025 draft final</w:t>
      </w:r>
    </w:p>
    <w:p>
      <w:pPr>
        <w:pStyle w:val="Compact"/>
        <w:numPr>
          <w:ilvl w:val="0"/>
          <w:numId w:val="1010"/>
        </w:numPr>
      </w:pPr>
      <w:r>
        <w:rPr>
          <w:rStyle w:val="VerbatimChar"/>
        </w:rPr>
        <w:t xml:space="preserve">Norge MyHealth@EU pasientsammendrag pilot Bodø Stjørdal legevakt Portugal Tsjekkia Finland</w:t>
      </w:r>
    </w:p>
    <w:p>
      <w:pPr>
        <w:pStyle w:val="Compact"/>
        <w:numPr>
          <w:ilvl w:val="0"/>
          <w:numId w:val="1010"/>
        </w:numPr>
      </w:pPr>
      <w:r>
        <w:rPr>
          <w:rStyle w:val="VerbatimChar"/>
        </w:rPr>
        <w:t xml:space="preserve">EHDS implementing acts 2026 secure processing environment specifications adopted status</w:t>
      </w:r>
    </w:p>
    <w:p>
      <w:pPr>
        <w:pStyle w:val="Compact"/>
        <w:numPr>
          <w:ilvl w:val="0"/>
          <w:numId w:val="1010"/>
        </w:numPr>
      </w:pPr>
      <w:r>
        <w:rPr>
          <w:rStyle w:val="VerbatimChar"/>
        </w:rPr>
        <w:t xml:space="preserve">eprint 2026/1109 SoK cryptographic erasure public ledgers Destruction-IND</w:t>
      </w:r>
    </w:p>
    <w:p>
      <w:pPr>
        <w:pStyle w:val="Compact"/>
        <w:numPr>
          <w:ilvl w:val="0"/>
          <w:numId w:val="1010"/>
        </w:numPr>
      </w:pPr>
      <w:r>
        <w:rPr>
          <w:rStyle w:val="VerbatimChar"/>
        </w:rPr>
        <w:t xml:space="preserve">GDPR Article 12(3) one month respond erasure request extension two months</w:t>
      </w:r>
    </w:p>
    <w:p>
      <w:pPr>
        <w:pStyle w:val="Compact"/>
        <w:numPr>
          <w:ilvl w:val="0"/>
          <w:numId w:val="1010"/>
        </w:numPr>
      </w:pPr>
      <w:r>
        <w:rPr>
          <w:rStyle w:val="VerbatimChar"/>
        </w:rPr>
        <w:t xml:space="preserve">SPUHiN D5.2 recommendations minimum requirements secure processing final helsedirektoratet</w:t>
      </w:r>
    </w:p>
    <w:p>
      <w:pPr>
        <w:pStyle w:val="Compact"/>
        <w:numPr>
          <w:ilvl w:val="0"/>
          <w:numId w:val="1010"/>
        </w:numPr>
      </w:pPr>
      <w:r>
        <w:rPr>
          <w:rStyle w:val="VerbatimChar"/>
        </w:rPr>
        <w:t xml:space="preserve">Reardon Basin Capkun SoK secure data deletion 2013 IEEE</w:t>
      </w:r>
    </w:p>
    <w:p>
      <w:pPr>
        <w:pStyle w:val="Compact"/>
        <w:numPr>
          <w:ilvl w:val="0"/>
          <w:numId w:val="1010"/>
        </w:numPr>
      </w:pPr>
      <w:r>
        <w:rPr>
          <w:rStyle w:val="VerbatimChar"/>
        </w:rPr>
        <w:t xml:space="preserve">Finck blockchain GDPR European Parliament study 2019 can distributed ledgers be squared right erasure</w:t>
      </w:r>
    </w:p>
    <w:p>
      <w:pPr>
        <w:pStyle w:val="Compact"/>
        <w:numPr>
          <w:ilvl w:val="0"/>
          <w:numId w:val="1010"/>
        </w:numPr>
      </w:pPr>
      <w:r>
        <w:rPr>
          <w:rStyle w:val="VerbatimChar"/>
        </w:rPr>
        <w:t xml:space="preserve">Datatilsynet sletting anonymisering kryptering personopplysninger krav</w:t>
      </w:r>
    </w:p>
    <w:p>
      <w:pPr>
        <w:pStyle w:val="Compact"/>
        <w:numPr>
          <w:ilvl w:val="0"/>
          <w:numId w:val="1010"/>
        </w:numPr>
      </w:pPr>
      <w:r>
        <w:rPr>
          <w:rStyle w:val="VerbatimChar"/>
        </w:rPr>
        <w:t xml:space="preserve">formal model audit retention versus erasure crypto-shredding paper 2026</w:t>
      </w:r>
    </w:p>
    <w:bookmarkEnd w:id="140"/>
    <w:bookmarkStart w:id="141"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 verified</w:t>
            </w:r>
          </w:p>
        </w:tc>
        <w:tc>
          <w:tcPr>
            <w:tcBorders>
              <w:bottom w:val="single" w:sz="8" w:space="0" w:color="333333"/>
            </w:tcBorders>
            <w:shd w:val="clear" w:color="auto" w:fill="E8EDF4"/>
          </w:tcPr>
          <w:p>
            <w:pPr>
              <w:pStyle w:val="Compact"/>
              <w:jc w:val="left"/>
            </w:pPr>
            <w:r>
              <w:rPr>
                <w:b/>
                <w:sz w:val="20"/>
                <w:szCs w:val="20"/>
              </w:rPr>
              <w:t xml:space="preserve">Outcome</w:t>
            </w:r>
          </w:p>
        </w:tc>
      </w:tr>
      <w:tr>
        <w:trPr>
          <w:cantSplit/>
        </w:trPr>
        <w:tc>
          <w:tcPr/>
          <w:p>
            <w:pPr>
              <w:pStyle w:val="Compact"/>
              <w:jc w:val="left"/>
            </w:pPr>
            <w:r>
              <w:rPr>
                <w:sz w:val="20"/>
                <w:szCs w:val="20"/>
              </w:rPr>
              <w:t xml:space="preserve">60</w:t>
            </w:r>
          </w:p>
        </w:tc>
        <w:tc>
          <w:tcPr/>
          <w:p>
            <w:pPr>
              <w:pStyle w:val="Compact"/>
              <w:jc w:val="left"/>
            </w:pPr>
            <w:r>
              <w:rPr>
                <w:sz w:val="20"/>
                <w:szCs w:val="20"/>
              </w:rPr>
              <w:t xml:space="preserve">European Commission EHDS Regulation page, and whether a separate</w:t>
            </w:r>
            <w:r>
              <w:rPr>
                <w:sz w:val="20"/>
                <w:szCs w:val="20"/>
              </w:rPr>
              <w:t xml:space="preserve"> </w:t>
            </w:r>
            <w:r>
              <w:rPr>
                <w:iCs/>
                <w:i/>
                <w:sz w:val="20"/>
                <w:szCs w:val="20"/>
              </w:rPr>
              <w:t xml:space="preserve">Implementation calendar</w:t>
            </w:r>
            <w:r>
              <w:rPr>
                <w:sz w:val="20"/>
                <w:szCs w:val="20"/>
              </w:rPr>
              <w:t xml:space="preserve"> </w:t>
            </w:r>
            <w:r>
              <w:rPr>
                <w:sz w:val="20"/>
                <w:szCs w:val="20"/>
              </w:rPr>
              <w:t xml:space="preserve">document exists</w:t>
            </w:r>
          </w:p>
        </w:tc>
        <w:tc>
          <w:tcPr/>
          <w:p>
            <w:pPr>
              <w:pStyle w:val="Compact"/>
              <w:jc w:val="left"/>
            </w:pPr>
            <w:r>
              <w:rPr>
                <w:bCs/>
                <w:b/>
                <w:sz w:val="20"/>
                <w:szCs w:val="20"/>
              </w:rPr>
              <w:t xml:space="preserve">No such document.</w:t>
            </w:r>
            <w:r>
              <w:rPr>
                <w:sz w:val="20"/>
                <w:szCs w:val="20"/>
              </w:rPr>
              <w:t xml:space="preserve"> </w:t>
            </w:r>
            <w:r>
              <w:rPr>
                <w:sz w:val="20"/>
                <w:szCs w:val="20"/>
              </w:rPr>
              <w:t xml:space="preserve">The milestones are a section of the Regulation page headed</w:t>
            </w:r>
            <w:r>
              <w:rPr>
                <w:sz w:val="20"/>
                <w:szCs w:val="20"/>
              </w:rPr>
              <w:t xml:space="preserve"> </w:t>
            </w:r>
            <w:r>
              <w:rPr>
                <w:sz w:val="20"/>
                <w:szCs w:val="20"/>
              </w:rPr>
              <w:t xml:space="preserve">“</w:t>
            </w:r>
            <w:r>
              <w:rPr>
                <w:sz w:val="20"/>
                <w:szCs w:val="20"/>
              </w:rPr>
              <w:t xml:space="preserve">Key milestones towards full implementation</w:t>
            </w:r>
            <w:r>
              <w:rPr>
                <w:sz w:val="20"/>
                <w:szCs w:val="20"/>
              </w:rPr>
              <w:t xml:space="preserve">”</w:t>
            </w:r>
            <w:r>
              <w:rPr>
                <w:sz w:val="20"/>
                <w:szCs w:val="20"/>
              </w:rPr>
              <w:t xml:space="preserve">. Entry removed</w:t>
            </w:r>
          </w:p>
        </w:tc>
      </w:tr>
      <w:tr>
        <w:trPr>
          <w:cantSplit/>
        </w:trPr>
        <w:tc>
          <w:tcPr/>
          <w:p>
            <w:pPr>
              <w:pStyle w:val="Compact"/>
              <w:jc w:val="left"/>
            </w:pPr>
            <w:r>
              <w:rPr>
                <w:sz w:val="20"/>
                <w:szCs w:val="20"/>
              </w:rPr>
              <w:t xml:space="preserve">61</w:t>
            </w:r>
          </w:p>
        </w:tc>
        <w:tc>
          <w:tcPr/>
          <w:p>
            <w:pPr>
              <w:pStyle w:val="Compact"/>
              <w:jc w:val="left"/>
            </w:pPr>
            <w:r>
              <w:rPr>
                <w:sz w:val="20"/>
                <w:szCs w:val="20"/>
              </w:rPr>
              <w:t xml:space="preserve">Helsedirektoratet national e-health portfolio, MyHealth@EU measures</w:t>
            </w:r>
          </w:p>
        </w:tc>
        <w:tc>
          <w:tcPr/>
          <w:p>
            <w:pPr>
              <w:pStyle w:val="Compact"/>
              <w:jc w:val="left"/>
            </w:pPr>
            <w:r>
              <w:rPr>
                <w:sz w:val="20"/>
                <w:szCs w:val="20"/>
              </w:rPr>
              <w:t xml:space="preserve">The</w:t>
            </w:r>
            <w:r>
              <w:rPr>
                <w:sz w:val="20"/>
                <w:szCs w:val="20"/>
              </w:rPr>
              <w:t xml:space="preserve"> </w:t>
            </w:r>
            <w:r>
              <w:rPr>
                <w:iCs/>
                <w:i/>
                <w:sz w:val="20"/>
                <w:szCs w:val="20"/>
              </w:rPr>
              <w:t xml:space="preserve">Norsk helsenett</w:t>
            </w:r>
            <w:r>
              <w:rPr>
                <w:sz w:val="20"/>
                <w:szCs w:val="20"/>
              </w:rPr>
              <w:t xml:space="preserve"> </w:t>
            </w:r>
            <w:r>
              <w:rPr>
                <w:sz w:val="20"/>
                <w:szCs w:val="20"/>
              </w:rPr>
              <w:t xml:space="preserve">measure returns HTTP 404 and no live equivalent exists; the portfolio lists Helsedirektoratet and KS measures only. Entry removed</w:t>
            </w:r>
          </w:p>
        </w:tc>
      </w:tr>
      <w:tr>
        <w:trPr>
          <w:cantSplit/>
        </w:trPr>
        <w:tc>
          <w:tcPr/>
          <w:p>
            <w:pPr>
              <w:pStyle w:val="Compact"/>
              <w:jc w:val="left"/>
            </w:pPr>
            <w:r>
              <w:rPr>
                <w:sz w:val="20"/>
                <w:szCs w:val="20"/>
              </w:rPr>
              <w:t xml:space="preserve">62</w:t>
            </w:r>
          </w:p>
        </w:tc>
        <w:tc>
          <w:tcPr/>
          <w:p>
            <w:pPr>
              <w:pStyle w:val="Compact"/>
              <w:jc w:val="left"/>
            </w:pPr>
            <w:r>
              <w:rPr>
                <w:sz w:val="20"/>
                <w:szCs w:val="20"/>
              </w:rPr>
              <w:t xml:space="preserve">IHE ITI Technical Framework Volume 1 Chapter 9, revision and date</w:t>
            </w:r>
          </w:p>
        </w:tc>
        <w:tc>
          <w:tcPr/>
          <w:p>
            <w:pPr>
              <w:pStyle w:val="Compact"/>
              <w:jc w:val="left"/>
            </w:pPr>
            <w:r>
              <w:rPr>
                <w:sz w:val="20"/>
                <w:szCs w:val="20"/>
              </w:rPr>
              <w:t xml:space="preserve">Revision 20.0, 4 August 2023, Final Text. The cited year 2024 was wrong and was corrected</w:t>
            </w:r>
          </w:p>
        </w:tc>
      </w:tr>
      <w:tr>
        <w:trPr>
          <w:cantSplit/>
        </w:trPr>
        <w:tc>
          <w:tcPr/>
          <w:p>
            <w:pPr>
              <w:pStyle w:val="Compact"/>
              <w:jc w:val="left"/>
            </w:pPr>
            <w:r>
              <w:rPr>
                <w:sz w:val="20"/>
                <w:szCs w:val="20"/>
              </w:rPr>
              <w:t xml:space="preserve">63</w:t>
            </w:r>
          </w:p>
        </w:tc>
        <w:tc>
          <w:tcPr/>
          <w:p>
            <w:pPr>
              <w:pStyle w:val="Compact"/>
              <w:jc w:val="left"/>
            </w:pPr>
            <w:r>
              <w:rPr>
                <w:sz w:val="20"/>
                <w:szCs w:val="20"/>
              </w:rPr>
              <w:t xml:space="preserve">VeritasChain Standards Organization, legal standing and accreditation</w:t>
            </w:r>
          </w:p>
        </w:tc>
        <w:tc>
          <w:tcPr/>
          <w:p>
            <w:pPr>
              <w:pStyle w:val="Compact"/>
              <w:jc w:val="left"/>
            </w:pPr>
            <w:r>
              <w:rPr>
                <w:sz w:val="20"/>
                <w:szCs w:val="20"/>
              </w:rPr>
              <w:t xml:space="preserve">Founded 24 November 2025; not a registered legal entity; operationally supported by VeritasChain Inc.; states it is</w:t>
            </w:r>
            <w:r>
              <w:rPr>
                <w:sz w:val="20"/>
                <w:szCs w:val="20"/>
              </w:rPr>
              <w:t xml:space="preserve"> </w:t>
            </w:r>
            <w:r>
              <w:rPr>
                <w:sz w:val="20"/>
                <w:szCs w:val="20"/>
              </w:rPr>
              <w:t xml:space="preserve">“</w:t>
            </w:r>
            <w:r>
              <w:rPr>
                <w:sz w:val="20"/>
                <w:szCs w:val="20"/>
              </w:rPr>
              <w:t xml:space="preserve">aspiring to be</w:t>
            </w:r>
            <w:r>
              <w:rPr>
                <w:sz w:val="20"/>
                <w:szCs w:val="20"/>
              </w:rPr>
              <w:t xml:space="preserve">”</w:t>
            </w:r>
            <w:r>
              <w:rPr>
                <w:sz w:val="20"/>
                <w:szCs w:val="20"/>
              </w:rPr>
              <w:t xml:space="preserve"> </w:t>
            </w:r>
            <w:r>
              <w:rPr>
                <w:sz w:val="20"/>
                <w:szCs w:val="20"/>
              </w:rPr>
              <w:t xml:space="preserve">comparable to ISO, IEEE and IETF. Retained with its standing stated, not as a standards body</w:t>
            </w:r>
          </w:p>
        </w:tc>
      </w:tr>
      <w:tr>
        <w:trPr>
          <w:cantSplit/>
        </w:trPr>
        <w:tc>
          <w:tcPr/>
          <w:p>
            <w:pPr>
              <w:pStyle w:val="Compact"/>
              <w:jc w:val="left"/>
            </w:pPr>
            <w:r>
              <w:rPr>
                <w:sz w:val="20"/>
                <w:szCs w:val="20"/>
              </w:rPr>
              <w:t xml:space="preserve">64</w:t>
            </w:r>
          </w:p>
        </w:tc>
        <w:tc>
          <w:tcPr/>
          <w:p>
            <w:pPr>
              <w:pStyle w:val="Compact"/>
              <w:jc w:val="left"/>
            </w:pPr>
            <w:r>
              <w:rPr>
                <w:sz w:val="20"/>
                <w:szCs w:val="20"/>
              </w:rPr>
              <w:t xml:space="preserve">helsedata.no, the page cited as</w:t>
            </w:r>
            <w:r>
              <w:rPr>
                <w:sz w:val="20"/>
                <w:szCs w:val="20"/>
              </w:rPr>
              <w:t xml:space="preserve"> </w:t>
            </w:r>
            <w:r>
              <w:rPr>
                <w:iCs/>
                <w:i/>
                <w:sz w:val="20"/>
                <w:szCs w:val="20"/>
              </w:rPr>
              <w:t xml:space="preserve">Application workflow and fees</w:t>
            </w:r>
          </w:p>
        </w:tc>
        <w:tc>
          <w:tcPr/>
          <w:p>
            <w:pPr>
              <w:pStyle w:val="Compact"/>
              <w:jc w:val="left"/>
            </w:pPr>
            <w:r>
              <w:rPr>
                <w:sz w:val="20"/>
                <w:szCs w:val="20"/>
              </w:rPr>
              <w:t xml:space="preserve">No page of that title. The page is</w:t>
            </w:r>
            <w:r>
              <w:rPr>
                <w:sz w:val="20"/>
                <w:szCs w:val="20"/>
              </w:rPr>
              <w:t xml:space="preserve"> </w:t>
            </w:r>
            <w:r>
              <w:rPr>
                <w:iCs/>
                <w:i/>
                <w:sz w:val="20"/>
                <w:szCs w:val="20"/>
              </w:rPr>
              <w:t xml:space="preserve">Fees and processing times</w:t>
            </w:r>
            <w:r>
              <w:rPr>
                <w:sz w:val="20"/>
                <w:szCs w:val="20"/>
              </w:rPr>
              <w:t xml:space="preserve"> </w:t>
            </w:r>
            <w:r>
              <w:rPr>
                <w:sz w:val="20"/>
                <w:szCs w:val="20"/>
              </w:rPr>
              <w:t xml:space="preserve">and carries no publication year</w:t>
            </w:r>
          </w:p>
        </w:tc>
      </w:tr>
      <w:tr>
        <w:trPr>
          <w:cantSplit/>
        </w:trPr>
        <w:tc>
          <w:tcPr/>
          <w:p>
            <w:pPr>
              <w:pStyle w:val="Compact"/>
              <w:jc w:val="left"/>
            </w:pPr>
            <w:r>
              <w:rPr>
                <w:sz w:val="20"/>
                <w:szCs w:val="20"/>
              </w:rPr>
              <w:t xml:space="preserve">65</w:t>
            </w:r>
          </w:p>
        </w:tc>
        <w:tc>
          <w:tcPr/>
          <w:p>
            <w:pPr>
              <w:pStyle w:val="Compact"/>
              <w:jc w:val="left"/>
            </w:pPr>
            <w:r>
              <w:rPr>
                <w:sz w:val="20"/>
                <w:szCs w:val="20"/>
              </w:rPr>
              <w:t xml:space="preserve">TEHDAS2 deliverable D6.3, version and date</w:t>
            </w:r>
          </w:p>
        </w:tc>
        <w:tc>
          <w:tcPr/>
          <w:p>
            <w:pPr>
              <w:pStyle w:val="Compact"/>
              <w:jc w:val="left"/>
            </w:pPr>
            <w:r>
              <w:rPr>
                <w:sz w:val="20"/>
                <w:szCs w:val="20"/>
              </w:rPr>
              <w:t xml:space="preserve">The final is Version 2.0, 24 February 2026; the 2025 document is Version 1.5, a final draft. Dated accordingly</w:t>
            </w:r>
          </w:p>
        </w:tc>
      </w:tr>
      <w:tr>
        <w:trPr>
          <w:cantSplit/>
        </w:trPr>
        <w:tc>
          <w:tcPr/>
          <w:p>
            <w:pPr>
              <w:pStyle w:val="Compact"/>
              <w:jc w:val="left"/>
            </w:pPr>
            <w:r>
              <w:rPr>
                <w:sz w:val="20"/>
                <w:szCs w:val="20"/>
              </w:rPr>
              <w:t xml:space="preserve">66</w:t>
            </w:r>
          </w:p>
        </w:tc>
        <w:tc>
          <w:tcPr/>
          <w:p>
            <w:pPr>
              <w:pStyle w:val="Compact"/>
              <w:jc w:val="left"/>
            </w:pPr>
            <w:r>
              <w:rPr>
                <w:sz w:val="20"/>
                <w:szCs w:val="20"/>
              </w:rPr>
              <w:t xml:space="preserve">Journal of Data Intelligence 3(1), Scope et al.</w:t>
            </w:r>
          </w:p>
        </w:tc>
        <w:tc>
          <w:tcPr/>
          <w:p>
            <w:pPr>
              <w:pStyle w:val="Compact"/>
              <w:jc w:val="left"/>
            </w:pPr>
            <w:r>
              <w:rPr>
                <w:sz w:val="20"/>
                <w:szCs w:val="20"/>
              </w:rPr>
              <w:t xml:space="preserve">Pages 149–168, added. No DOI is issued by the publisher</w:t>
            </w:r>
          </w:p>
        </w:tc>
      </w:tr>
      <w:tr>
        <w:trPr>
          <w:cantSplit/>
        </w:trPr>
        <w:tc>
          <w:tcPr/>
          <w:p>
            <w:pPr>
              <w:pStyle w:val="Compact"/>
              <w:jc w:val="left"/>
            </w:pPr>
            <w:r>
              <w:rPr>
                <w:sz w:val="20"/>
                <w:szCs w:val="20"/>
              </w:rPr>
              <w:t xml:space="preserve">67</w:t>
            </w:r>
          </w:p>
        </w:tc>
        <w:tc>
          <w:tcPr/>
          <w:p>
            <w:pPr>
              <w:pStyle w:val="Compact"/>
              <w:jc w:val="left"/>
            </w:pPr>
            <w:r>
              <w:rPr>
                <w:sz w:val="20"/>
                <w:szCs w:val="20"/>
              </w:rPr>
              <w:t xml:space="preserve">Finck (2019) European Parliament STOA study</w:t>
            </w:r>
          </w:p>
        </w:tc>
        <w:tc>
          <w:tcPr/>
          <w:p>
            <w:pPr>
              <w:pStyle w:val="Compact"/>
              <w:jc w:val="left"/>
            </w:pPr>
            <w:r>
              <w:rPr>
                <w:sz w:val="20"/>
                <w:szCs w:val="20"/>
              </w:rPr>
              <w:t xml:space="preserve">DOI 10.2861/535, PE 634.445</w:t>
            </w:r>
          </w:p>
        </w:tc>
      </w:tr>
      <w:tr>
        <w:trPr>
          <w:cantSplit/>
        </w:trPr>
        <w:tc>
          <w:tcPr/>
          <w:p>
            <w:pPr>
              <w:pStyle w:val="Compact"/>
              <w:jc w:val="left"/>
            </w:pPr>
            <w:r>
              <w:rPr>
                <w:sz w:val="20"/>
                <w:szCs w:val="20"/>
              </w:rPr>
              <w:t xml:space="preserve">68</w:t>
            </w:r>
          </w:p>
        </w:tc>
        <w:tc>
          <w:tcPr/>
          <w:p>
            <w:pPr>
              <w:pStyle w:val="Compact"/>
              <w:jc w:val="left"/>
            </w:pPr>
            <w:r>
              <w:rPr>
                <w:sz w:val="20"/>
                <w:szCs w:val="20"/>
              </w:rPr>
              <w:t xml:space="preserve">United States Patent 12,425,209</w:t>
            </w:r>
          </w:p>
        </w:tc>
        <w:tc>
          <w:tcPr/>
          <w:p>
            <w:pPr>
              <w:pStyle w:val="Compact"/>
              <w:jc w:val="left"/>
            </w:pPr>
            <w:r>
              <w:rPr>
                <w:sz w:val="20"/>
                <w:szCs w:val="20"/>
              </w:rPr>
              <w:t xml:space="preserve">Confirmed: kind code B2, granted 23 September 2025, inventors Scope and Rasin</w:t>
            </w:r>
          </w:p>
        </w:tc>
      </w:tr>
      <w:tr>
        <w:trPr>
          <w:cantSplit/>
        </w:trPr>
        <w:tc>
          <w:tcPr/>
          <w:p>
            <w:pPr>
              <w:pStyle w:val="Compact"/>
              <w:jc w:val="left"/>
            </w:pPr>
            <w:r>
              <w:rPr>
                <w:sz w:val="20"/>
                <w:szCs w:val="20"/>
              </w:rPr>
              <w:t xml:space="preserve">69</w:t>
            </w:r>
          </w:p>
        </w:tc>
        <w:tc>
          <w:tcPr/>
          <w:p>
            <w:pPr>
              <w:pStyle w:val="Compact"/>
              <w:jc w:val="left"/>
            </w:pPr>
            <w:r>
              <w:rPr>
                <w:sz w:val="20"/>
                <w:szCs w:val="20"/>
              </w:rPr>
              <w:t xml:space="preserve">Staffa et al. (2018) KONFIDO chapter</w:t>
            </w:r>
          </w:p>
        </w:tc>
        <w:tc>
          <w:tcPr/>
          <w:p>
            <w:pPr>
              <w:pStyle w:val="Compact"/>
              <w:jc w:val="left"/>
            </w:pPr>
            <w:r>
              <w:rPr>
                <w:sz w:val="20"/>
                <w:szCs w:val="20"/>
              </w:rPr>
              <w:t xml:space="preserve">DOI 10.1007/978-3-319-95189-8_2, all eight authors confirmed against the publisher record</w:t>
            </w:r>
          </w:p>
        </w:tc>
      </w:tr>
      <w:tr>
        <w:trPr>
          <w:cantSplit/>
        </w:trPr>
        <w:tc>
          <w:tcPr/>
          <w:p>
            <w:pPr>
              <w:pStyle w:val="Compact"/>
              <w:jc w:val="left"/>
            </w:pPr>
            <w:r>
              <w:rPr>
                <w:sz w:val="20"/>
                <w:szCs w:val="20"/>
              </w:rPr>
              <w:t xml:space="preserve">70</w:t>
            </w:r>
          </w:p>
        </w:tc>
        <w:tc>
          <w:tcPr/>
          <w:p>
            <w:pPr>
              <w:pStyle w:val="Compact"/>
              <w:jc w:val="left"/>
            </w:pPr>
            <w:r>
              <w:rPr>
                <w:sz w:val="20"/>
                <w:szCs w:val="20"/>
              </w:rPr>
              <w:t xml:space="preserve">Broadbent and Islam (2020), Springer chapter and arXiv identifier</w:t>
            </w:r>
          </w:p>
        </w:tc>
        <w:tc>
          <w:tcPr/>
          <w:p>
            <w:pPr>
              <w:pStyle w:val="Compact"/>
              <w:jc w:val="left"/>
            </w:pPr>
            <w:r>
              <w:rPr>
                <w:sz w:val="20"/>
                <w:szCs w:val="20"/>
              </w:rPr>
              <w:t xml:space="preserve">DOI 10.1007/978-3-030-64381-2_4; LNCS 12552, pp. 92–122; arXiv:1910.03551 confirmed</w:t>
            </w:r>
          </w:p>
        </w:tc>
      </w:tr>
      <w:tr>
        <w:trPr>
          <w:cantSplit/>
        </w:trPr>
        <w:tc>
          <w:tcPr/>
          <w:p>
            <w:pPr>
              <w:pStyle w:val="Compact"/>
              <w:jc w:val="left"/>
            </w:pPr>
            <w:r>
              <w:rPr>
                <w:sz w:val="20"/>
                <w:szCs w:val="20"/>
              </w:rPr>
              <w:t xml:space="preserve">71</w:t>
            </w:r>
          </w:p>
        </w:tc>
        <w:tc>
          <w:tcPr/>
          <w:p>
            <w:pPr>
              <w:pStyle w:val="Compact"/>
              <w:jc w:val="left"/>
            </w:pPr>
            <w:r>
              <w:rPr>
                <w:sz w:val="20"/>
                <w:szCs w:val="20"/>
              </w:rPr>
              <w:t xml:space="preserve">Bursuc et al. (2024), publication status</w:t>
            </w:r>
          </w:p>
        </w:tc>
        <w:tc>
          <w:tcPr/>
          <w:p>
            <w:pPr>
              <w:pStyle w:val="Compact"/>
              <w:jc w:val="left"/>
            </w:pPr>
            <w:r>
              <w:rPr>
                <w:sz w:val="20"/>
                <w:szCs w:val="20"/>
              </w:rPr>
              <w:t xml:space="preserve">Since published at the 37th IEEE Computer Security Foundations Symposium, July 2024. The IEEE DOI could not be retrieved and is therefore not stated</w:t>
            </w:r>
          </w:p>
        </w:tc>
      </w:tr>
      <w:tr>
        <w:trPr>
          <w:cantSplit/>
        </w:trPr>
        <w:tc>
          <w:tcPr/>
          <w:p>
            <w:pPr>
              <w:pStyle w:val="Compact"/>
              <w:jc w:val="left"/>
            </w:pPr>
            <w:r>
              <w:rPr>
                <w:sz w:val="20"/>
                <w:szCs w:val="20"/>
              </w:rPr>
              <w:t xml:space="preserve">72</w:t>
            </w:r>
          </w:p>
        </w:tc>
        <w:tc>
          <w:tcPr/>
          <w:p>
            <w:pPr>
              <w:pStyle w:val="Compact"/>
              <w:jc w:val="left"/>
            </w:pPr>
            <w:r>
              <w:rPr>
                <w:sz w:val="20"/>
                <w:szCs w:val="20"/>
              </w:rPr>
              <w:t xml:space="preserve">SPUHiN deliverable D5.2, public-hearing version</w:t>
            </w:r>
          </w:p>
        </w:tc>
        <w:tc>
          <w:tcPr/>
          <w:p>
            <w:pPr>
              <w:pStyle w:val="Compact"/>
              <w:jc w:val="left"/>
            </w:pPr>
            <w:r>
              <w:rPr>
                <w:sz w:val="20"/>
                <w:szCs w:val="20"/>
              </w:rPr>
              <w:t xml:space="preserve">The consultation page has been withdrawn and returns 404. No stable locator established; the entry says so and cites the project page</w:t>
            </w:r>
          </w:p>
        </w:tc>
      </w:tr>
      <w:tr>
        <w:trPr>
          <w:cantSplit/>
        </w:trPr>
        <w:tc>
          <w:tcPr/>
          <w:p>
            <w:pPr>
              <w:pStyle w:val="Compact"/>
              <w:jc w:val="left"/>
            </w:pPr>
            <w:r>
              <w:rPr>
                <w:sz w:val="20"/>
                <w:szCs w:val="20"/>
              </w:rPr>
              <w:t xml:space="preserve">73</w:t>
            </w:r>
          </w:p>
        </w:tc>
        <w:tc>
          <w:tcPr/>
          <w:p>
            <w:pPr>
              <w:pStyle w:val="Compact"/>
              <w:jc w:val="left"/>
            </w:pPr>
            <w:r>
              <w:rPr>
                <w:sz w:val="20"/>
                <w:szCs w:val="20"/>
              </w:rPr>
              <w:t xml:space="preserve">Deloitte Advokatfirma commentary, publication date</w:t>
            </w:r>
          </w:p>
        </w:tc>
        <w:tc>
          <w:tcPr/>
          <w:p>
            <w:pPr>
              <w:pStyle w:val="Compact"/>
              <w:jc w:val="left"/>
            </w:pPr>
            <w:r>
              <w:rPr>
                <w:sz w:val="20"/>
                <w:szCs w:val="20"/>
              </w:rPr>
              <w:t xml:space="preserve">Published 24 August 2020. The citation’s</w:t>
            </w:r>
            <w:r>
              <w:rPr>
                <w:sz w:val="20"/>
                <w:szCs w:val="20"/>
              </w:rPr>
              <w:t xml:space="preserve"> </w:t>
            </w:r>
            <w:r>
              <w:rPr>
                <w:sz w:val="20"/>
                <w:szCs w:val="20"/>
              </w:rPr>
              <w:t xml:space="preserve">“</w:t>
            </w:r>
            <w:r>
              <w:rPr>
                <w:sz w:val="20"/>
                <w:szCs w:val="20"/>
              </w:rPr>
              <w:t xml:space="preserve">n.d.</w:t>
            </w:r>
            <w:r>
              <w:rPr>
                <w:sz w:val="20"/>
                <w:szCs w:val="20"/>
              </w:rPr>
              <w:t xml:space="preserve">”</w:t>
            </w:r>
            <w:r>
              <w:rPr>
                <w:sz w:val="20"/>
                <w:szCs w:val="20"/>
              </w:rPr>
              <w:t xml:space="preserve"> </w:t>
            </w:r>
            <w:r>
              <w:rPr>
                <w:sz w:val="20"/>
                <w:szCs w:val="20"/>
              </w:rPr>
              <w:t xml:space="preserve">was avoidable and was corrected</w:t>
            </w:r>
          </w:p>
        </w:tc>
      </w:tr>
      <w:tr>
        <w:trPr>
          <w:cantSplit/>
        </w:trPr>
        <w:tc>
          <w:tcPr/>
          <w:p>
            <w:pPr>
              <w:pStyle w:val="Compact"/>
              <w:jc w:val="left"/>
            </w:pPr>
            <w:r>
              <w:rPr>
                <w:sz w:val="20"/>
                <w:szCs w:val="20"/>
              </w:rPr>
              <w:t xml:space="preserve">74</w:t>
            </w:r>
          </w:p>
        </w:tc>
        <w:tc>
          <w:tcPr/>
          <w:p>
            <w:pPr>
              <w:pStyle w:val="Compact"/>
              <w:jc w:val="left"/>
            </w:pPr>
            <w:r>
              <w:rPr>
                <w:sz w:val="20"/>
                <w:szCs w:val="20"/>
              </w:rPr>
              <w:t xml:space="preserve">Norsk forening for allmennmedisin consultation response</w:t>
            </w:r>
          </w:p>
        </w:tc>
        <w:tc>
          <w:tcPr/>
          <w:p>
            <w:pPr>
              <w:pStyle w:val="Compact"/>
              <w:jc w:val="left"/>
            </w:pPr>
            <w:r>
              <w:rPr>
                <w:sz w:val="20"/>
                <w:szCs w:val="20"/>
              </w:rPr>
              <w:t xml:space="preserve">Retrieved. The citation read</w:t>
            </w:r>
            <w:r>
              <w:rPr>
                <w:sz w:val="20"/>
                <w:szCs w:val="20"/>
              </w:rPr>
              <w:t xml:space="preserve"> </w:t>
            </w:r>
            <w:r>
              <w:rPr>
                <w:sz w:val="20"/>
                <w:szCs w:val="20"/>
              </w:rPr>
              <w:t xml:space="preserve">“</w:t>
            </w:r>
            <w:r>
              <w:rPr>
                <w:sz w:val="20"/>
                <w:szCs w:val="20"/>
              </w:rPr>
              <w:t xml:space="preserve">analyserum</w:t>
            </w:r>
            <w:r>
              <w:rPr>
                <w:sz w:val="20"/>
                <w:szCs w:val="20"/>
              </w:rPr>
              <w:t xml:space="preserve">”</w:t>
            </w:r>
            <w:r>
              <w:rPr>
                <w:sz w:val="20"/>
                <w:szCs w:val="20"/>
              </w:rPr>
              <w:t xml:space="preserve">; the document reads</w:t>
            </w:r>
            <w:r>
              <w:rPr>
                <w:sz w:val="20"/>
                <w:szCs w:val="20"/>
              </w:rPr>
              <w:t xml:space="preserve"> </w:t>
            </w:r>
            <w:r>
              <w:rPr>
                <w:sz w:val="20"/>
                <w:szCs w:val="20"/>
              </w:rPr>
              <w:t xml:space="preserve">“</w:t>
            </w:r>
            <w:r>
              <w:rPr>
                <w:sz w:val="20"/>
                <w:szCs w:val="20"/>
              </w:rPr>
              <w:t xml:space="preserve">analyserom</w:t>
            </w:r>
            <w:r>
              <w:rPr>
                <w:sz w:val="20"/>
                <w:szCs w:val="20"/>
              </w:rPr>
              <w:t xml:space="preserve">”</w:t>
            </w:r>
          </w:p>
        </w:tc>
      </w:tr>
      <w:tr>
        <w:trPr>
          <w:cantSplit/>
        </w:trPr>
        <w:tc>
          <w:tcPr/>
          <w:p>
            <w:pPr>
              <w:pStyle w:val="Compact"/>
              <w:jc w:val="left"/>
            </w:pPr>
            <w:r>
              <w:rPr>
                <w:sz w:val="20"/>
                <w:szCs w:val="20"/>
              </w:rPr>
              <w:t xml:space="preserve">75</w:t>
            </w:r>
          </w:p>
        </w:tc>
        <w:tc>
          <w:tcPr/>
          <w:p>
            <w:pPr>
              <w:pStyle w:val="Compact"/>
              <w:jc w:val="left"/>
            </w:pPr>
            <w:r>
              <w:rPr>
                <w:sz w:val="20"/>
                <w:szCs w:val="20"/>
              </w:rPr>
              <w:t xml:space="preserve">Norwegian Maritime Authority 2023 amendment</w:t>
            </w:r>
          </w:p>
        </w:tc>
        <w:tc>
          <w:tcPr/>
          <w:p>
            <w:pPr>
              <w:pStyle w:val="Compact"/>
              <w:jc w:val="left"/>
            </w:pPr>
            <w:r>
              <w:rPr>
                <w:sz w:val="20"/>
                <w:szCs w:val="20"/>
              </w:rPr>
              <w:t xml:space="preserve">The cited title was the regulations’ name. The amending instrument is Circular RSR 2-2023</w:t>
            </w:r>
          </w:p>
        </w:tc>
      </w:tr>
      <w:tr>
        <w:trPr>
          <w:cantSplit/>
        </w:trPr>
        <w:tc>
          <w:tcPr/>
          <w:p>
            <w:pPr>
              <w:pStyle w:val="Compact"/>
              <w:jc w:val="left"/>
            </w:pPr>
            <w:r>
              <w:rPr>
                <w:sz w:val="20"/>
                <w:szCs w:val="20"/>
              </w:rPr>
              <w:t xml:space="preserve">76</w:t>
            </w:r>
          </w:p>
        </w:tc>
        <w:tc>
          <w:tcPr/>
          <w:p>
            <w:pPr>
              <w:pStyle w:val="Compact"/>
              <w:jc w:val="left"/>
            </w:pPr>
            <w:r>
              <w:rPr>
                <w:sz w:val="20"/>
                <w:szCs w:val="20"/>
              </w:rPr>
              <w:t xml:space="preserve">EDPB documents 2026a and 2026b, official titles</w:t>
            </w:r>
          </w:p>
        </w:tc>
        <w:tc>
          <w:tcPr/>
          <w:p>
            <w:pPr>
              <w:pStyle w:val="Compact"/>
              <w:jc w:val="left"/>
            </w:pPr>
            <w:r>
              <w:rPr>
                <w:sz w:val="20"/>
                <w:szCs w:val="20"/>
              </w:rPr>
              <w:t xml:space="preserve">Both titles corrected to the Board’s own wording</w:t>
            </w:r>
          </w:p>
        </w:tc>
      </w:tr>
      <w:tr>
        <w:trPr>
          <w:cantSplit/>
        </w:trPr>
        <w:tc>
          <w:tcPr/>
          <w:p>
            <w:pPr>
              <w:pStyle w:val="Compact"/>
              <w:jc w:val="left"/>
            </w:pPr>
            <w:r>
              <w:rPr>
                <w:sz w:val="20"/>
                <w:szCs w:val="20"/>
              </w:rPr>
              <w:t xml:space="preserve">77</w:t>
            </w:r>
          </w:p>
        </w:tc>
        <w:tc>
          <w:tcPr/>
          <w:p>
            <w:pPr>
              <w:pStyle w:val="Compact"/>
              <w:jc w:val="left"/>
            </w:pPr>
            <w:r>
              <w:rPr>
                <w:sz w:val="20"/>
                <w:szCs w:val="20"/>
              </w:rP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rPr>
                <w:sz w:val="20"/>
                <w:szCs w:val="20"/>
              </w:rPr>
              <w:t xml:space="preserve">Locators retrieved and matched against title, issuer and year</w:t>
            </w:r>
          </w:p>
        </w:tc>
      </w:tr>
    </w:tbl>
    <w:p>
      <w:pPr>
        <w:pStyle w:val="BodyText"/>
        <w:spacing w:before="240" w:after="160" w:line="360" w:lineRule="auto"/>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pPr>
        <w:pStyle w:val="BodyText"/>
      </w:pPr>
      <w:r>
        <w:rPr>
          <w:iCs/>
          <w:i/>
        </w:rPr>
        <w:t xml:space="preserve">Total distinct queries logged: 59 discovery and verification queries across four rounds, plus 18 locator verifications in round 5.</w:t>
      </w:r>
    </w:p>
    <w:bookmarkEnd w:id="141"/>
    <w:bookmarkStart w:id="142"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bookmarkEnd w:id="142"/>
    <w:bookmarkEnd w:id="143"/>
    <w:bookmarkStart w:id="163" w:name="appendix-c.-expert-evaluation-instrument"/>
    <w:p>
      <w:pPr>
        <w:pStyle w:val="Heading1"/>
      </w:pPr>
      <w:bookmarkStart w:id="1089" w:name="app_C"/>
      <w:r>
        <w:t xml:space="preserve">Appendix C. Expert Evaluation Instrument</w:t>
      </w:r>
      <w:bookmarkEnd w:id="1089"/>
    </w:p>
    <w:p>
      <w:pPr>
        <w:pStyle w:val="FirstParagraph"/>
      </w:pPr>
      <w:r>
        <w:rPr>
          <w:iCs/>
          <w:i/>
        </w:rPr>
        <w:t xml:space="preserve">(v1.1, 18 September 2026; item A1 reworded October 2026. The instrument specified here was designed following supervisory feedback of September 2026 and constitutes the evaluation design for the next iteration of the design science cycle. Its execution status is stated in </w:t>
      </w:r>
      <w:hyperlink w:anchor="ch_3" w:history="1">
        <w:r>
          <w:rPr>
            <w:rStyle w:val="Hyperlink"/>
            <w:iCs/>
            <w:i/>
          </w:rPr>
          <w:t xml:space="preserve">Chapter 3</w:t>
        </w:r>
      </w:hyperlink>
      <w:r>
        <w:rPr>
          <w:iCs/>
          <w:i/>
        </w:rPr>
        <w:t xml:space="preserve">, </w:t>
      </w:r>
      <w:hyperlink w:anchor="sec_3_8" w:history="1">
        <w:r>
          <w:rPr>
            <w:rStyle w:val="Hyperlink"/>
            <w:iCs/>
            <w:i/>
          </w:rPr>
          <w:t xml:space="preserve">Section 3.8</w:t>
        </w:r>
      </w:hyperlink>
      <w:r>
        <w:rPr>
          <w:iCs/>
          <w:i/>
        </w:rPr>
        <w:t xml:space="preserve">.</w:t>
      </w:r>
      <w:r>
        <w:rPr>
          <w:iCs/>
          <w:i/>
        </w:rPr>
        <w:t xml:space="preserve"> </w:t>
      </w:r>
      <w:r>
        <w:rPr>
          <w:bCs/>
          <w:b/>
          <w:iCs/>
          <w:i/>
        </w:rPr>
        <w:t xml:space="preserve">This is a design, not a fielded instrument. Section C.1 states what is expected to change once it meets real respondents.</w:t>
      </w:r>
      <w:r>
        <w:rPr>
          <w:iCs/>
          <w:i/>
        </w:rPr>
        <w:t xml:space="preserve">)</w:t>
      </w:r>
    </w:p>
    <w:bookmarkStart w:id="145" w:name="c.1-purpose-and-status"/>
    <w:p>
      <w:pPr>
        <w:pStyle w:val="Heading2"/>
      </w:pPr>
      <w:r>
        <w:t xml:space="preserve">C.1 Purpose and status</w:t>
      </w:r>
    </w:p>
    <w:p>
      <w:pPr>
        <w:pStyle w:val="FirstParagraph"/>
      </w:pP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bookmarkStart w:id="144" w:name="X10cc7eb249a3abb40ce6f29806ce7caed2341ed"/>
    <w:p>
      <w:pPr>
        <w:pStyle w:val="Heading3"/>
      </w:pPr>
      <w:r>
        <w:t xml:space="preserve">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bookmarkEnd w:id="144"/>
    <w:bookmarkEnd w:id="145"/>
    <w:bookmarkStart w:id="146"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Perspective</w:t>
            </w:r>
          </w:p>
        </w:tc>
        <w:tc>
          <w:tcPr>
            <w:tcBorders>
              <w:bottom w:val="single" w:sz="8" w:space="0" w:color="333333"/>
            </w:tcBorders>
            <w:shd w:val="clear" w:color="auto" w:fill="E8EDF4"/>
          </w:tcPr>
          <w:p>
            <w:pPr>
              <w:pStyle w:val="Compact"/>
              <w:jc w:val="left"/>
            </w:pPr>
            <w:r>
              <w:rPr>
                <w:b/>
                <w:sz w:val="20"/>
                <w:szCs w:val="20"/>
              </w:rPr>
              <w:t xml:space="preserve">Profile sought</w:t>
            </w:r>
          </w:p>
        </w:tc>
        <w:tc>
          <w:tcPr>
            <w:tcBorders>
              <w:bottom w:val="single" w:sz="8" w:space="0" w:color="333333"/>
            </w:tcBorders>
            <w:shd w:val="clear" w:color="auto" w:fill="E8EDF4"/>
          </w:tcPr>
          <w:p>
            <w:pPr>
              <w:pStyle w:val="Compact"/>
              <w:jc w:val="left"/>
            </w:pPr>
            <w:r>
              <w:rPr>
                <w:b/>
                <w:sz w:val="20"/>
                <w:szCs w:val="20"/>
              </w:rPr>
              <w:t xml:space="preserve">Assesses</w:t>
            </w:r>
          </w:p>
        </w:tc>
      </w:tr>
      <w:tr>
        <w:trPr>
          <w:cantSplit/>
        </w:trPr>
        <w:tc>
          <w:tcPr/>
          <w:p>
            <w:pPr>
              <w:pStyle w:val="Compact"/>
              <w:jc w:val="left"/>
            </w:pPr>
            <w:r>
              <w:rPr>
                <w:sz w:val="20"/>
                <w:szCs w:val="20"/>
              </w:rPr>
              <w:t xml:space="preserve">P1, P2</w:t>
            </w:r>
          </w:p>
        </w:tc>
        <w:tc>
          <w:tcPr/>
          <w:p>
            <w:pPr>
              <w:pStyle w:val="Compact"/>
              <w:jc w:val="left"/>
            </w:pPr>
            <w:r>
              <w:rPr>
                <w:sz w:val="20"/>
                <w:szCs w:val="20"/>
              </w:rPr>
              <w:t xml:space="preserve">Data protection</w:t>
            </w:r>
          </w:p>
        </w:tc>
        <w:tc>
          <w:tcPr/>
          <w:p>
            <w:pPr>
              <w:pStyle w:val="Compact"/>
              <w:jc w:val="left"/>
            </w:pPr>
            <w:r>
              <w:rPr>
                <w:sz w:val="20"/>
                <w:szCs w:val="20"/>
              </w:rPr>
              <w:t xml:space="preserve">Data Protection Officer or privacy counsel in a Norwegian health or research institution</w:t>
            </w:r>
          </w:p>
        </w:tc>
        <w:tc>
          <w:tcPr/>
          <w:p>
            <w:pPr>
              <w:pStyle w:val="Compact"/>
              <w:jc w:val="left"/>
            </w:pPr>
            <w:r>
              <w:rPr>
                <w:sz w:val="20"/>
                <w:szCs w:val="20"/>
              </w:rPr>
              <w:t xml:space="preserve">Whether invalidation is defensible as satisfying retention; whether the surviving residue clears the anonymity threshold; the Article 68(12) scope question</w:t>
            </w:r>
          </w:p>
        </w:tc>
      </w:tr>
      <w:tr>
        <w:trPr>
          <w:cantSplit/>
        </w:trPr>
        <w:tc>
          <w:tcPr/>
          <w:p>
            <w:pPr>
              <w:pStyle w:val="Compact"/>
              <w:jc w:val="left"/>
            </w:pPr>
            <w:r>
              <w:rPr>
                <w:sz w:val="20"/>
                <w:szCs w:val="20"/>
              </w:rPr>
              <w:t xml:space="preserve">P3, P4</w:t>
            </w:r>
          </w:p>
        </w:tc>
        <w:tc>
          <w:tcPr/>
          <w:p>
            <w:pPr>
              <w:pStyle w:val="Compact"/>
              <w:jc w:val="left"/>
            </w:pPr>
            <w:r>
              <w:rPr>
                <w:sz w:val="20"/>
                <w:szCs w:val="20"/>
              </w:rPr>
              <w:t xml:space="preserve">Health IT architecture</w:t>
            </w:r>
          </w:p>
        </w:tc>
        <w:tc>
          <w:tcPr/>
          <w:p>
            <w:pPr>
              <w:pStyle w:val="Compact"/>
              <w:jc w:val="left"/>
            </w:pPr>
            <w:r>
              <w:rPr>
                <w:sz w:val="20"/>
                <w:szCs w:val="20"/>
              </w:rPr>
              <w:t xml:space="preserve">Architect or senior engineer at Norsk Helsenett or Helsedataservice with NCPeH or HDAB exposure</w:t>
            </w:r>
          </w:p>
        </w:tc>
        <w:tc>
          <w:tcPr/>
          <w:p>
            <w:pPr>
              <w:pStyle w:val="Compact"/>
              <w:jc w:val="left"/>
            </w:pPr>
            <w:r>
              <w:rPr>
                <w:sz w:val="20"/>
                <w:szCs w:val="20"/>
              </w:rPr>
              <w:t xml:space="preserve">Whether the mechanism attaches at the right boundary; interoperability consequences; effect on the OpenNCP transmission flow</w:t>
            </w:r>
          </w:p>
        </w:tc>
      </w:tr>
      <w:tr>
        <w:trPr>
          <w:cantSplit/>
        </w:trPr>
        <w:tc>
          <w:tcPr/>
          <w:p>
            <w:pPr>
              <w:pStyle w:val="Compact"/>
              <w:jc w:val="left"/>
            </w:pPr>
            <w:r>
              <w:rPr>
                <w:sz w:val="20"/>
                <w:szCs w:val="20"/>
              </w:rPr>
              <w:t xml:space="preserve">P5, P6</w:t>
            </w:r>
          </w:p>
        </w:tc>
        <w:tc>
          <w:tcPr/>
          <w:p>
            <w:pPr>
              <w:pStyle w:val="Compact"/>
              <w:jc w:val="left"/>
            </w:pPr>
            <w:r>
              <w:rPr>
                <w:sz w:val="20"/>
                <w:szCs w:val="20"/>
              </w:rPr>
              <w:t xml:space="preserve">Secure Processing Environment operation</w:t>
            </w:r>
          </w:p>
        </w:tc>
        <w:tc>
          <w:tcPr/>
          <w:p>
            <w:pPr>
              <w:pStyle w:val="Compact"/>
              <w:jc w:val="left"/>
            </w:pPr>
            <w:r>
              <w:rPr>
                <w:sz w:val="20"/>
                <w:szCs w:val="20"/>
              </w:rPr>
              <w:t xml:space="preserve">Operator or technical lead at a NORTRE node (TSD, SAFE, or HUNT Cloud)</w:t>
            </w:r>
          </w:p>
        </w:tc>
        <w:tc>
          <w:tcPr/>
          <w:p>
            <w:pPr>
              <w:pStyle w:val="Compact"/>
              <w:jc w:val="left"/>
            </w:pPr>
            <w:r>
              <w:rPr>
                <w:sz w:val="20"/>
                <w:szCs w:val="20"/>
              </w:rPr>
              <w:t xml:space="preserve">Key custody in practice; operational burden of per-record granularity; single-point-of-failure risk absent hardware security modules</w:t>
            </w:r>
          </w:p>
        </w:tc>
      </w:tr>
      <w:tr>
        <w:trPr>
          <w:cantSplit/>
        </w:trPr>
        <w:tc>
          <w:tcPr/>
          <w:p>
            <w:pPr>
              <w:pStyle w:val="Compact"/>
              <w:jc w:val="left"/>
            </w:pPr>
            <w:r>
              <w:rPr>
                <w:sz w:val="20"/>
                <w:szCs w:val="20"/>
              </w:rPr>
              <w:t xml:space="preserve">P7, P8</w:t>
            </w:r>
          </w:p>
        </w:tc>
        <w:tc>
          <w:tcPr/>
          <w:p>
            <w:pPr>
              <w:pStyle w:val="Compact"/>
              <w:jc w:val="left"/>
            </w:pPr>
            <w:r>
              <w:rPr>
                <w:sz w:val="20"/>
                <w:szCs w:val="20"/>
              </w:rPr>
              <w:t xml:space="preserve">Information logistics</w:t>
            </w:r>
          </w:p>
        </w:tc>
        <w:tc>
          <w:tcPr/>
          <w:p>
            <w:pPr>
              <w:pStyle w:val="Compact"/>
              <w:jc w:val="left"/>
            </w:pPr>
            <w:r>
              <w:rPr>
                <w:sz w:val="20"/>
                <w:szCs w:val="20"/>
              </w:rPr>
              <w:t xml:space="preserve">Academic or practitioner in logistics or supply-chain compliance</w:t>
            </w:r>
          </w:p>
        </w:tc>
        <w:tc>
          <w:tcPr/>
          <w:p>
            <w:pPr>
              <w:pStyle w:val="Compact"/>
              <w:jc w:val="left"/>
            </w:pPr>
            <w:r>
              <w:rPr>
                <w:sz w:val="20"/>
                <w:szCs w:val="20"/>
              </w:rPr>
              <w:t xml:space="preserve">Whether the customs-ledger framing holds; transferability of the tri-lateral structure to other regulated flows</w:t>
            </w:r>
          </w:p>
        </w:tc>
      </w:tr>
    </w:tbl>
    <w:p>
      <w:pPr>
        <w:pStyle w:val="BodyText"/>
        <w:spacing w:before="240" w:after="160" w:line="360" w:lineRule="auto"/>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bookmarkEnd w:id="146"/>
    <w:bookmarkStart w:id="147"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Minutes</w:t>
            </w:r>
          </w:p>
        </w:tc>
        <w:tc>
          <w:tcPr>
            <w:tcBorders>
              <w:bottom w:val="single" w:sz="8" w:space="0" w:color="333333"/>
            </w:tcBorders>
            <w:shd w:val="clear" w:color="auto" w:fill="E8EDF4"/>
          </w:tcPr>
          <w:p>
            <w:pPr>
              <w:pStyle w:val="Compact"/>
              <w:jc w:val="left"/>
            </w:pPr>
            <w:r>
              <w:rPr>
                <w:b/>
                <w:sz w:val="20"/>
                <w:szCs w:val="20"/>
              </w:rPr>
              <w:t xml:space="preserve">Segment</w:t>
            </w:r>
          </w:p>
        </w:tc>
        <w:tc>
          <w:tcPr>
            <w:tcBorders>
              <w:bottom w:val="single" w:sz="8" w:space="0" w:color="333333"/>
            </w:tcBorders>
            <w:shd w:val="clear" w:color="auto" w:fill="E8EDF4"/>
          </w:tcPr>
          <w:p>
            <w:pPr>
              <w:pStyle w:val="Compact"/>
              <w:jc w:val="left"/>
            </w:pPr>
            <w:r>
              <w:rPr>
                <w:b/>
                <w:sz w:val="20"/>
                <w:szCs w:val="20"/>
              </w:rPr>
              <w:t xml:space="preserve">Content</w:t>
            </w:r>
          </w:p>
        </w:tc>
      </w:tr>
      <w:tr>
        <w:trPr>
          <w:cantSplit/>
        </w:trPr>
        <w:tc>
          <w:tcPr/>
          <w:p>
            <w:pPr>
              <w:pStyle w:val="Compact"/>
              <w:jc w:val="left"/>
            </w:pPr>
            <w:r>
              <w:rPr>
                <w:sz w:val="20"/>
                <w:szCs w:val="20"/>
              </w:rPr>
              <w:t xml:space="preserve">0–5</w:t>
            </w:r>
          </w:p>
        </w:tc>
        <w:tc>
          <w:tcPr/>
          <w:p>
            <w:pPr>
              <w:pStyle w:val="Compact"/>
              <w:jc w:val="left"/>
            </w:pPr>
            <w:r>
              <w:rPr>
                <w:sz w:val="20"/>
                <w:szCs w:val="20"/>
              </w:rPr>
              <w:t xml:space="preserve">Framing</w:t>
            </w:r>
          </w:p>
        </w:tc>
        <w:tc>
          <w:tcPr/>
          <w:p>
            <w:pPr>
              <w:pStyle w:val="Compact"/>
              <w:jc w:val="left"/>
            </w:pPr>
            <w:r>
              <w:rPr>
                <w:sz w:val="20"/>
                <w:szCs w:val="20"/>
              </w:rPr>
              <w:t xml:space="preserve">Purpose, voluntariness, recording and anonymity arrangements, participant’s right to withdraw. No thesis conclusions stated at this point.</w:t>
            </w:r>
          </w:p>
        </w:tc>
      </w:tr>
      <w:tr>
        <w:trPr>
          <w:cantSplit/>
        </w:trPr>
        <w:tc>
          <w:tcPr/>
          <w:p>
            <w:pPr>
              <w:pStyle w:val="Compact"/>
              <w:jc w:val="left"/>
            </w:pPr>
            <w:r>
              <w:rPr>
                <w:sz w:val="20"/>
                <w:szCs w:val="20"/>
              </w:rPr>
              <w:t xml:space="preserve">5–12</w:t>
            </w:r>
          </w:p>
        </w:tc>
        <w:tc>
          <w:tcPr/>
          <w:p>
            <w:pPr>
              <w:pStyle w:val="Compact"/>
              <w:jc w:val="left"/>
            </w:pPr>
            <w:r>
              <w:rPr>
                <w:sz w:val="20"/>
                <w:szCs w:val="20"/>
              </w:rPr>
              <w:t xml:space="preserve">Problem presentation</w:t>
            </w:r>
          </w:p>
        </w:tc>
        <w:tc>
          <w:tcPr/>
          <w:p>
            <w:pPr>
              <w:pStyle w:val="Compact"/>
              <w:jc w:val="left"/>
            </w:pPr>
            <w:r>
              <w:rPr>
                <w:sz w:val="20"/>
                <w:szCs w:val="20"/>
              </w:rPr>
              <w:t xml:space="preserve">The three retention regimes and their sources, presented from the primary instruments without the thesis’s resolution. Participants are asked how their institution currently handles the conflict, before being shown any proposed answer.</w:t>
            </w:r>
          </w:p>
        </w:tc>
      </w:tr>
      <w:tr>
        <w:trPr>
          <w:cantSplit/>
        </w:trPr>
        <w:tc>
          <w:tcPr/>
          <w:p>
            <w:pPr>
              <w:pStyle w:val="Compact"/>
              <w:jc w:val="left"/>
            </w:pPr>
            <w:r>
              <w:rPr>
                <w:sz w:val="20"/>
                <w:szCs w:val="20"/>
              </w:rPr>
              <w:t xml:space="preserve">12–22</w:t>
            </w:r>
          </w:p>
        </w:tc>
        <w:tc>
          <w:tcPr/>
          <w:p>
            <w:pPr>
              <w:pStyle w:val="Compact"/>
              <w:jc w:val="left"/>
            </w:pPr>
            <w:r>
              <w:rPr>
                <w:sz w:val="20"/>
                <w:szCs w:val="20"/>
              </w:rPr>
              <w:t xml:space="preserve">Demonstration</w:t>
            </w:r>
          </w:p>
        </w:tc>
        <w:tc>
          <w:tcPr/>
          <w:p>
            <w:pPr>
              <w:pStyle w:val="Compact"/>
              <w:jc w:val="left"/>
            </w:pPr>
            <w:r>
              <w:rPr>
                <w:sz w:val="20"/>
                <w:szCs w:val="20"/>
              </w:rPr>
              <w:t xml:space="preserve">Live execution of the feasibility checker (Section C.4).</w:t>
            </w:r>
          </w:p>
        </w:tc>
      </w:tr>
      <w:tr>
        <w:trPr>
          <w:cantSplit/>
        </w:trPr>
        <w:tc>
          <w:tcPr/>
          <w:p>
            <w:pPr>
              <w:pStyle w:val="Compact"/>
              <w:jc w:val="left"/>
            </w:pPr>
            <w:r>
              <w:rPr>
                <w:sz w:val="20"/>
                <w:szCs w:val="20"/>
              </w:rPr>
              <w:t xml:space="preserve">22–35</w:t>
            </w:r>
          </w:p>
        </w:tc>
        <w:tc>
          <w:tcPr/>
          <w:p>
            <w:pPr>
              <w:pStyle w:val="Compact"/>
              <w:jc w:val="left"/>
            </w:pPr>
            <w:r>
              <w:rPr>
                <w:sz w:val="20"/>
                <w:szCs w:val="20"/>
              </w:rPr>
              <w:t xml:space="preserve">Semi-structured discussion</w:t>
            </w:r>
          </w:p>
        </w:tc>
        <w:tc>
          <w:tcPr/>
          <w:p>
            <w:pPr>
              <w:pStyle w:val="Compact"/>
              <w:jc w:val="left"/>
            </w:pPr>
            <w:r>
              <w:rPr>
                <w:sz w:val="20"/>
                <w:szCs w:val="20"/>
              </w:rPr>
              <w:t xml:space="preserve">Interview guide, Section C.5.</w:t>
            </w:r>
          </w:p>
        </w:tc>
      </w:tr>
      <w:tr>
        <w:trPr>
          <w:cantSplit/>
        </w:trPr>
        <w:tc>
          <w:tcPr/>
          <w:p>
            <w:pPr>
              <w:pStyle w:val="Compact"/>
              <w:jc w:val="left"/>
            </w:pPr>
            <w:r>
              <w:rPr>
                <w:sz w:val="20"/>
                <w:szCs w:val="20"/>
              </w:rPr>
              <w:t xml:space="preserve">35–43</w:t>
            </w:r>
          </w:p>
        </w:tc>
        <w:tc>
          <w:tcPr/>
          <w:p>
            <w:pPr>
              <w:pStyle w:val="Compact"/>
              <w:jc w:val="left"/>
            </w:pPr>
            <w:r>
              <w:rPr>
                <w:sz w:val="20"/>
                <w:szCs w:val="20"/>
              </w:rPr>
              <w:t xml:space="preserve">Closed-response instrument</w:t>
            </w:r>
          </w:p>
        </w:tc>
        <w:tc>
          <w:tcPr/>
          <w:p>
            <w:pPr>
              <w:pStyle w:val="Compact"/>
              <w:jc w:val="left"/>
            </w:pPr>
            <w:r>
              <w:rPr>
                <w:sz w:val="20"/>
                <w:szCs w:val="20"/>
              </w:rPr>
              <w:t xml:space="preserve">Questionnaire, Section C.6, completed by the participant.</w:t>
            </w:r>
          </w:p>
        </w:tc>
      </w:tr>
      <w:tr>
        <w:trPr>
          <w:cantSplit/>
        </w:trPr>
        <w:tc>
          <w:tcPr/>
          <w:p>
            <w:pPr>
              <w:pStyle w:val="Compact"/>
              <w:jc w:val="left"/>
            </w:pPr>
            <w:r>
              <w:rPr>
                <w:sz w:val="20"/>
                <w:szCs w:val="20"/>
              </w:rPr>
              <w:t xml:space="preserve">43–45</w:t>
            </w:r>
          </w:p>
        </w:tc>
        <w:tc>
          <w:tcPr/>
          <w:p>
            <w:pPr>
              <w:pStyle w:val="Compact"/>
              <w:jc w:val="left"/>
            </w:pPr>
            <w:r>
              <w:rPr>
                <w:sz w:val="20"/>
                <w:szCs w:val="20"/>
              </w:rPr>
              <w:t xml:space="preserve">Close</w:t>
            </w:r>
          </w:p>
        </w:tc>
        <w:tc>
          <w:tcPr/>
          <w:p>
            <w:pPr>
              <w:pStyle w:val="Compact"/>
              <w:jc w:val="left"/>
            </w:pPr>
            <w:r>
              <w:rPr>
                <w:sz w:val="20"/>
                <w:szCs w:val="20"/>
              </w:rPr>
              <w:t xml:space="preserve">Opportunity to add anything not asked; follow-up arrangements.</w:t>
            </w:r>
          </w:p>
        </w:tc>
      </w:tr>
    </w:tbl>
    <w:p>
      <w:pPr>
        <w:pStyle w:val="BodyText"/>
        <w:spacing w:before="240" w:after="160" w:line="360" w:lineRule="auto"/>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bookmarkEnd w:id="147"/>
    <w:bookmarkStart w:id="148"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pStyle w:val="Compact"/>
        <w:numPr>
          <w:ilvl w:val="0"/>
          <w:numId w:val="1011"/>
        </w:numPr>
      </w:pPr>
      <w:r>
        <w:rPr>
          <w:iCs/>
          <w:i/>
        </w:rPr>
        <w:t xml:space="preserve">Show the record structure.</w:t>
      </w:r>
      <w:r>
        <w:t xml:space="preserve"> </w:t>
      </w:r>
      <w:r>
        <w:t xml:space="preserve">One audit record: metadata, payload, commitment, key. Identify which parts the accountability purpose needs and which it does not.</w:t>
      </w:r>
    </w:p>
    <w:p>
      <w:pPr>
        <w:pStyle w:val="Compact"/>
        <w:numPr>
          <w:ilvl w:val="0"/>
          <w:numId w:val="1011"/>
        </w:numPr>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pStyle w:val="Compact"/>
        <w:numPr>
          <w:ilvl w:val="0"/>
          <w:numId w:val="1011"/>
        </w:numPr>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explicitly rather than glossing it.</w:t>
      </w:r>
    </w:p>
    <w:p>
      <w:pPr>
        <w:pStyle w:val="Compact"/>
        <w:numPr>
          <w:ilvl w:val="0"/>
          <w:numId w:val="1011"/>
        </w:numPr>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pStyle w:val="Compact"/>
        <w:numPr>
          <w:ilvl w:val="0"/>
          <w:numId w:val="1011"/>
        </w:numPr>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pStyle w:val="Compact"/>
        <w:numPr>
          <w:ilvl w:val="0"/>
          <w:numId w:val="1011"/>
        </w:numPr>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bookmarkEnd w:id="148"/>
    <w:bookmarkStart w:id="153"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9" w:name="current-practice-and-problem-recognition"/>
    <w:p>
      <w:pPr>
        <w:pStyle w:val="Heading3"/>
      </w:pPr>
      <w:r>
        <w:t xml:space="preserve">Current practice and problem recognition</w:t>
      </w:r>
    </w:p>
    <w:p>
      <w:pPr>
        <w:pStyle w:val="Compact"/>
        <w:numPr>
          <w:ilvl w:val="0"/>
          <w:numId w:val="1012"/>
        </w:numPr>
      </w:pPr>
      <w:r>
        <w:t xml:space="preserve">How does your institution currently handle a request to erase personal data that is also subject to an audit-retention obligation? Is there a documented position, or is it decided case by case?</w:t>
      </w:r>
    </w:p>
    <w:p>
      <w:pPr>
        <w:pStyle w:val="Compact"/>
        <w:numPr>
          <w:ilvl w:val="0"/>
          <w:numId w:val="1012"/>
        </w:numPr>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pStyle w:val="Compact"/>
        <w:numPr>
          <w:ilvl w:val="0"/>
          <w:numId w:val="1012"/>
        </w:numPr>
      </w:pPr>
      <w:r>
        <w:t xml:space="preserve">Where in your organisation would responsibility for resolving this sit?</w:t>
      </w:r>
    </w:p>
    <w:bookmarkEnd w:id="149"/>
    <w:bookmarkStart w:id="150" w:name="legal-defensibility"/>
    <w:p>
      <w:pPr>
        <w:pStyle w:val="Heading3"/>
      </w:pPr>
      <w:r>
        <w:t xml:space="preserve">Legal defensibility</w:t>
      </w:r>
    </w:p>
    <w:p>
      <w:pPr>
        <w:pStyle w:val="Compact"/>
        <w:numPr>
          <w:ilvl w:val="0"/>
          <w:numId w:val="1013"/>
        </w:numPr>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pStyle w:val="Compact"/>
        <w:numPr>
          <w:ilvl w:val="0"/>
          <w:numId w:val="1013"/>
        </w:numPr>
      </w:pPr>
      <w:r>
        <w:t xml:space="preserve">What would a supervisory authority need to see before accepting it?</w:t>
      </w:r>
    </w:p>
    <w:p>
      <w:pPr>
        <w:pStyle w:val="Compact"/>
        <w:numPr>
          <w:ilvl w:val="0"/>
          <w:numId w:val="1013"/>
        </w:numPr>
      </w:pPr>
      <w:r>
        <w:t xml:space="preserve">The surviving residue is characterised as pseudonymised rather than anonymous. Does that characterisation match your reading of the Norwegian threshold?</w:t>
      </w:r>
    </w:p>
    <w:p>
      <w:pPr>
        <w:pStyle w:val="Compact"/>
        <w:numPr>
          <w:ilvl w:val="0"/>
          <w:numId w:val="1013"/>
        </w:numPr>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50"/>
    <w:bookmarkStart w:id="151" w:name="trust-and-key-custody"/>
    <w:p>
      <w:pPr>
        <w:pStyle w:val="Heading3"/>
      </w:pPr>
      <w:r>
        <w:t xml:space="preserve">Trust and key custody</w:t>
      </w:r>
    </w:p>
    <w:p>
      <w:pPr>
        <w:pStyle w:val="Compact"/>
        <w:numPr>
          <w:ilvl w:val="0"/>
          <w:numId w:val="1014"/>
        </w:numPr>
      </w:pPr>
      <w:r>
        <w:t xml:space="preserve">The invalidation entry attests that a key was destroyed; it does not prove it. Is attestation sufficient in your operating context, and if not, what would make it sufficient?</w:t>
      </w:r>
    </w:p>
    <w:p>
      <w:pPr>
        <w:pStyle w:val="Compact"/>
        <w:numPr>
          <w:ilvl w:val="0"/>
          <w:numId w:val="1014"/>
        </w:numPr>
      </w:pPr>
      <w:r>
        <w:t xml:space="preserve">Where would key custody sit in your architecture, and what failure modes concern you most?</w:t>
      </w:r>
    </w:p>
    <w:p>
      <w:pPr>
        <w:pStyle w:val="Compact"/>
        <w:numPr>
          <w:ilvl w:val="0"/>
          <w:numId w:val="1014"/>
        </w:numPr>
      </w:pPr>
      <w:r>
        <w:t xml:space="preserve">Does per-record key granularity create a single point of failure you would be unwilling to accept without hardware-backed attestation?</w:t>
      </w:r>
    </w:p>
    <w:bookmarkEnd w:id="151"/>
    <w:bookmarkStart w:id="152" w:name="operational-viability"/>
    <w:p>
      <w:pPr>
        <w:pStyle w:val="Heading3"/>
      </w:pPr>
      <w:r>
        <w:t xml:space="preserve">Operational viability</w:t>
      </w:r>
    </w:p>
    <w:p>
      <w:pPr>
        <w:pStyle w:val="Compact"/>
        <w:numPr>
          <w:ilvl w:val="0"/>
          <w:numId w:val="1015"/>
        </w:numPr>
      </w:pPr>
      <w:r>
        <w:t xml:space="preserve">What would implementing this at your institution actually require: systems, process, people?</w:t>
      </w:r>
    </w:p>
    <w:p>
      <w:pPr>
        <w:pStyle w:val="Compact"/>
        <w:numPr>
          <w:ilvl w:val="0"/>
          <w:numId w:val="1015"/>
        </w:numPr>
      </w:pPr>
      <w:r>
        <w:t xml:space="preserve">At what record volume would the per-record key registry become a problem?</w:t>
      </w:r>
    </w:p>
    <w:p>
      <w:pPr>
        <w:pStyle w:val="Compact"/>
        <w:numPr>
          <w:ilvl w:val="0"/>
          <w:numId w:val="1015"/>
        </w:numPr>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bookmarkEnd w:id="152"/>
    <w:bookmarkEnd w:id="153"/>
    <w:bookmarkStart w:id="159"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54" w:name="dimension-1-perceived-utility"/>
    <w:p>
      <w:pPr>
        <w:pStyle w:val="Heading3"/>
      </w:pPr>
      <w:r>
        <w:t xml:space="preserve">Dimension 1: Perceived utility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U1</w:t>
            </w:r>
          </w:p>
        </w:tc>
        <w:tc>
          <w:tcPr/>
          <w:p>
            <w:pPr>
              <w:pStyle w:val="Compact"/>
              <w:jc w:val="left"/>
            </w:pPr>
            <w:r>
              <w:rPr>
                <w:iCs/>
                <w:i/>
                <w:sz w:val="20"/>
                <w:szCs w:val="20"/>
              </w:rPr>
              <w:t xml:space="preserve">The key-invalidation mechanism effectively resolves the conflict between retention floors and erasure ceilings.</w:t>
            </w:r>
          </w:p>
        </w:tc>
      </w:tr>
      <w:tr>
        <w:trPr>
          <w:cantSplit/>
        </w:trPr>
        <w:tc>
          <w:tcPr/>
          <w:p>
            <w:pPr>
              <w:pStyle w:val="Compact"/>
              <w:jc w:val="left"/>
            </w:pPr>
            <w:r>
              <w:rPr>
                <w:sz w:val="20"/>
                <w:szCs w:val="20"/>
              </w:rPr>
              <w:t xml:space="preserve">U2</w:t>
            </w:r>
          </w:p>
        </w:tc>
        <w:tc>
          <w:tcPr/>
          <w:p>
            <w:pPr>
              <w:pStyle w:val="Compact"/>
              <w:jc w:val="left"/>
            </w:pPr>
            <w:r>
              <w:rPr>
                <w:sz w:val="20"/>
                <w:szCs w:val="20"/>
              </w:rPr>
              <w:t xml:space="preserve">The problem this mechanism addresses is one my institution will face in practice.</w:t>
            </w:r>
          </w:p>
        </w:tc>
      </w:tr>
      <w:tr>
        <w:trPr>
          <w:cantSplit/>
        </w:trPr>
        <w:tc>
          <w:tcPr/>
          <w:p>
            <w:pPr>
              <w:pStyle w:val="Compact"/>
              <w:jc w:val="left"/>
            </w:pPr>
            <w:r>
              <w:rPr>
                <w:sz w:val="20"/>
                <w:szCs w:val="20"/>
              </w:rPr>
              <w:t xml:space="preserve">U3</w:t>
            </w:r>
          </w:p>
        </w:tc>
        <w:tc>
          <w:tcPr/>
          <w:p>
            <w:pPr>
              <w:pStyle w:val="Compact"/>
              <w:jc w:val="left"/>
            </w:pPr>
            <w:r>
              <w:rPr>
                <w:sz w:val="20"/>
                <w:szCs w:val="20"/>
              </w:rPr>
              <w:t xml:space="preserve">The mechanism addresses the problem more effectively than the approach my institution currently uses or would default to.</w:t>
            </w:r>
          </w:p>
        </w:tc>
      </w:tr>
      <w:tr>
        <w:trPr>
          <w:cantSplit/>
        </w:trPr>
        <w:tc>
          <w:tcPr/>
          <w:p>
            <w:pPr>
              <w:pStyle w:val="Compact"/>
              <w:jc w:val="left"/>
            </w:pPr>
            <w:r>
              <w:rPr>
                <w:sz w:val="20"/>
                <w:szCs w:val="20"/>
              </w:rPr>
              <w:t xml:space="preserve">U4</w:t>
            </w:r>
          </w:p>
        </w:tc>
        <w:tc>
          <w:tcPr/>
          <w:p>
            <w:pPr>
              <w:pStyle w:val="Compact"/>
              <w:jc w:val="left"/>
            </w:pPr>
            <w:r>
              <w:rPr>
                <w:sz w:val="20"/>
                <w:szCs w:val="20"/>
              </w:rPr>
              <w:t xml:space="preserve">The distinction between plaintext verifiability and accountability-preserving verifiability is one I had not previously considered explicitly.</w:t>
            </w:r>
          </w:p>
        </w:tc>
      </w:tr>
    </w:tbl>
    <w:bookmarkEnd w:id="154"/>
    <w:bookmarkStart w:id="155" w:name="dimension-2-regulatory-alignment"/>
    <w:p>
      <w:pPr>
        <w:pStyle w:val="Heading3"/>
      </w:pPr>
      <w:r>
        <w:t xml:space="preserve">Dimension 2: Regulatory alignment</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R1</w:t>
            </w:r>
          </w:p>
        </w:tc>
        <w:tc>
          <w:tcPr/>
          <w:p>
            <w:pPr>
              <w:pStyle w:val="Compact"/>
              <w:jc w:val="left"/>
            </w:pPr>
            <w:r>
              <w:rPr>
                <w:iCs/>
                <w:i/>
                <w:sz w:val="20"/>
                <w:szCs w:val="20"/>
              </w:rPr>
              <w:t xml:space="preserve">The residual audit log provides sufficient verification without violating GDPR Article 17 or EDPB guidelines.</w:t>
            </w:r>
          </w:p>
        </w:tc>
      </w:tr>
      <w:tr>
        <w:trPr>
          <w:cantSplit/>
        </w:trPr>
        <w:tc>
          <w:tcPr/>
          <w:p>
            <w:pPr>
              <w:pStyle w:val="Compact"/>
              <w:jc w:val="left"/>
            </w:pPr>
            <w:r>
              <w:rPr>
                <w:sz w:val="20"/>
                <w:szCs w:val="20"/>
              </w:rPr>
              <w:t xml:space="preserve">R2</w:t>
            </w:r>
          </w:p>
        </w:tc>
        <w:tc>
          <w:tcPr/>
          <w:p>
            <w:pPr>
              <w:pStyle w:val="Compact"/>
              <w:jc w:val="left"/>
            </w:pPr>
            <w:r>
              <w:rPr>
                <w:sz w:val="20"/>
                <w:szCs w:val="20"/>
              </w:rPr>
              <w:t xml:space="preserve">The surviving residue — metadata, commitment, invalidation entry — would be defensible to a supervisory authority.</w:t>
            </w:r>
          </w:p>
        </w:tc>
      </w:tr>
      <w:tr>
        <w:trPr>
          <w:cantSplit/>
        </w:trPr>
        <w:tc>
          <w:tcPr/>
          <w:p>
            <w:pPr>
              <w:pStyle w:val="Compact"/>
              <w:jc w:val="left"/>
            </w:pPr>
            <w:r>
              <w:rPr>
                <w:sz w:val="20"/>
                <w:szCs w:val="20"/>
              </w:rPr>
              <w:t xml:space="preserve">R3</w:t>
            </w:r>
          </w:p>
        </w:tc>
        <w:tc>
          <w:tcPr/>
          <w:p>
            <w:pPr>
              <w:pStyle w:val="Compact"/>
              <w:jc w:val="left"/>
            </w:pPr>
            <w:r>
              <w:rPr>
                <w:sz w:val="20"/>
                <w:szCs w:val="20"/>
              </w:rPr>
              <w:t xml:space="preserve">Article 68(12) should be read as reaching the access logs generated within a Secure Processing Environment.</w:t>
            </w:r>
          </w:p>
        </w:tc>
      </w:tr>
      <w:tr>
        <w:trPr>
          <w:cantSplit/>
        </w:trPr>
        <w:tc>
          <w:tcPr/>
          <w:p>
            <w:pPr>
              <w:pStyle w:val="Compact"/>
              <w:jc w:val="left"/>
            </w:pPr>
            <w:r>
              <w:rPr>
                <w:sz w:val="20"/>
                <w:szCs w:val="20"/>
              </w:rPr>
              <w:t xml:space="preserve">R4</w:t>
            </w:r>
          </w:p>
        </w:tc>
        <w:tc>
          <w:tcPr/>
          <w:p>
            <w:pPr>
              <w:pStyle w:val="Compact"/>
              <w:jc w:val="left"/>
            </w:pPr>
            <w:r>
              <w:rPr>
                <w:sz w:val="20"/>
                <w:szCs w:val="20"/>
              </w:rPr>
              <w:t xml:space="preserve">The mechanism’s characterisation of its residue as pseudonymised rather than anonymous is the correct characterisation.</w:t>
            </w:r>
          </w:p>
        </w:tc>
      </w:tr>
    </w:tbl>
    <w:bookmarkEnd w:id="155"/>
    <w:bookmarkStart w:id="156" w:name="dimension-3-operational-viability"/>
    <w:p>
      <w:pPr>
        <w:pStyle w:val="Heading3"/>
      </w:pPr>
      <w:r>
        <w:t xml:space="preserve">Dimension 3: Operational viability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O1</w:t>
            </w:r>
          </w:p>
        </w:tc>
        <w:tc>
          <w:tcPr/>
          <w:p>
            <w:pPr>
              <w:pStyle w:val="Compact"/>
              <w:jc w:val="left"/>
            </w:pPr>
            <w:r>
              <w:rPr>
                <w:iCs/>
                <w:i/>
                <w:sz w:val="20"/>
                <w:szCs w:val="20"/>
              </w:rPr>
              <w:t xml:space="preserve">The proposed key registry structure is practical to implement within current Norwegian health data infrastructure (SPUHiN / NORTRE).</w:t>
            </w:r>
          </w:p>
        </w:tc>
      </w:tr>
      <w:tr>
        <w:trPr>
          <w:cantSplit/>
        </w:trPr>
        <w:tc>
          <w:tcPr/>
          <w:p>
            <w:pPr>
              <w:pStyle w:val="Compact"/>
              <w:jc w:val="left"/>
            </w:pPr>
            <w:r>
              <w:rPr>
                <w:sz w:val="20"/>
                <w:szCs w:val="20"/>
              </w:rPr>
              <w:t xml:space="preserve">O2</w:t>
            </w:r>
          </w:p>
        </w:tc>
        <w:tc>
          <w:tcPr/>
          <w:p>
            <w:pPr>
              <w:pStyle w:val="Compact"/>
              <w:jc w:val="left"/>
            </w:pPr>
            <w:r>
              <w:rPr>
                <w:sz w:val="20"/>
                <w:szCs w:val="20"/>
              </w:rPr>
              <w:t xml:space="preserve">Per-record key granularity is operationally sustainable at the record volumes my institution handles.</w:t>
            </w:r>
          </w:p>
        </w:tc>
      </w:tr>
      <w:tr>
        <w:trPr>
          <w:cantSplit/>
        </w:trPr>
        <w:tc>
          <w:tcPr/>
          <w:p>
            <w:pPr>
              <w:pStyle w:val="Compact"/>
              <w:jc w:val="left"/>
            </w:pPr>
            <w:r>
              <w:rPr>
                <w:sz w:val="20"/>
                <w:szCs w:val="20"/>
              </w:rPr>
              <w:t xml:space="preserve">O3</w:t>
            </w:r>
          </w:p>
        </w:tc>
        <w:tc>
          <w:tcPr/>
          <w:p>
            <w:pPr>
              <w:pStyle w:val="Compact"/>
              <w:jc w:val="left"/>
            </w:pPr>
            <w:r>
              <w:rPr>
                <w:sz w:val="20"/>
                <w:szCs w:val="20"/>
              </w:rPr>
              <w:t xml:space="preserve">The mechanism requires nothing of the processing environment beyond what the finalised national criteria already demand.</w:t>
            </w:r>
          </w:p>
        </w:tc>
      </w:tr>
      <w:tr>
        <w:trPr>
          <w:cantSplit/>
        </w:trPr>
        <w:tc>
          <w:tcPr/>
          <w:p>
            <w:pPr>
              <w:pStyle w:val="Compact"/>
              <w:jc w:val="left"/>
            </w:pPr>
            <w:r>
              <w:rPr>
                <w:sz w:val="20"/>
                <w:szCs w:val="20"/>
              </w:rPr>
              <w:t xml:space="preserve">O4</w:t>
            </w:r>
          </w:p>
        </w:tc>
        <w:tc>
          <w:tcPr/>
          <w:p>
            <w:pPr>
              <w:pStyle w:val="Compact"/>
              <w:jc w:val="left"/>
            </w:pPr>
            <w:r>
              <w:rPr>
                <w:sz w:val="20"/>
                <w:szCs w:val="20"/>
              </w:rPr>
              <w:t xml:space="preserve">Placing the mechanism at the audit-logging boundary, rather than inside the processing environment, is the right architectural choice.</w:t>
            </w:r>
          </w:p>
        </w:tc>
      </w:tr>
    </w:tbl>
    <w:bookmarkEnd w:id="156"/>
    <w:bookmarkStart w:id="157" w:name="dimension-4-audit-integrity"/>
    <w:p>
      <w:pPr>
        <w:pStyle w:val="Heading3"/>
      </w:pPr>
      <w:r>
        <w:t xml:space="preserve">Dimension 4: Audit integrity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A1</w:t>
            </w:r>
          </w:p>
        </w:tc>
        <w:tc>
          <w:tcPr/>
          <w:p>
            <w:pPr>
              <w:pStyle w:val="Compact"/>
              <w:jc w:val="left"/>
            </w:pPr>
            <w:r>
              <w:rPr>
                <w:sz w:val="20"/>
                <w:szCs w:val="20"/>
              </w:rPr>
              <w:t xml:space="preserve">The mechanism lets an auditor verify that a record’s invalidation was logged at the required month and has not been altered since.</w:t>
            </w:r>
          </w:p>
        </w:tc>
      </w:tr>
      <w:tr>
        <w:trPr>
          <w:cantSplit/>
        </w:trPr>
        <w:tc>
          <w:tcPr/>
          <w:p>
            <w:pPr>
              <w:pStyle w:val="Compact"/>
              <w:jc w:val="left"/>
            </w:pPr>
            <w:r>
              <w:rPr>
                <w:sz w:val="20"/>
                <w:szCs w:val="20"/>
              </w:rPr>
              <w:t xml:space="preserve">A2</w:t>
            </w:r>
          </w:p>
        </w:tc>
        <w:tc>
          <w:tcPr/>
          <w:p>
            <w:pPr>
              <w:pStyle w:val="Compact"/>
              <w:jc w:val="left"/>
            </w:pPr>
            <w:r>
              <w:rPr>
                <w:sz w:val="20"/>
                <w:szCs w:val="20"/>
              </w:rPr>
              <w:t xml:space="preserve">An attested invalidation entry, without hardware-backed proof of key destruction, is sufficient for audit purposes in my context.</w:t>
            </w:r>
          </w:p>
        </w:tc>
      </w:tr>
      <w:tr>
        <w:trPr>
          <w:cantSplit/>
        </w:trPr>
        <w:tc>
          <w:tcPr/>
          <w:p>
            <w:pPr>
              <w:pStyle w:val="Compact"/>
              <w:jc w:val="left"/>
            </w:pPr>
            <w:r>
              <w:rPr>
                <w:sz w:val="20"/>
                <w:szCs w:val="20"/>
              </w:rPr>
              <w:t xml:space="preserve">A3</w:t>
            </w:r>
          </w:p>
        </w:tc>
        <w:tc>
          <w:tcPr/>
          <w:p>
            <w:pPr>
              <w:pStyle w:val="Compact"/>
              <w:jc w:val="left"/>
            </w:pPr>
            <w:r>
              <w:rPr>
                <w:sz w:val="20"/>
                <w:szCs w:val="20"/>
              </w:rPr>
              <w:t xml:space="preserve">The mechanism provides stronger audit assurance than deleting the record and logging that a deletion occurred.</w:t>
            </w:r>
          </w:p>
        </w:tc>
      </w:tr>
      <w:tr>
        <w:trPr>
          <w:cantSplit/>
        </w:trPr>
        <w:tc>
          <w:tcPr/>
          <w:p>
            <w:pPr>
              <w:pStyle w:val="Compact"/>
              <w:jc w:val="left"/>
            </w:pPr>
            <w:r>
              <w:rPr>
                <w:sz w:val="20"/>
                <w:szCs w:val="20"/>
              </w:rPr>
              <w:t xml:space="preserve">A4</w:t>
            </w:r>
          </w:p>
        </w:tc>
        <w:tc>
          <w:tcPr/>
          <w:p>
            <w:pPr>
              <w:pStyle w:val="Compact"/>
              <w:jc w:val="left"/>
            </w:pPr>
            <w:r>
              <w:rPr>
                <w:sz w:val="20"/>
                <w:szCs w:val="20"/>
              </w:rPr>
              <w:t xml:space="preserve">An external auditor could establish, from the surviving record alone, what was invalidated and on what legal ground.</w:t>
            </w:r>
          </w:p>
        </w:tc>
      </w:tr>
    </w:tbl>
    <w:bookmarkEnd w:id="157"/>
    <w:bookmarkStart w:id="158" w:name="open-items"/>
    <w:p>
      <w:pPr>
        <w:pStyle w:val="Heading3"/>
      </w:pPr>
      <w:r>
        <w:t xml:space="preserve">Open items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Prompt</w:t>
            </w:r>
          </w:p>
        </w:tc>
      </w:tr>
      <w:tr>
        <w:trPr>
          <w:cantSplit/>
        </w:trPr>
        <w:tc>
          <w:tcPr/>
          <w:p>
            <w:pPr>
              <w:pStyle w:val="Compact"/>
              <w:jc w:val="left"/>
            </w:pPr>
            <w:r>
              <w:rPr>
                <w:sz w:val="20"/>
                <w:szCs w:val="20"/>
              </w:rPr>
              <w:t xml:space="preserve">X1</w:t>
            </w:r>
          </w:p>
        </w:tc>
        <w:tc>
          <w:tcPr/>
          <w:p>
            <w:pPr>
              <w:pStyle w:val="Compact"/>
              <w:jc w:val="left"/>
            </w:pPr>
            <w:r>
              <w:rPr>
                <w:sz w:val="20"/>
                <w:szCs w:val="20"/>
              </w:rPr>
              <w:t xml:space="preserve">The single change you would most want made to the design.</w:t>
            </w:r>
          </w:p>
        </w:tc>
      </w:tr>
      <w:tr>
        <w:trPr>
          <w:cantSplit/>
        </w:trPr>
        <w:tc>
          <w:tcPr/>
          <w:p>
            <w:pPr>
              <w:pStyle w:val="Compact"/>
              <w:jc w:val="left"/>
            </w:pPr>
            <w:r>
              <w:rPr>
                <w:sz w:val="20"/>
                <w:szCs w:val="20"/>
              </w:rPr>
              <w:t xml:space="preserve">X2</w:t>
            </w:r>
          </w:p>
        </w:tc>
        <w:tc>
          <w:tcPr/>
          <w:p>
            <w:pPr>
              <w:pStyle w:val="Compact"/>
              <w:jc w:val="left"/>
            </w:pPr>
            <w:r>
              <w:rPr>
                <w:sz w:val="20"/>
                <w:szCs w:val="20"/>
              </w:rPr>
              <w:t xml:space="preserve">The assumption in the design you consider least safe.</w:t>
            </w:r>
          </w:p>
        </w:tc>
      </w:tr>
      <w:tr>
        <w:trPr>
          <w:cantSplit/>
        </w:trPr>
        <w:tc>
          <w:tcPr/>
          <w:p>
            <w:pPr>
              <w:pStyle w:val="Compact"/>
              <w:jc w:val="left"/>
            </w:pPr>
            <w:r>
              <w:rPr>
                <w:sz w:val="20"/>
                <w:szCs w:val="20"/>
              </w:rPr>
              <w:t xml:space="preserve">X3</w:t>
            </w:r>
          </w:p>
        </w:tc>
        <w:tc>
          <w:tcPr/>
          <w:p>
            <w:pPr>
              <w:pStyle w:val="Compact"/>
              <w:jc w:val="left"/>
            </w:pPr>
            <w:r>
              <w:rPr>
                <w:sz w:val="20"/>
                <w:szCs w:val="20"/>
              </w:rPr>
              <w:t xml:space="preserve">Anything the questions above did not ask about.</w:t>
            </w:r>
          </w:p>
        </w:tc>
      </w:tr>
    </w:tbl>
    <w:p>
      <w:pPr>
        <w:pStyle w:val="BodyText"/>
        <w:spacing w:before="240" w:after="160" w:line="360" w:lineRule="auto"/>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states that the invalidation entry is an attestation rather than a proof. Analysis reads the two together.</w:t>
      </w:r>
    </w:p>
    <w:bookmarkEnd w:id="158"/>
    <w:bookmarkEnd w:id="159"/>
    <w:bookmarkStart w:id="160"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bookmarkEnd w:id="160"/>
    <w:bookmarkStart w:id="161"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w:t>
      </w:r>
      <w:hyperlink w:anchor="ch_3" w:history="1">
        <w:r>
          <w:rPr>
            <w:rStyle w:val="Hyperlink"/>
          </w:rPr>
          <w:t xml:space="preserve">Chapter 3</w:t>
        </w:r>
      </w:hyperlink>
      <w:r>
        <w:t xml:space="preserve">, </w:t>
      </w:r>
      <w:hyperlink w:anchor="sec_3_9" w:history="1">
        <w:r>
          <w:rPr>
            <w:rStyle w:val="Hyperlink"/>
          </w:rPr>
          <w:t xml:space="preserve">Section 3.9</w:t>
        </w:r>
      </w:hyperlink>
      <w:r>
        <w:t xml:space="preserve">,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bookmarkEnd w:id="161"/>
    <w:bookmarkStart w:id="162"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bookmarkEnd w:id="162"/>
    <w:bookmarkEnd w:id="163"/>
    <w:sectPr>
      <w:footerReference w:type="default" r:id="rIdFtr1"/>
      <w:pgSz w:w="11906" w:h="16838"/>
      <w:pgMar w:top="1418" w:right="1418" w:bottom="1418" w:left="1418" w:header="709"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7">
    <w:nsid w:val="0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0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0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0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0">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qFormat/>
    <w:pPr>
      <w:spacing w:before="0" w:after="160" w:line="360"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before="0" w:after="16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before="20" w:after="20" w:line="240" w:lineRule="auto"/>
      <w:jc w:val="left"/>
    </w:pPr>
    <w:rPr>
      <w:sz w:val="20"/>
      <w:szCs w:val="20"/>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before="0" w:after="120" w:line="276" w:lineRule="auto"/>
      <w:ind w:left="567" w:hanging="567"/>
      <w:jc w:val="left"/>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pageBreakBefore/>
      <w:pBdr>
        <w:bottom w:val="single" w:sz="8" w:space="6" w:color="1F3864"/>
      </w:pBdr>
      <w:spacing w:before="0" w:after="360" w:line="240" w:lineRule="auto"/>
      <w:jc w:val="left"/>
      <w:outlineLvl w:val="0"/>
    </w:pPr>
    <w:rPr>
      <w:rFonts w:ascii="Cambria" w:hAnsi="Cambria" w:cs="Cambria"/>
      <w:b/>
      <w:bCs/>
      <w:color w:val="1F3864"/>
      <w:sz w:val="34"/>
      <w:szCs w:val="34"/>
    </w:rPr>
  </w:style>
  <w:style w:styleId="Heading2" w:type="paragraph">
    <w:name w:val="Heading 2"/>
    <w:basedOn w:val="Normal"/>
    <w:next w:val="BodyText"/>
    <w:uiPriority w:val="9"/>
    <w:unhideWhenUsed/>
    <w:qFormat/>
    <w:pPr>
      <w:keepNext/>
      <w:keepLines/>
      <w:spacing w:before="360" w:after="120" w:line="240" w:lineRule="auto"/>
      <w:jc w:val="left"/>
      <w:outlineLvl w:val="1"/>
    </w:pPr>
    <w:rPr>
      <w:rFonts w:ascii="Cambria" w:hAnsi="Cambria" w:cs="Cambria"/>
      <w:b/>
      <w:bCs/>
      <w:color w:val="1F3864"/>
      <w:sz w:val="27"/>
      <w:szCs w:val="27"/>
    </w:rPr>
  </w:style>
  <w:style w:styleId="Heading3" w:type="paragraph">
    <w:name w:val="Heading 3"/>
    <w:basedOn w:val="Normal"/>
    <w:next w:val="BodyText"/>
    <w:uiPriority w:val="9"/>
    <w:unhideWhenUsed/>
    <w:qFormat/>
    <w:pPr>
      <w:keepNext/>
      <w:keepLines/>
      <w:spacing w:before="240" w:after="80" w:line="240" w:lineRule="auto"/>
      <w:jc w:val="left"/>
      <w:outlineLvl w:val="2"/>
    </w:pPr>
    <w:rPr>
      <w:rFonts w:ascii="Cambria" w:hAnsi="Cambria" w:cs="Cambria"/>
      <w:b/>
      <w:bCs/>
      <w:color w:val="1F3864"/>
      <w:i/>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val="single" w:sz="18" w:space="8" w:color="1F3864"/>
      </w:pBdr>
      <w:shd w:val="clear" w:color="auto" w:fill="F3F5F9"/>
      <w:spacing w:before="120" w:after="200" w:line="300" w:lineRule="auto"/>
      <w:ind w:left="340" w:right="340"/>
      <w:jc w:val="both"/>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before="240" w:after="100" w:line="240" w:lineRule="auto"/>
      <w:jc w:val="left"/>
    </w:pPr>
    <w:rPr>
      <w:i/>
      <w:color w:val="333333"/>
      <w:sz w:val="21"/>
      <w:szCs w:val="21"/>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color w:val="24292F"/>
      <w:sz w:val="20"/>
      <w:szCs w:val="20"/>
      <w:shd w:val="clear" w:color="auto" w:fill="F0F2F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4E79"/>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pBdr>
        <w:top w:val="single" w:sz="4" w:space="4" w:color="C9D1D9"/>
        <w:left w:val="single" w:sz="4" w:space="6" w:color="C9D1D9"/>
        <w:bottom w:val="single" w:sz="4" w:space="4" w:color="C9D1D9"/>
        <w:right w:val="single" w:sz="4" w:space="6" w:color="C9D1D9"/>
      </w:pBdr>
      <w:shd w:val="clear" w:color="auto" w:fill="F6F8FA"/>
      <w:spacing w:before="120" w:after="200" w:line="240" w:lineRule="auto"/>
      <w:ind w:left="120" w:right="120"/>
      <w:jc w:val="left"/>
    </w:pPr>
    <w:rPr>
      <w:rFonts w:ascii="Consolas" w:hAnsi="Consolas" w:cs="Consolas"/>
      <w:color w:val="24292F"/>
      <w:sz w:val="17"/>
      <w:szCs w:val="17"/>
    </w:rPr>
  </w:style>
  <w:style w:type="character" w:customStyle="1" w:styleId="KeywordTok">
    <w:name w:val="KeywordTok"/>
    <w:basedOn w:val="VerbatimChar"/>
    <w:rPr>
      <w:color w:val="CF222E"/>
    </w:rPr>
  </w:style>
  <w:style w:type="character" w:customStyle="1" w:styleId="DataTypeTok">
    <w:name w:val="DataTypeTok"/>
    <w:basedOn w:val="VerbatimChar"/>
    <w:rPr>
      <w:color w:val="902000"/>
    </w:rPr>
  </w:style>
  <w:style w:type="character" w:customStyle="1" w:styleId="DecValTok">
    <w:name w:val="DecValTok"/>
    <w:basedOn w:val="VerbatimChar"/>
    <w:rPr>
      <w:color w:val="0550AE"/>
    </w:rPr>
  </w:style>
  <w:style w:type="character" w:customStyle="1" w:styleId="BaseNTok">
    <w:name w:val="BaseNTok"/>
    <w:basedOn w:val="VerbatimChar"/>
    <w:rPr>
      <w:color w:val="0550AE"/>
    </w:rPr>
  </w:style>
  <w:style w:type="character" w:customStyle="1" w:styleId="FloatTok">
    <w:name w:val="FloatTok"/>
    <w:basedOn w:val="VerbatimChar"/>
    <w:rPr>
      <w:color w:val="0550AE"/>
    </w:rPr>
  </w:style>
  <w:style w:type="character" w:customStyle="1" w:styleId="ConstantTok">
    <w:name w:val="ConstantTok"/>
    <w:basedOn w:val="VerbatimChar"/>
    <w:rPr>
      <w:color w:val="0550AE"/>
    </w:rPr>
  </w:style>
  <w:style w:type="character" w:customStyle="1" w:styleId="CharTok">
    <w:name w:val="CharTok"/>
    <w:basedOn w:val="VerbatimChar"/>
    <w:rPr>
      <w:color w:val="0A3069"/>
    </w:rPr>
  </w:style>
  <w:style w:type="character" w:customStyle="1" w:styleId="SpecialCharTok">
    <w:name w:val="SpecialCharTok"/>
    <w:basedOn w:val="VerbatimChar"/>
    <w:rPr>
      <w:color w:val="0550AE"/>
    </w:rPr>
  </w:style>
  <w:style w:type="character" w:customStyle="1" w:styleId="StringTok">
    <w:name w:val="StringTok"/>
    <w:basedOn w:val="VerbatimChar"/>
    <w:rPr>
      <w:color w:val="0A3069"/>
    </w:rPr>
  </w:style>
  <w:style w:type="character" w:customStyle="1" w:styleId="VerbatimStringTok">
    <w:name w:val="VerbatimStringTok"/>
    <w:basedOn w:val="VerbatimChar"/>
    <w:rPr>
      <w:color w:val="0A3069"/>
    </w:rPr>
  </w:style>
  <w:style w:type="character" w:customStyle="1" w:styleId="SpecialStringTok">
    <w:name w:val="SpecialStringTok"/>
    <w:basedOn w:val="VerbatimChar"/>
    <w:rPr>
      <w:color w:val="0A3069"/>
    </w:rPr>
  </w:style>
  <w:style w:type="character" w:customStyle="1" w:styleId="ImportTok">
    <w:name w:val="ImportTok"/>
    <w:basedOn w:val="VerbatimChar"/>
    <w:rPr>
      <w:color w:val="CF222E"/>
    </w:rPr>
  </w:style>
  <w:style w:type="character" w:customStyle="1" w:styleId="CommentTok">
    <w:name w:val="CommentTok"/>
    <w:basedOn w:val="VerbatimChar"/>
    <w:rPr>
      <w:color w:val="6E7781"/>
      <w:i/>
    </w:rPr>
  </w:style>
  <w:style w:type="character" w:customStyle="1" w:styleId="DocumentationTok">
    <w:name w:val="DocumentationTok"/>
    <w:basedOn w:val="VerbatimChar"/>
    <w:rPr>
      <w:color w:val="6E778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E7781"/>
      <w:i/>
    </w:rPr>
  </w:style>
  <w:style w:type="character" w:customStyle="1" w:styleId="OtherTok">
    <w:name w:val="OtherTok"/>
    <w:basedOn w:val="VerbatimChar"/>
    <w:rPr>
      <w:color w:val="24292F"/>
    </w:rPr>
  </w:style>
  <w:style w:type="character" w:customStyle="1" w:styleId="FunctionTok">
    <w:name w:val="FunctionTok"/>
    <w:basedOn w:val="VerbatimChar"/>
    <w:rPr>
      <w:color w:val="8250DF"/>
    </w:rPr>
  </w:style>
  <w:style w:type="character" w:customStyle="1" w:styleId="VariableTok">
    <w:name w:val="VariableTok"/>
    <w:basedOn w:val="VerbatimChar"/>
    <w:rPr>
      <w:color w:val="953800"/>
    </w:rPr>
  </w:style>
  <w:style w:type="character" w:customStyle="1" w:styleId="ControlFlowTok">
    <w:name w:val="ControlFlowTok"/>
    <w:basedOn w:val="VerbatimChar"/>
    <w:rPr>
      <w:color w:val="CF222E"/>
    </w:rPr>
  </w:style>
  <w:style w:type="character" w:customStyle="1" w:styleId="OperatorTok">
    <w:name w:val="OperatorTok"/>
    <w:basedOn w:val="VerbatimChar"/>
    <w:rPr>
      <w:color w:val="24292F"/>
    </w:rPr>
  </w:style>
  <w:style w:type="character" w:customStyle="1" w:styleId="BuiltInTok">
    <w:name w:val="BuiltInTok"/>
    <w:basedOn w:val="VerbatimChar"/>
    <w:rPr>
      <w:color w:val="8250DF"/>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0550AE"/>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CF222E"/>
    </w:rPr>
  </w:style>
  <w:style w:type="character" w:customStyle="1" w:styleId="ErrorTok">
    <w:name w:val="ErrorTok"/>
    <w:basedOn w:val="VerbatimChar"/>
    <w:rPr>
      <w:color w:val="CF222E"/>
    </w:rPr>
  </w:style>
  <w:style w:type="character" w:customStyle="1" w:styleId="NormalTok">
    <w:name w:val="NormalTok"/>
    <w:basedOn w:val="VerbatimChar"/>
    <w:rPr>
      <w:color w:val="24292F"/>
    </w:rPr>
  </w:style>
  <w:style w:type="paragraph" w:styleId="TOC1">
    <w:name w:val="toc 1"/>
    <w:pPr>
      <w:tabs>
        <w:tab w:val="right" w:leader="dot" w:pos="9060"/>
      </w:tabs>
      <w:spacing w:before="160" w:after="40" w:line="240" w:lineRule="auto"/>
    </w:pPr>
    <w:rPr>
      <w:b/>
      <w:sz w:val="22"/>
      <w:szCs w:val="22"/>
    </w:rPr>
  </w:style>
  <w:style w:type="paragraph" w:styleId="TOC2">
    <w:name w:val="toc 2"/>
    <w:pPr>
      <w:tabs>
        <w:tab w:val="right" w:leader="dot" w:pos="9060"/>
      </w:tabs>
      <w:spacing w:before="0" w:after="30" w:line="240" w:lineRule="auto"/>
      <w:ind w:left="440"/>
    </w:pPr>
    <w:rPr>
      <w:sz w:val="22"/>
      <w:szCs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68" Target="media/rId68.png"/><Relationship Type="http://schemas.openxmlformats.org/officeDocument/2006/relationships/image" Id="rId78" Target="media/rId78.png"/><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2026-10-05T15:37:50Z</dcterms:created>
  <dcterms:modified xsi:type="dcterms:W3CDTF">2026-10-05T15:37:50Z</dcterms:modified>
</cp:coreProperties>
</file>

<file path=docProps/custom.xml><?xml version="1.0" encoding="utf-8"?>
<Properties xmlns="http://schemas.openxmlformats.org/officeDocument/2006/custom-properties" xmlns:vt="http://schemas.openxmlformats.org/officeDocument/2006/docPropsVTypes"/>
</file>