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10" w:name="h_Abstract"/>
      <w:r>
        <w:t xml:space="preserve">Abstract</w:t>
      </w:r>
      <w:bookmarkEnd w:id="1010"/>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removes the record’s link to the patient, while retaining the accessor’s identity, event metadata, a hiding commitment and a logged invalidation entry in a tamper-evident log.</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 the broad reading,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011" w:name="h_Sammendrag"/>
      <w:r>
        <w:t xml:space="preserve">Sammendrag</w:t>
      </w:r>
      <w:bookmarkEnd w:id="1011"/>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012" w:name="h_Statement_of_Contribution"/>
      <w:r>
        <w:t xml:space="preserve">Statement of Contribution</w:t>
      </w:r>
      <w:bookmarkEnd w:id="1012"/>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013" w:name="h_Declaration_of_Originality"/>
      <w:r>
        <w:t xml:space="preserve">Declaration of Originality</w:t>
      </w:r>
      <w:bookmarkEnd w:id="1013"/>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014" w:name="h_Nomenclature_and_Abbreviations"/>
      <w:r>
        <w:t xml:space="preserve">Nomenclature and Abbreviations</w:t>
      </w:r>
      <w:bookmarkEnd w:id="1014"/>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w:t>
        </w:r>
        <w:r>
          <w:fldChar w:fldCharType="end"/>
        </w:r>
      </w:hyperlink>
    </w:p>
    <w:p>
      <w:pPr>
        <w:pStyle w:val="TOC2"/>
      </w:pPr>
      <w:hyperlink w:anchor="sec_4_6" w:history="1">
        <w:r>
          <w:rPr/>
          <w:t xml:space="preserve">4.6 Proposition 1: Infeasibility under Plaintext Verifiability</w:t>
        </w:r>
        <w:r>
          <w:tab/>
        </w:r>
        <w:r>
          <w:fldChar w:fldCharType="begin"/>
        </w:r>
        <w:r>
          <w:instrText xml:space="preserve"> PAGEREF sec_4_6 \h </w:instrText>
        </w:r>
        <w:r>
          <w:fldChar w:fldCharType="separate"/>
        </w:r>
        <w:r>
          <w:rPr/>
          <w:t xml:space="preserve">#</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w:t>
        </w:r>
        <w:r>
          <w:fldChar w:fldCharType="end"/>
        </w:r>
      </w:hyperlink>
    </w:p>
    <w:p>
      <w:pPr>
        <w:pStyle w:val="TOC2"/>
      </w:pPr>
      <w:hyperlink w:anchor="sec_4_10" w:history="1">
        <w:r>
          <w:rPr/>
          <w:t xml:space="preserve">4.10 Rival Designs</w:t>
        </w:r>
        <w:r>
          <w:tab/>
        </w:r>
        <w:r>
          <w:fldChar w:fldCharType="begin"/>
        </w:r>
        <w:r>
          <w:instrText xml:space="preserve"> PAGEREF sec_4_10 \h </w:instrText>
        </w:r>
        <w:r>
          <w:fldChar w:fldCharType="separate"/>
        </w:r>
        <w:r>
          <w:rPr/>
          <w:t xml:space="preserve">#</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w:t>
        </w:r>
        <w:r>
          <w:fldChar w:fldCharType="end"/>
        </w:r>
      </w:hyperlink>
    </w:p>
    <w:p>
      <w:pPr>
        <w:pStyle w:val="Heading1"/>
      </w:pPr>
      <w:bookmarkStart w:id="1015" w:name="ch_1"/>
      <w:r>
        <w:t xml:space="preserve">Chapter 1. Introduction</w:t>
      </w:r>
      <w:bookmarkEnd w:id="1015"/>
    </w:p>
    <w:bookmarkStart w:id="25" w:name="background-and-context"/>
    <w:p>
      <w:pPr>
        <w:pStyle w:val="Heading2"/>
      </w:pPr>
      <w:bookmarkStart w:id="1016" w:name="sec_1_1"/>
      <w:r>
        <w:t xml:space="preserve">1.1 Background and Context</w:t>
      </w:r>
      <w:bookmarkEnd w:id="1016"/>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pilot run by the Norwegian Directorate of Health (Helsedirektoratet) and the Norwegian Health Network (Norsk Helsenett SF) is in production at the emergency clinics (legevakter) in Bodø and Stjørdal, receiving patient summaries for citizens of other participating states, and in 2026 the project began establishing NCP-A, the contact point through which Norwegian health data will be shared abroad (Helsedirektoratet, 2026). No relevant patients had yet presented when the Directorate last reported, so the volume of genuine cross-border audit records generated in Norway is still minimal.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017" w:name="sec_1_2"/>
      <w:r>
        <w:t xml:space="preserve">1.2 Problem Statement</w:t>
      </w:r>
      <w:bookmarkEnd w:id="1017"/>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018" w:name="sec_1_3"/>
      <w:r>
        <w:t xml:space="preserve">1.3 Research Objectives and Questions</w:t>
      </w:r>
      <w:bookmarkEnd w:id="1018"/>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019" w:name="sec_1_4"/>
      <w:r>
        <w:t xml:space="preserve">1.4 Significance and Relevance</w:t>
      </w:r>
      <w:bookmarkEnd w:id="1019"/>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020" w:name="sec_1_5"/>
      <w:r>
        <w:t xml:space="preserve">1.5 Scope and Out-of-Scope</w:t>
      </w:r>
      <w:bookmarkEnd w:id="1020"/>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021" w:name="sec_1_6"/>
      <w:r>
        <w:t xml:space="preserve">1.6 Methodological Approach</w:t>
      </w:r>
      <w:bookmarkEnd w:id="1021"/>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022" w:name="sec_1_7"/>
      <w:r>
        <w:t xml:space="preserve">1.7 Thesis Structure</w:t>
      </w:r>
      <w:bookmarkEnd w:id="1022"/>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independent exhaustive cross-check,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023" w:name="ch_2"/>
      <w:r>
        <w:t xml:space="preserve">Chapter 2. Literature Review and Theoretical Foundation</w:t>
      </w:r>
      <w:bookmarkEnd w:id="1023"/>
    </w:p>
    <w:bookmarkStart w:id="40" w:name="review-protocol"/>
    <w:p>
      <w:pPr>
        <w:pStyle w:val="Heading2"/>
      </w:pPr>
      <w:bookmarkStart w:id="1024" w:name="sec_2_1"/>
      <w:r>
        <w:t xml:space="preserve">2.1 Review Protocol</w:t>
      </w:r>
      <w:bookmarkEnd w:id="1024"/>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025" w:name="sec_2_2"/>
      <w:r>
        <w:t xml:space="preserve">2.2 The Cross-Border Health Data Exchange Landscape</w:t>
      </w:r>
      <w:bookmarkEnd w:id="1025"/>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026" w:name="sec_2_3"/>
      <w:r>
        <w:t xml:space="preserve">2.3 The Audit-Retention versus Right-to-Erasure Tension</w:t>
      </w:r>
      <w:bookmarkEnd w:id="1026"/>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w:t>
      </w:r>
      <w:hyperlink w:anchor="ch_6" w:history="1">
        <w:r>
          <w:rPr>
            <w:rStyle w:val="Hyperlink"/>
          </w:rPr>
          <w:t xml:space="preserve">Chapter 6</w:t>
        </w:r>
      </w:hyperlink>
      <w:r>
        <w:t xml:space="preserve">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027" w:name="sec_2_4"/>
      <w:r>
        <w:t xml:space="preserve">2.4 Cryptographic Approaches to Audit Compliance</w:t>
      </w:r>
      <w:bookmarkEnd w:id="1027"/>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028" w:name="sec_2_5"/>
      <w:r>
        <w:t xml:space="preserve">2.5 Formal Approaches to Regulatory-Compliance Verification</w:t>
      </w:r>
      <w:bookmarkEnd w:id="1028"/>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029" w:name="sec_2_6"/>
      <w:r>
        <w:t xml:space="preserve">2.6 Norwegian Secondary-Use Infrastructure</w:t>
      </w:r>
      <w:bookmarkEnd w:id="1029"/>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030" w:name="sec_2_7"/>
      <w:r>
        <w:t xml:space="preserve">2.7 Information Logistics Framing</w:t>
      </w:r>
      <w:bookmarkEnd w:id="1030"/>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031" w:name="sec_2_8"/>
      <w:r>
        <w:t xml:space="preserve">2.8 Comparative Analysis</w:t>
      </w:r>
      <w:bookmarkEnd w:id="1031"/>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01" w:name="tbl_2_1"/>
      <w:r>
        <w:rPr>
          <w:b/>
          <w:color w:val="1F3864"/>
        </w:rPr>
        <w:t xml:space="preserve">Table 2.1.</w:t>
      </w:r>
      <w:r>
        <w:t xml:space="preserve"> Comparative Analysis of Cryptographic Compliance Approaches to Health Data Audit</w:t>
      </w:r>
      <w:bookmarkEnd w:id="100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032" w:name="sec_2_9"/>
      <w:r>
        <w:t xml:space="preserve">2.9 Identified Research Gaps</w:t>
      </w:r>
      <w:bookmarkEnd w:id="1032"/>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033" w:name="sec_2_10"/>
      <w:r>
        <w:t xml:space="preserve">2.10 Conceptual Positioning of the Thesis</w:t>
      </w:r>
      <w:bookmarkEnd w:id="1033"/>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034" w:name="ch_3"/>
      <w:r>
        <w:t xml:space="preserve">Chapter 3. Methodology and Research Design</w:t>
      </w:r>
      <w:bookmarkEnd w:id="1034"/>
    </w:p>
    <w:bookmarkStart w:id="51" w:name="research-paradigm"/>
    <w:p>
      <w:pPr>
        <w:pStyle w:val="Heading2"/>
      </w:pPr>
      <w:bookmarkStart w:id="1035" w:name="sec_3_1"/>
      <w:r>
        <w:t xml:space="preserve">3.1 Research Paradigm</w:t>
      </w:r>
      <w:bookmarkEnd w:id="1035"/>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036" w:name="sec_3_2"/>
      <w:r>
        <w:t xml:space="preserve">3.2 The Design Science Cycle Adopted</w:t>
      </w:r>
      <w:bookmarkEnd w:id="1036"/>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037" w:name="sec_3_3"/>
      <w:r>
        <w:t xml:space="preserve">3.3 The Specification-and-Demonstration Variant, Extended with Formal Modelling</w:t>
      </w:r>
      <w:bookmarkEnd w:id="1037"/>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038" w:name="sec_3_4"/>
      <w:r>
        <w:t xml:space="preserve">3.4 Formal-Modelling Methodology</w:t>
      </w:r>
      <w:bookmarkEnd w:id="1038"/>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039" w:name="sec_3_5"/>
      <w:r>
        <w:t xml:space="preserve">3.5 Synthetic Data</w:t>
      </w:r>
      <w:bookmarkEnd w:id="1039"/>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040" w:name="sec_3_6"/>
      <w:r>
        <w:t xml:space="preserve">3.6 Sandbox Implementation Approach</w:t>
      </w:r>
      <w:bookmarkEnd w:id="1040"/>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This is a robustness measure rather than a component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041" w:name="sec_3_7"/>
      <w:r>
        <w:t xml:space="preserve">3.7 Validity, Reliability, and Limitations</w:t>
      </w:r>
      <w:bookmarkEnd w:id="1041"/>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57"/>
    <w:bookmarkStart w:id="58" w:name="evaluation-design-for-the-next-cycle"/>
    <w:p>
      <w:pPr>
        <w:pStyle w:val="Heading2"/>
      </w:pPr>
      <w:bookmarkStart w:id="1042" w:name="sec_3_8"/>
      <w:r>
        <w:t xml:space="preserve">3.8 Evaluation Design for the Next Cycle</w:t>
      </w:r>
      <w:bookmarkEnd w:id="1042"/>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043" w:name="sec_3_9"/>
      <w:r>
        <w:t xml:space="preserve">3.9 Ethical Considerations</w:t>
      </w:r>
      <w:bookmarkEnd w:id="1043"/>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3" w:name="X2971a2bc3f1973506a5daa95b277d527922fc52"/>
    <w:p>
      <w:pPr>
        <w:pStyle w:val="Heading1"/>
      </w:pPr>
      <w:bookmarkStart w:id="1044" w:name="ch_4"/>
      <w:r>
        <w:t xml:space="preserve">Chapter 4. The Tri-Lateral Retention Feasibility Model and the Crypto-Erasure by Invalidation Mechanism</w:t>
      </w:r>
      <w:bookmarkEnd w:id="1044"/>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045" w:name="sec_4_1"/>
      <w:r>
        <w:t xml:space="preserve">4.1 Purpose and Structure of the Chapter</w:t>
      </w:r>
      <w:bookmarkEnd w:id="1045"/>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first rival a reviewer would propose,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046" w:name="sec_4_2"/>
      <w:r>
        <w:t xml:space="preserve">4.2 What Must Be Retained: The Necessity Analysis</w:t>
      </w:r>
      <w:bookmarkEnd w:id="1046"/>
    </w:p>
    <w:p>
      <w:pPr>
        <w:pStyle w:val="FirstParagraph"/>
      </w:pPr>
      <w:r>
        <w:t xml:space="preserve">The decomposition that makes the model possible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047" w:name="sec_4_3"/>
      <w:r>
        <w:t xml:space="preserve">4.3 The Model: Objects and Notation</w:t>
      </w:r>
      <w:bookmarkEnd w:id="1047"/>
    </w:p>
    <w:p>
      <w:pPr>
        <w:pStyle w:val="FirstParagraph"/>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w:t>
      </w:r>
      <w:hyperlink w:anchor="sec_4_2" w:history="1">
        <w:r>
          <w:rPr>
            <w:rStyle w:val="Hyperlink"/>
          </w:rPr>
          <w:t xml:space="preserve">Section 4.2</w:t>
        </w:r>
      </w:hyperlink>
      <w:r>
        <w:t xml:space="preserve">).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sepChr m:val=""/>
            <m:endChr m:val=")"/>
            <m:grow/>
          </m:dPr>
          <m:e>
            <m:r>
              <m:t>a</m:t>
            </m:r>
          </m:e>
        </m:d>
      </m:oMath>
      <w:r>
        <w:t xml:space="preserve"> </w:t>
      </w:r>
      <w:r>
        <w:t xml:space="preserve">to be a clinical document, only personal data that the accountability purpose does not need.</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048" w:name="sec_4_4"/>
      <w:r>
        <w:t xml:space="preserve">4.4 The Three Constraints</w:t>
      </w:r>
      <w:bookmarkEnd w:id="1048"/>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049" w:name="sec_4_5"/>
      <w:r>
        <w:t xml:space="preserve">4.5 Two Semantics of Verifiability</w:t>
      </w:r>
      <w:bookmarkEnd w:id="1049"/>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83ea8ce7f647f6490c0f91608eb9a092fef3911"/>
    <w:p>
      <w:pPr>
        <w:pStyle w:val="Heading2"/>
      </w:pPr>
      <w:bookmarkStart w:id="1050" w:name="sec_4_6"/>
      <w:r>
        <w:t xml:space="preserve">4.6 Proposition 1: Infeasibility under Plaintext Verifiability</w:t>
      </w:r>
      <w:bookmarkEnd w:id="1050"/>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051" w:name="sec_4_7"/>
      <w:r>
        <w:t xml:space="preserve">4.7 Proposition 2: Feasibility under Accountability-Preserving Verifiability</w:t>
      </w:r>
      <w:bookmarkEnd w:id="1051"/>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10" w:history="1">
        <w:r>
          <w:rPr>
            <w:rStyle w:val="Hyperlink"/>
          </w:rPr>
          <w:t xml:space="preserve">Section 4.10</w:t>
        </w:r>
      </w:hyperlink>
      <w:r>
        <w:t xml:space="preserve"> concedes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68" w:name="Xbab0c38be3b68c0190d99bdc4068769bc35fcf9"/>
    <w:p>
      <w:pPr>
        <w:pStyle w:val="Heading2"/>
      </w:pPr>
      <w:bookmarkStart w:id="1052" w:name="sec_4_8"/>
      <w:r>
        <w:t xml:space="preserve">4.8 The Mechanism: Crypto-Erasure by Invalidation</w:t>
      </w:r>
      <w:bookmarkEnd w:id="1052"/>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 Commit(</w:t>
      </w:r>
      <m:oMath>
        <m:r>
          <m:t>p</m:t>
        </m:r>
        <m:d>
          <m:dPr>
            <m:begChr m:val="("/>
            <m:sepChr m:val=""/>
            <m:endChr m:val=")"/>
            <m:grow/>
          </m:dPr>
          <m:e>
            <m:r>
              <m:t>a</m:t>
            </m:r>
          </m:e>
        </m:d>
        <m:r>
          <m:rPr>
            <m:sty m:val="p"/>
          </m:rPr>
          <m:t>,</m:t>
        </m:r>
        <m:r>
          <m:t>r</m:t>
        </m:r>
        <m:d>
          <m:dPr>
            <m:begChr m:val="("/>
            <m:sepChr m:val=""/>
            <m:endChr m:val=")"/>
            <m:grow/>
          </m:dPr>
          <m:e>
            <m:r>
              <m:t>a</m:t>
            </m:r>
          </m:e>
        </m:d>
      </m:oMath>
      <w:r>
        <w:t xml:space="preserve">) 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68"/>
    <w:bookmarkStart w:id="69" w:name="residue-analysis"/>
    <w:p>
      <w:pPr>
        <w:pStyle w:val="Heading2"/>
      </w:pPr>
      <w:bookmarkStart w:id="1053" w:name="sec_4_9"/>
      <w:r>
        <w:t xml:space="preserve">4.9 Residue Analysis</w:t>
      </w:r>
      <w:bookmarkEnd w:id="1053"/>
    </w:p>
    <w:p>
      <w:pPr>
        <w:pStyle w:val="FirstParagraph"/>
      </w:pPr>
      <w:r>
        <w:t xml:space="preserve">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69"/>
    <w:bookmarkStart w:id="70" w:name="rival-designs"/>
    <w:p>
      <w:pPr>
        <w:pStyle w:val="Heading2"/>
      </w:pPr>
      <w:bookmarkStart w:id="1054" w:name="sec_4_10"/>
      <w:r>
        <w:t xml:space="preserve">4.10 Rival Designs</w:t>
      </w:r>
      <w:bookmarkEnd w:id="1054"/>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0"/>
    <w:bookmarkStart w:id="71" w:name="X51924fffb4499c77bcb597712556eecab7674b1"/>
    <w:p>
      <w:pPr>
        <w:pStyle w:val="Heading2"/>
      </w:pPr>
      <w:bookmarkStart w:id="1055" w:name="sec_4_11"/>
      <w:r>
        <w:t xml:space="preserve">4.11 Integration with the Norwegian Infrastructure</w:t>
      </w:r>
      <w:bookmarkEnd w:id="1055"/>
    </w:p>
    <w:p>
      <w:pPr>
        <w:pStyle w:val="FirstParagraph"/>
      </w:pPr>
      <w:r>
        <w:t xml:space="preserve">The mechanism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02" w:name="tbl_4_1"/>
      <w:r>
        <w:rPr>
          <w:b/>
          <w:color w:val="1F3864"/>
        </w:rPr>
        <w:t xml:space="preserve">Table 4.1.</w:t>
      </w:r>
      <w:r>
        <w:t xml:space="preserve"> Requirements traced to the mechanism</w:t>
      </w:r>
      <w:bookmarkEnd w:id="100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1"/>
    <w:bookmarkStart w:id="72" w:name="summary"/>
    <w:p>
      <w:pPr>
        <w:pStyle w:val="Heading2"/>
      </w:pPr>
      <w:bookmarkStart w:id="1056" w:name="sec_4_12"/>
      <w:r>
        <w:t xml:space="preserve">4.12 Summary</w:t>
      </w:r>
      <w:bookmarkEnd w:id="1056"/>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both propositions executably, over synthetic records generated as described in Chapter 3.</w:t>
      </w:r>
    </w:p>
    <w:bookmarkEnd w:id="72"/>
    <w:bookmarkEnd w:id="73"/>
    <w:bookmarkStart w:id="82" w:name="chapter-5.-demonstration"/>
    <w:p>
      <w:pPr>
        <w:pStyle w:val="Heading1"/>
      </w:pPr>
      <w:bookmarkStart w:id="1057" w:name="ch_5"/>
      <w:r>
        <w:t xml:space="preserve">Chapter 5. Demonstration</w:t>
      </w:r>
      <w:bookmarkEnd w:id="1057"/>
    </w:p>
    <w:p>
      <w:pPr>
        <w:pStyle w:val="FirstParagraph"/>
      </w:pPr>
      <w:r>
        <w:rPr>
          <w:iCs/>
          <w:i/>
        </w:rPr>
        <w:t xml:space="preserve">Every figure reported in this chapter was produced by the code listed in Appendix A, executed under seed 20260915. No number here was written before the code that produced it was run.</w:t>
      </w:r>
    </w:p>
    <w:bookmarkStart w:id="74" w:name="purpose-and-claim"/>
    <w:p>
      <w:pPr>
        <w:pStyle w:val="Heading2"/>
      </w:pPr>
      <w:bookmarkStart w:id="1058" w:name="sec_5_1"/>
      <w:r>
        <w:t xml:space="preserve">5.1 Purpose and Claim</w:t>
      </w:r>
      <w:bookmarkEnd w:id="1058"/>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Propositions 3 and 4 are analytic and are not executed here, although </w:t>
      </w:r>
      <w:hyperlink w:anchor="sec_5_4" w:history="1">
        <w:r>
          <w:rPr>
            <w:rStyle w:val="Hyperlink"/>
          </w:rPr>
          <w:t xml:space="preserve">Section 5.4</w:t>
        </w:r>
      </w:hyperlink>
      <w:r>
        <w:t xml:space="preserve">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w:t>
      </w:r>
    </w:p>
    <w:bookmarkEnd w:id="74"/>
    <w:bookmarkStart w:id="75" w:name="implementation"/>
    <w:p>
      <w:pPr>
        <w:pStyle w:val="Heading2"/>
      </w:pPr>
      <w:bookmarkStart w:id="1059" w:name="sec_5_2"/>
      <w:r>
        <w:t xml:space="preserve">5.2 Implementation</w:t>
      </w:r>
      <w:bookmarkEnd w:id="1059"/>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TableCaption"/>
      </w:pPr>
      <w:bookmarkStart w:id="1003" w:name="tbl_5_1"/>
      <w:r>
        <w:rPr>
          <w:b/>
          <w:color w:val="1F3864"/>
        </w:rPr>
        <w:t xml:space="preserve">Table 5.1.</w:t>
      </w:r>
      <w:r>
        <w:t xml:space="preserve"> The artefact as published</w:t>
      </w:r>
      <w:bookmarkEnd w:id="100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533</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671</w:t>
            </w:r>
          </w:p>
        </w:tc>
        <w:tc>
          <w:tcPr/>
          <w:p>
            <w:pPr>
              <w:pStyle w:val="Compact"/>
              <w:jc w:val="left"/>
            </w:pPr>
            <w:r>
              <w:rPr>
                <w:sz w:val="20"/>
                <w:szCs w:val="20"/>
              </w:rPr>
              <w:t xml:space="preserve">Six-tab viewer over the artefact;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04" w:name="tbl_5_2"/>
      <w:r>
        <w:rPr>
          <w:b/>
          <w:color w:val="1F3864"/>
        </w:rPr>
        <w:t xml:space="preserve">Table 5.2.</w:t>
      </w:r>
      <w:r>
        <w:t xml:space="preserve"> Generation parameters (complete)</w:t>
      </w:r>
      <w:bookmarkEnd w:id="100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w:t>
      </w:r>
      <w:hyperlink w:anchor="sec_5_8" w:history="1">
        <w:r>
          <w:rPr>
            <w:rStyle w:val="Hyperlink"/>
          </w:rPr>
          <w:t xml:space="preserve">Section 5.8</w:t>
        </w:r>
      </w:hyperlink>
      <w:r>
        <w:t xml:space="preserve"> reports the comparison between the two.</w:t>
      </w:r>
    </w:p>
    <w:bookmarkEnd w:id="75"/>
    <w:bookmarkStart w:id="76" w:name="results-under-semantics-i"/>
    <w:p>
      <w:pPr>
        <w:pStyle w:val="Heading2"/>
      </w:pPr>
      <w:bookmarkStart w:id="1060" w:name="sec_5_3"/>
      <w:r>
        <w:t xml:space="preserve">5.3 Results under Semantics I</w:t>
      </w:r>
      <w:bookmarkEnd w:id="1060"/>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05" w:name="tbl_5_3"/>
      <w:r>
        <w:rPr>
          <w:b/>
          <w:color w:val="1F3864"/>
        </w:rPr>
        <w:t xml:space="preserve">Table 5.3.</w:t>
      </w:r>
      <w:r>
        <w:t xml:space="preserve"> Violations under Semantics I (seed 20260915, n = 200)</w:t>
      </w:r>
      <w:bookmarkEnd w:id="100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w:t>
      </w:r>
      <w:hyperlink w:anchor="sec_5_4" w:history="1">
        <w:r>
          <w:rPr>
            <w:rStyle w:val="Hyperlink"/>
          </w:rPr>
          <w:t xml:space="preserve">Section 5.4</w:t>
        </w:r>
      </w:hyperlink>
      <w:r>
        <w:t xml:space="preserve"> isolates it.</w:t>
      </w:r>
    </w:p>
    <w:bookmarkEnd w:id="76"/>
    <w:bookmarkStart w:id="77" w:name="Xa78c7cc063bc28a699e62b8492f8426c0d63645"/>
    <w:p>
      <w:pPr>
        <w:pStyle w:val="Heading2"/>
      </w:pPr>
      <w:bookmarkStart w:id="1061" w:name="sec_5_4"/>
      <w:r>
        <w:t xml:space="preserve">5.4 Corollary 1.2: Infeasibility Without an Erasure Request</w:t>
      </w:r>
      <w:bookmarkEnd w:id="1061"/>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structural explanation.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Permit lengths were drawn uniformly from one to twelve months, so half the draws fall at or below six. The figure is therefore a consequence of the permit-length distribution; what the demonstration establishes is that the collision arises under ordinary parameters rather than contrived ones. Nor was the twelve-month horizon chosen to produce it: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77"/>
    <w:bookmarkStart w:id="78" w:name="independent-cross-check"/>
    <w:p>
      <w:pPr>
        <w:pStyle w:val="Heading2"/>
      </w:pPr>
      <w:bookmarkStart w:id="1062" w:name="sec_5_5"/>
      <w:r>
        <w:t xml:space="preserve">5.5 Independent Cross-Check</w:t>
      </w:r>
      <w:bookmarkEnd w:id="1062"/>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06"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0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78"/>
    <w:bookmarkStart w:id="79" w:name="witness-at-the-extended-response-period"/>
    <w:p>
      <w:pPr>
        <w:pStyle w:val="Heading2"/>
      </w:pPr>
      <w:bookmarkStart w:id="1063" w:name="sec_5_6"/>
      <w:r>
        <w:t xml:space="preserve">5.6 Witness at the Extended Response Period</w:t>
      </w:r>
      <w:bookmarkEnd w:id="1063"/>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07"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0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79"/>
    <w:bookmarkStart w:id="80" w:name="results-under-semantics-ii"/>
    <w:p>
      <w:pPr>
        <w:pStyle w:val="Heading2"/>
      </w:pPr>
      <w:bookmarkStart w:id="1064" w:name="sec_5_7"/>
      <w:r>
        <w:t xml:space="preserve">5.7 Results under Semantics II</w:t>
      </w:r>
      <w:bookmarkEnd w:id="1064"/>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08" w:name="tbl_5_6"/>
      <w:r>
        <w:rPr>
          <w:b/>
          <w:color w:val="1F3864"/>
        </w:rPr>
        <w:t xml:space="preserve">Table 5.6.</w:t>
      </w:r>
      <w:r>
        <w:t xml:space="preserve"> Results under Semantics II (same 200 records, same seed)</w:t>
      </w:r>
      <w:bookmarkEnd w:id="100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the earlier presence test could not.</w:t>
      </w:r>
    </w:p>
    <w:bookmarkEnd w:id="80"/>
    <w:bookmarkStart w:id="81" w:name="X118c29104845627cee32a0e9a3002454d83401c"/>
    <w:p>
      <w:pPr>
        <w:pStyle w:val="Heading2"/>
      </w:pPr>
      <w:bookmarkStart w:id="1065" w:name="sec_5_8"/>
      <w:r>
        <w:t xml:space="preserve">5.8 What the Demonstration Establishes, and What It Does Not</w:t>
      </w:r>
      <w:bookmarkEnd w:id="1065"/>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09" w:name="tbl_5_7"/>
      <w:r>
        <w:rPr>
          <w:b/>
          <w:color w:val="1F3864"/>
        </w:rPr>
        <w:t xml:space="preserve">Table 5.7.</w:t>
      </w:r>
      <w:r>
        <w:t xml:space="preserve"> Constructed against Synthea-generated payloads (same seed, same timings)</w:t>
      </w:r>
      <w:bookmarkEnd w:id="1009"/>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1"/>
    <w:bookmarkEnd w:id="82"/>
    <w:bookmarkStart w:id="95" w:name="chapter-6.-discussion"/>
    <w:p>
      <w:pPr>
        <w:pStyle w:val="Heading1"/>
      </w:pPr>
      <w:bookmarkStart w:id="1066" w:name="ch_6"/>
      <w:r>
        <w:t xml:space="preserve">Chapter 6. Discussion</w:t>
      </w:r>
      <w:bookmarkEnd w:id="1066"/>
    </w:p>
    <w:bookmarkStart w:id="83" w:name="what-the-thesis-establishes"/>
    <w:p>
      <w:pPr>
        <w:pStyle w:val="Heading2"/>
      </w:pPr>
      <w:bookmarkStart w:id="1067" w:name="sec_6_1"/>
      <w:r>
        <w:t xml:space="preserve">6.1 What the Thesis Establishes</w:t>
      </w:r>
      <w:bookmarkEnd w:id="1067"/>
    </w:p>
    <w:p>
      <w:pPr>
        <w:pStyle w:val="FirstParagraph"/>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thirty-nine witnesses of this collision in the model, in a population of one hundred Secure Processing Environment records; across the full population of two hundred, cross-border records included, ninety records were infeasible under Semantics I, most of them through erasure requests (</w:t>
      </w:r>
      <w:hyperlink w:anchor="ch_5" w:history="1">
        <w:r>
          <w:rPr>
            <w:rStyle w:val="Hyperlink"/>
          </w:rPr>
          <w:t xml:space="preserve">Chapter 5</w:t>
        </w:r>
      </w:hyperlink>
      <w:r>
        <w:t xml:space="preserve">, </w:t>
      </w:r>
      <w:hyperlink w:anchor="tbl_5_3" w:history="1">
        <w:r>
          <w:rPr>
            <w:rStyle w:val="Hyperlink"/>
          </w:rPr>
          <w:t xml:space="preserve">Table 5.3</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3"/>
    <w:bookmarkStart w:id="84" w:name="the-authority-problem"/>
    <w:p>
      <w:pPr>
        <w:pStyle w:val="Heading2"/>
      </w:pPr>
      <w:bookmarkStart w:id="1068" w:name="sec_6_2"/>
      <w:r>
        <w:t xml:space="preserve">6.2 The Authority Problem</w:t>
      </w:r>
      <w:bookmarkEnd w:id="1068"/>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4"/>
    <w:bookmarkStart w:id="85" w:name="Xded207afce20f277dc3fb975fe95ea550887e42"/>
    <w:p>
      <w:pPr>
        <w:pStyle w:val="Heading2"/>
      </w:pPr>
      <w:bookmarkStart w:id="1069" w:name="sec_6_3"/>
      <w:r>
        <w:t xml:space="preserve">6.3 Key Destruction and the Limits of Assurance</w:t>
      </w:r>
      <w:bookmarkEnd w:id="1069"/>
    </w:p>
    <w:p>
      <w:pPr>
        <w:pStyle w:val="FirstParagraph"/>
      </w:pPr>
      <w:r>
        <w:t xml:space="preserve">The second objection is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5"/>
    <w:bookmarkStart w:id="86" w:name="the-cost-objection"/>
    <w:p>
      <w:pPr>
        <w:pStyle w:val="Heading2"/>
      </w:pPr>
      <w:bookmarkStart w:id="1070" w:name="sec_6_4"/>
      <w:r>
        <w:t xml:space="preserve">6.4 The Cost Objection</w:t>
      </w:r>
      <w:bookmarkEnd w:id="1070"/>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86"/>
    <w:bookmarkStart w:id="87" w:name="scalability"/>
    <w:p>
      <w:pPr>
        <w:pStyle w:val="Heading2"/>
      </w:pPr>
      <w:bookmarkStart w:id="1071" w:name="sec_6_5"/>
      <w:r>
        <w:t xml:space="preserve">6.5 Scalability</w:t>
      </w:r>
      <w:bookmarkEnd w:id="1071"/>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87"/>
    <w:bookmarkStart w:id="88" w:name="X44fba077a1d6c8b053ceb66fb0b4946e89febc8"/>
    <w:p>
      <w:pPr>
        <w:pStyle w:val="Heading2"/>
      </w:pPr>
      <w:bookmarkStart w:id="1072" w:name="sec_6_6"/>
      <w:r>
        <w:t xml:space="preserve">6.6 Evaluation Design and the Role of Stakeholder Assessment</w:t>
      </w:r>
      <w:bookmarkEnd w:id="1072"/>
    </w:p>
    <w:p>
      <w:pPr>
        <w:pStyle w:val="FirstParagraph"/>
      </w:pPr>
      <w:r>
        <w:t xml:space="preserve">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88"/>
    <w:bookmarkStart w:id="89" w:name="Xb09e9d760b9049b450198be4ab64b306a64bdc7"/>
    <w:p>
      <w:pPr>
        <w:pStyle w:val="Heading2"/>
      </w:pPr>
      <w:bookmarkStart w:id="1073" w:name="sec_6_7"/>
      <w:r>
        <w:t xml:space="preserve">6.7 Synthetic Data and the Limits of the Demonstration</w:t>
      </w:r>
      <w:bookmarkEnd w:id="1073"/>
    </w:p>
    <w:p>
      <w:pPr>
        <w:pStyle w:val="FirstParagraph"/>
      </w:pPr>
      <w:hyperlink w:anchor="ch_3" w:history="1">
        <w:r>
          <w:rPr>
            <w:rStyle w:val="Hyperlink"/>
          </w:rPr>
          <w:t xml:space="preserve">Chapter 3</w:t>
        </w:r>
      </w:hyperlink>
      <w:r>
        <w:t xml:space="preserve">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and the exhaustive cross-check reduce the probability that an error in the proofs has gone unnoticed; they do not eliminate it.</w:t>
      </w:r>
    </w:p>
    <w:bookmarkEnd w:id="89"/>
    <w:bookmarkStart w:id="90" w:name="implications-for-practice-and-policy"/>
    <w:p>
      <w:pPr>
        <w:pStyle w:val="Heading2"/>
      </w:pPr>
      <w:bookmarkStart w:id="1074" w:name="sec_6_8"/>
      <w:r>
        <w:t xml:space="preserve">6.8 Implications for Practice and Policy</w:t>
      </w:r>
      <w:bookmarkEnd w:id="1074"/>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0"/>
    <w:bookmarkStart w:id="91" w:name="theoretical-implications"/>
    <w:p>
      <w:pPr>
        <w:pStyle w:val="Heading2"/>
      </w:pPr>
      <w:bookmarkStart w:id="1075" w:name="sec_6_9"/>
      <w:r>
        <w:t xml:space="preserve">6.9 Theoretical Implications</w:t>
      </w:r>
      <w:bookmarkEnd w:id="1075"/>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w:t>
      </w:r>
      <w:hyperlink w:anchor="ch_2" w:history="1">
        <w:r>
          <w:rPr>
            <w:rStyle w:val="Hyperlink"/>
          </w:rPr>
          <w:t xml:space="preserve">Chapter 2</w:t>
        </w:r>
      </w:hyperlink>
      <w:r>
        <w:t xml:space="preserve">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1"/>
    <w:bookmarkStart w:id="92" w:name="Xf98bccb8ca371ce0fd1679988a5911c6b05ad19"/>
    <w:p>
      <w:pPr>
        <w:pStyle w:val="Heading2"/>
      </w:pPr>
      <w:bookmarkStart w:id="1076" w:name="sec_6_10"/>
      <w:r>
        <w:t xml:space="preserve">6.10 Where the Ceiling Is Anchored: a Cross-Sector Test</w:t>
      </w:r>
      <w:bookmarkEnd w:id="1076"/>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2"/>
    <w:bookmarkStart w:id="93" w:name="boundaries-as-contribution"/>
    <w:p>
      <w:pPr>
        <w:pStyle w:val="Heading2"/>
      </w:pPr>
      <w:bookmarkStart w:id="1077" w:name="sec_6_11"/>
      <w:r>
        <w:t xml:space="preserve">6.11 Boundaries as Contribution</w:t>
      </w:r>
      <w:bookmarkEnd w:id="1077"/>
    </w:p>
    <w:p>
      <w:pPr>
        <w:pStyle w:val="FirstParagraph"/>
      </w:pPr>
      <w:r>
        <w:t xml:space="preserve">The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The interpretive move at the centre of the thesis is an argument without authority behind it. None of these was claimed, so none of them reduces what was: a contribution that states its boundaries can be checked at them.</w:t>
      </w:r>
    </w:p>
    <w:bookmarkEnd w:id="93"/>
    <w:bookmarkStart w:id="94" w:name="summary-1"/>
    <w:p>
      <w:pPr>
        <w:pStyle w:val="Heading2"/>
      </w:pPr>
      <w:bookmarkStart w:id="1078" w:name="sec_6_12"/>
      <w:r>
        <w:t xml:space="preserve">6.12 Summary</w:t>
      </w:r>
      <w:bookmarkEnd w:id="1078"/>
    </w:p>
    <w:p>
      <w:pPr>
        <w:pStyle w:val="FirstParagraph"/>
      </w:pPr>
      <w:r>
        <w:t xml:space="preserve">The thesis establishes that audit-retention floors, the right to erasure and the deletion ceiling conflict only under an assumption about verifiability, and not because of the obligations themselves; that, on the broad reading of Article 68(12) and for logs kept at patient-record granularity, the conflict arises inside the European Health Data Space Regulation with no data subject acting; that a ceiling collides with a floor exactly when Proposition 3 says, and that relocation escapes the ceiling but not the right (Proposition 4). It exhibits the mechanism that dissolves the conflict and demonstrates Propositions 1 and 2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94"/>
    <w:bookmarkEnd w:id="95"/>
    <w:bookmarkStart w:id="102" w:name="chapter-7.-conclusion"/>
    <w:p>
      <w:pPr>
        <w:pStyle w:val="Heading1"/>
      </w:pPr>
      <w:bookmarkStart w:id="1079" w:name="ch_7"/>
      <w:r>
        <w:t xml:space="preserve">Chapter 7. Conclusion</w:t>
      </w:r>
      <w:bookmarkEnd w:id="1079"/>
    </w:p>
    <w:bookmarkStart w:id="96" w:name="the-problem-and-the-answer"/>
    <w:p>
      <w:pPr>
        <w:pStyle w:val="Heading2"/>
      </w:pPr>
      <w:bookmarkStart w:id="1080" w:name="sec_7_1"/>
      <w:r>
        <w:t xml:space="preserve">7.1 The Problem and the Answer</w:t>
      </w:r>
      <w:bookmarkEnd w:id="1080"/>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collides with a retention floor exactly when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96"/>
    <w:bookmarkStart w:id="97" w:name="contributions"/>
    <w:p>
      <w:pPr>
        <w:pStyle w:val="Heading2"/>
      </w:pPr>
      <w:bookmarkStart w:id="1081" w:name="sec_7_2"/>
      <w:r>
        <w:t xml:space="preserve">7.2 Contributions</w:t>
      </w:r>
      <w:bookmarkEnd w:id="1081"/>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confirmed on a statute outside health; Proposition 4 shows why relocation answers the ceiling and not the right.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97"/>
    <w:bookmarkStart w:id="98" w:name="what-the-thesis-does-not-establish"/>
    <w:p>
      <w:pPr>
        <w:pStyle w:val="Heading2"/>
      </w:pPr>
      <w:bookmarkStart w:id="1082" w:name="sec_7_3"/>
      <w:r>
        <w:t xml:space="preserve">7.3 What the Thesis Does Not Establish</w:t>
      </w:r>
      <w:bookmarkEnd w:id="1082"/>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98"/>
    <w:bookmarkStart w:id="99" w:name="the-two-open-questions-of-authority"/>
    <w:p>
      <w:pPr>
        <w:pStyle w:val="Heading2"/>
      </w:pPr>
      <w:bookmarkStart w:id="1083" w:name="sec_7_4"/>
      <w:r>
        <w:t xml:space="preserve">7.4 The Two Open Questions of Authority</w:t>
      </w:r>
      <w:bookmarkEnd w:id="1083"/>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99"/>
    <w:bookmarkStart w:id="100" w:name="future-work"/>
    <w:p>
      <w:pPr>
        <w:pStyle w:val="Heading2"/>
      </w:pPr>
      <w:bookmarkStart w:id="1084" w:name="sec_7_5"/>
      <w:r>
        <w:t xml:space="preserve">7.5 Future Work</w:t>
      </w:r>
      <w:bookmarkEnd w:id="1084"/>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0"/>
    <w:bookmarkStart w:id="101" w:name="closing"/>
    <w:p>
      <w:pPr>
        <w:pStyle w:val="Heading2"/>
      </w:pPr>
      <w:bookmarkStart w:id="1085" w:name="sec_7_6"/>
      <w:r>
        <w:t xml:space="preserve">7.6 Closing</w:t>
      </w:r>
      <w:bookmarkEnd w:id="1085"/>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1"/>
    <w:bookmarkEnd w:id="102"/>
    <w:bookmarkStart w:id="103" w:name="references"/>
    <w:p>
      <w:pPr>
        <w:pStyle w:val="Heading1"/>
      </w:pPr>
      <w:bookmarkStart w:id="1086" w:name="h_References"/>
      <w:r>
        <w:t xml:space="preserve">References</w:t>
      </w:r>
      <w:bookmarkEnd w:id="1086"/>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3"/>
    <w:bookmarkStart w:id="128" w:name="Xf671d6a047e29416c79aabf8b10d80280f04f69"/>
    <w:p>
      <w:pPr>
        <w:pStyle w:val="Heading1"/>
      </w:pPr>
      <w:bookmarkStart w:id="1087" w:name="app_A"/>
      <w:r>
        <w:t xml:space="preserve">Appendix A. Code Artefacts and Reproduction Record</w:t>
      </w:r>
      <w:bookmarkEnd w:id="1087"/>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04"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presents six tabs. Tab 1 runs the thesis configuration, 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 Tab 2 varies population parameters as a teaching aid and is explicitly outside the thesis claims. Tab 3 runs the realism layer and reproduces </w:t>
      </w:r>
      <w:hyperlink w:anchor="tbl_5_7" w:history="1">
        <w:r>
          <w:rPr>
            <w:rStyle w:val="Hyperlink"/>
          </w:rPr>
          <w:t xml:space="preserve">Table 5.7</w:t>
        </w:r>
      </w:hyperlink>
      <w:r>
        <w:t xml:space="preserve">. Tab 4 runs the Norwegian context modules, which are illustrative and report no thesis figure. Tab 5 runs the robustness checks: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 Tab 6 evaluates the condition of Proposition 3 for any floor and ceiling, with Article 68(12) and politiregisterloven § 17 as presets.</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4"/>
    <w:bookmarkStart w:id="105"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p>
        </w:tc>
        <w:tc>
          <w:tcPr/>
          <w:p>
            <w:pPr>
              <w:pStyle w:val="Compact"/>
              <w:jc w:val="left"/>
            </w:pPr>
            <w:r>
              <w:rPr>
                <w:sz w:val="20"/>
                <w:szCs w:val="20"/>
              </w:rPr>
              <w:t xml:space="preserve">Six-tab demonstration viewer over the artefact, never a source of results</w:t>
            </w:r>
          </w:p>
        </w:tc>
        <w:tc>
          <w:tcPr/>
          <w:p>
            <w:pPr>
              <w:pStyle w:val="Compact"/>
              <w:jc w:val="left"/>
            </w:pPr>
            <w:r>
              <w:rPr>
                <w:sz w:val="20"/>
                <w:szCs w:val="20"/>
              </w:rPr>
              <w:t xml:space="preserve">671</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streamlit&gt;=1.30</w:t>
            </w:r>
            <w:r>
              <w:rPr>
                <w:sz w:val="20"/>
                <w:szCs w:val="20"/>
              </w:rPr>
              <w:t xml:space="preserve">; the checker itself needs nothing</w:t>
            </w:r>
          </w:p>
        </w:tc>
        <w:tc>
          <w:tcPr/>
          <w:p>
            <w:pPr>
              <w:pStyle w:val="Compact"/>
              <w:jc w:val="left"/>
            </w:pPr>
            <w:r>
              <w:rPr>
                <w:sz w:val="20"/>
                <w:szCs w:val="20"/>
              </w:rPr>
              <w:t xml:space="preserve">1</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05"/>
    <w:bookmarkStart w:id="106"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06"/>
    <w:bookmarkStart w:id="107"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07"/>
    <w:bookmarkStart w:id="108"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08"/>
    <w:bookmarkStart w:id="111" w:name="a.6-what-the-code-does"/>
    <w:p>
      <w:pPr>
        <w:pStyle w:val="Heading2"/>
      </w:pPr>
      <w:r>
        <w:t xml:space="preserve">A.6 What the code does</w:t>
      </w:r>
    </w:p>
    <w:bookmarkStart w:id="109"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Three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09"/>
    <w:bookmarkStart w:id="110"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0"/>
    <w:bookmarkEnd w:id="111"/>
    <w:bookmarkStart w:id="112"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2"/>
    <w:bookmarkStart w:id="113"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3"/>
    <w:bookmarkStart w:id="114"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14"/>
    <w:bookmarkStart w:id="115"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5"/>
    <w:bookmarkStart w:id="116"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6"/>
    <w:bookmarkStart w:id="117"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17"/>
    <w:bookmarkStart w:id="118"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18"/>
    <w:bookmarkStart w:id="119" w:name="a.14-source-listing-app.py"/>
    <w:p>
      <w:pPr>
        <w:pStyle w:val="Heading2"/>
      </w:pPr>
      <w:r>
        <w:t xml:space="preserve">A.14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5.7.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"with an explorer for Proposition 3.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tab6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     </w:t>
      </w:r>
      <w:r>
        <w:rPr>
          <w:rStyle w:val="StringTok"/>
        </w:rPr>
        <w:t xml:space="preserve">"Where the ceiling is anchored"</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5.3 and 5.6, "</w:t>
      </w:r>
      <w:r>
        <w:br/>
      </w:r>
      <w:r>
        <w:rPr>
          <w:rStyle w:val="NormalTok"/>
        </w:rPr>
        <w:t xml:space="preserve">        </w:t>
      </w:r>
      <w:r>
        <w:rPr>
          <w:rStyle w:val="StringTok"/>
        </w:rPr>
        <w:t xml:space="preserve">"and the audit-log integrity check of Section 5.7.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5.3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on the broad reading of "</w:t>
      </w:r>
      <w:r>
        <w:br/>
      </w:r>
      <w:r>
        <w:rPr>
          <w:rStyle w:val="NormalTok"/>
        </w:rPr>
        <w:t xml:space="preserve">            </w:t>
      </w:r>
      <w:r>
        <w:rPr>
          <w:rStyle w:val="StringTok"/>
        </w:rPr>
        <w:t xml:space="preserve">"Article 68(12) and for logs kept at patient-record granularity "</w:t>
      </w:r>
      <w:r>
        <w:br/>
      </w:r>
      <w:r>
        <w:rPr>
          <w:rStyle w:val="NormalTok"/>
        </w:rPr>
        <w:t xml:space="preserve">            </w:t>
      </w:r>
      <w:r>
        <w:rPr>
          <w:rStyle w:val="StringTok"/>
        </w:rPr>
        <w:t xml:space="preserve">"(Chapter 4, Section 4.6). On the narrow reading these witnesses lapse."</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5.6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st.markdown(</w:t>
      </w:r>
      <w:r>
        <w:rPr>
          <w:rStyle w:val="StringTok"/>
        </w:rPr>
        <w:t xml:space="preserve">"**Audit-log integrity — Chapter 5, Section 5.7**"</w:t>
      </w:r>
      <w:r>
        <w:rPr>
          <w:rStyle w:val="NormalTok"/>
        </w:rPr>
        <w:t xml:space="preserve">)</w:t>
      </w:r>
      <w:r>
        <w:br/>
      </w:r>
      <w:r>
        <w:rPr>
          <w:rStyle w:val="NormalTok"/>
        </w:rPr>
        <w:t xml:space="preserve">        st.write(</w:t>
      </w:r>
      <w:r>
        <w:br/>
      </w:r>
      <w:r>
        <w:rPr>
          <w:rStyle w:val="NormalTok"/>
        </w:rPr>
        <w:t xml:space="preserve">            </w:t>
      </w:r>
      <w:r>
        <w:rPr>
          <w:rStyle w:val="StringTok"/>
        </w:rPr>
        <w:t xml:space="preserve">"Every access, invalidation and subject-link removal is a leaf of an "</w:t>
      </w:r>
      <w:r>
        <w:br/>
      </w:r>
      <w:r>
        <w:rPr>
          <w:rStyle w:val="NormalTok"/>
        </w:rPr>
        <w:t xml:space="preserve">            </w:t>
      </w:r>
      <w:r>
        <w:rPr>
          <w:rStyle w:val="StringTok"/>
        </w:rPr>
        <w:t xml:space="preserve">"append-only Merkle log (RFC 6962 hashing). A record counts as verifiable "</w:t>
      </w:r>
      <w:r>
        <w:br/>
      </w:r>
      <w:r>
        <w:rPr>
          <w:rStyle w:val="NormalTok"/>
        </w:rPr>
        <w:t xml:space="preserve">            </w:t>
      </w:r>
      <w:r>
        <w:rPr>
          <w:rStyle w:val="StringTok"/>
        </w:rPr>
        <w:t xml:space="preserve">"under Semantics II only if each of its entries passes an inclusion proof "</w:t>
      </w:r>
      <w:r>
        <w:br/>
      </w:r>
      <w:r>
        <w:rPr>
          <w:rStyle w:val="NormalTok"/>
        </w:rPr>
        <w:t xml:space="preserve">            </w:t>
      </w:r>
      <w:r>
        <w:rPr>
          <w:rStyle w:val="StringTok"/>
        </w:rPr>
        <w:t xml:space="preserve">"against the log root. Leaves hold the accessor fields and the commitment, "</w:t>
      </w:r>
      <w:r>
        <w:br/>
      </w:r>
      <w:r>
        <w:rPr>
          <w:rStyle w:val="NormalTok"/>
        </w:rPr>
        <w:t xml:space="preserve">            </w:t>
      </w:r>
      <w:r>
        <w:rPr>
          <w:rStyle w:val="StringTok"/>
        </w:rPr>
        <w:t xml:space="preserve">"never the payload or the patient link, so the log never needs erasing."</w:t>
      </w:r>
      <w:r>
        <w:br/>
      </w:r>
      <w:r>
        <w:rPr>
          <w:rStyle w:val="NormalTok"/>
        </w:rPr>
        <w:t xml:space="preserve">        )</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trf.integrity(r)[</w:t>
      </w:r>
      <w:r>
        <w:rPr>
          <w:rStyle w:val="DecValTok"/>
        </w:rPr>
        <w:t xml:space="preserve">0</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br/>
      </w:r>
      <w:r>
        <w:rPr>
          <w:rStyle w:val="NormalTok"/>
        </w:rPr>
        <w:t xml:space="preserve">        ok_t, why_t </w:t>
      </w:r>
      <w:r>
        <w:rPr>
          <w:rStyle w:val="OperatorTok"/>
        </w:rPr>
        <w:t xml:space="preserve">=</w:t>
      </w:r>
      <w:r>
        <w:rPr>
          <w:rStyle w:val="NormalTok"/>
        </w:rPr>
        <w:t xml:space="preserve"> trf.V_II(demo,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br/>
      </w:r>
      <w:r>
        <w:rPr>
          <w:rStyle w:val="NormalTok"/>
        </w:rPr>
        <w:t xml:space="preserve">        ok_g, why_g </w:t>
      </w:r>
      <w:r>
        <w:rPr>
          <w:rStyle w:val="OperatorTok"/>
        </w:rPr>
        <w:t xml:space="preserve">=</w:t>
      </w:r>
      <w:r>
        <w:rPr>
          <w:rStyle w:val="NormalTok"/>
        </w:rPr>
        <w:t xml:space="preserve"> trf.V_II(demo,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ok_r </w:t>
      </w:r>
      <w:r>
        <w:rPr>
          <w:rStyle w:val="OperatorTok"/>
        </w:rPr>
        <w:t xml:space="preserve">=</w:t>
      </w:r>
      <w:r>
        <w:rPr>
          <w:rStyle w:val="NormalTok"/>
        </w:rPr>
        <w:t xml:space="preserve"> trf.V_II(demo, demo.t_a)[</w:t>
      </w:r>
      <w:r>
        <w:rPr>
          <w:rStyle w:val="DecValTok"/>
        </w:rPr>
        <w:t xml:space="preserve">0</w:t>
      </w:r>
      <w:r>
        <w:rPr>
          <w:rStyle w:val="NormalTok"/>
        </w:rPr>
        <w:t xml:space="preserve">]</w:t>
      </w:r>
      <w:r>
        <w:br/>
      </w:r>
      <w:r>
        <w:rPr>
          <w:rStyle w:val="NormalTok"/>
        </w:rPr>
        <w:t xml:space="preserve">        i1, i2, i3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i1.metric(</w:t>
      </w:r>
      <w:r>
        <w:rPr>
          <w:rStyle w:val="StringTok"/>
        </w:rPr>
        <w:t xml:space="preserve">"Records verifying"</w:t>
      </w:r>
      <w:r>
        <w:rPr>
          <w:rStyle w:val="NormalTok"/>
        </w:rPr>
        <w:t xml:space="preserve">, </w:t>
      </w:r>
      <w:r>
        <w:rPr>
          <w:rStyle w:val="SpecialStringTok"/>
        </w:rPr>
        <w:t xml:space="preserve">f"</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i2.metric(</w:t>
      </w:r>
      <w:r>
        <w:rPr>
          <w:rStyle w:val="StringTok"/>
        </w:rPr>
        <w:t xml:space="preserve">"Tamper: actor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ok_t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i3.metric(</w:t>
      </w:r>
      <w:r>
        <w:rPr>
          <w:rStyle w:val="StringTok"/>
        </w:rPr>
        <w:t xml:space="preserve">"Tamper: ground altered"</w:t>
      </w:r>
      <w:r>
        <w:rPr>
          <w:rStyle w:val="NormalTok"/>
        </w:rPr>
        <w:t xml:space="preserve">, </w:t>
      </w:r>
      <w:r>
        <w:rPr>
          <w:rStyle w:val="StringTok"/>
        </w:rPr>
        <w:t xml:space="preserve">"fails"</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ok_g </w:t>
      </w:r>
      <w:r>
        <w:rPr>
          <w:rStyle w:val="ControlFlowTok"/>
        </w:rPr>
        <w:t xml:space="preserve">else</w:t>
      </w:r>
      <w:r>
        <w:rPr>
          <w:rStyle w:val="NormalTok"/>
        </w:rPr>
        <w:t xml:space="preserve"> </w:t>
      </w:r>
      <w:r>
        <w:rPr>
          <w:rStyle w:val="StringTok"/>
        </w:rPr>
        <w:t xml:space="preserve">"PASSES"</w:t>
      </w:r>
      <w:r>
        <w:rPr>
          <w:rStyle w:val="NormalTok"/>
        </w:rPr>
        <w:t xml:space="preserve">)</w:t>
      </w:r>
      <w:r>
        <w:br/>
      </w:r>
      <w:r>
        <w:rPr>
          <w:rStyle w:val="NormalTok"/>
        </w:rPr>
        <w:t xml:space="preserve">        st.code(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R-008 -&gt; R-999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-&gt; 'none'    :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f"after restoring both          : V_II=</w:t>
      </w:r>
      <w:r>
        <w:rPr>
          <w:rStyle w:val="SpecialCharTok"/>
        </w:rPr>
        <w:t xml:space="preserve">{</w:t>
      </w:r>
      <w:r>
        <w:rPr>
          <w:rStyle w:val="NormalTok"/>
        </w:rPr>
        <w:t xml:space="preserve">ok_r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br/>
      </w:r>
      <w:r>
        <w:rPr>
          <w:rStyle w:val="NormalTok"/>
        </w:rPr>
        <w:t xml:space="preserve">                </w:t>
      </w:r>
      <w:r>
        <w:rPr>
          <w:rStyle w:val="KeywordTok"/>
        </w:rPr>
        <w:t xml:space="preserve">and</w:t>
      </w:r>
      <w:r>
        <w:rPr>
          <w:rStyle w:val="NormalTok"/>
        </w:rPr>
        <w:t xml:space="preserve"> n_ok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w:t>
      </w:r>
      <w:r>
        <w:rPr>
          <w:rStyle w:val="KeywordTok"/>
        </w:rPr>
        <w:t xml:space="preserve">not</w:t>
      </w:r>
      <w:r>
        <w:rPr>
          <w:rStyle w:val="NormalTok"/>
        </w:rPr>
        <w:t xml:space="preserve"> ok_t </w:t>
      </w:r>
      <w:r>
        <w:rPr>
          <w:rStyle w:val="KeywordTok"/>
        </w:rPr>
        <w:t xml:space="preserve">and</w:t>
      </w:r>
      <w:r>
        <w:rPr>
          <w:rStyle w:val="NormalTok"/>
        </w:rPr>
        <w:t xml:space="preserve"> </w:t>
      </w:r>
      <w:r>
        <w:rPr>
          <w:rStyle w:val="KeywordTok"/>
        </w:rPr>
        <w:t xml:space="preserve">not</w:t>
      </w:r>
      <w:r>
        <w:rPr>
          <w:rStyle w:val="NormalTok"/>
        </w:rPr>
        <w:t xml:space="preserve"> ok_g </w:t>
      </w:r>
      <w:r>
        <w:rPr>
          <w:rStyle w:val="KeywordTok"/>
        </w:rPr>
        <w:t xml:space="preserve">and</w:t>
      </w:r>
      <w:r>
        <w:rPr>
          <w:rStyle w:val="NormalTok"/>
        </w:rPr>
        <w:t xml:space="preserve"> ok_r):</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 200/200 records verifying, both tamper tests failing."</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5.7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§5.5, §5.6 and §5.8)</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§5.5**"</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§5.6**"</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width</w:t>
      </w:r>
      <w:r>
        <w:rPr>
          <w:rStyle w:val="OperatorTok"/>
        </w:rPr>
        <w:t xml:space="preserve">=</w:t>
      </w:r>
      <w:r>
        <w:rPr>
          <w:rStyle w:val="StringTok"/>
        </w:rPr>
        <w:t xml:space="preserve">"stretch"</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§5.6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"**Real envelope encryption — optional module, Chapter 5 §5.8**"</w:t>
      </w:r>
      <w:r>
        <w:rPr>
          <w:rStyle w:val="NormalTok"/>
        </w:rPr>
        <w:t xml:space="preserve">)</w:t>
      </w:r>
      <w:r>
        <w:br/>
      </w:r>
      <w:r>
        <w:rPr>
          <w:rStyle w:val="NormalTok"/>
        </w:rPr>
        <w:t xml:space="preserve">    st.write(</w:t>
      </w:r>
      <w:r>
        <w:br/>
      </w:r>
      <w:r>
        <w:rPr>
          <w:rStyle w:val="NormalTok"/>
        </w:rPr>
        <w:t xml:space="preserve">        </w:t>
      </w:r>
      <w:r>
        <w:rPr>
          <w:rStyle w:val="StringTok"/>
        </w:rPr>
        <w:t xml:space="preserve">"The checker models key destruction as removing a reference. This module "</w:t>
      </w:r>
      <w:r>
        <w:br/>
      </w:r>
      <w:r>
        <w:rPr>
          <w:rStyle w:val="NormalTok"/>
        </w:rPr>
        <w:t xml:space="preserve">        </w:t>
      </w:r>
      <w:r>
        <w:rPr>
          <w:rStyle w:val="StringTok"/>
        </w:rPr>
        <w:t xml:space="preserve">"repeats the lifecycle with real AES-256-GCM: each record under its own data "</w:t>
      </w:r>
      <w:r>
        <w:br/>
      </w:r>
      <w:r>
        <w:rPr>
          <w:rStyle w:val="NormalTok"/>
        </w:rPr>
        <w:t xml:space="preserve">        </w:t>
      </w:r>
      <w:r>
        <w:rPr>
          <w:rStyle w:val="StringTok"/>
        </w:rPr>
        <w:t xml:space="preserve">"key, each data key wrapped under a key-encrypting key, and the wrapped key "</w:t>
      </w:r>
      <w:r>
        <w:br/>
      </w:r>
      <w:r>
        <w:rPr>
          <w:rStyle w:val="NormalTok"/>
        </w:rPr>
        <w:t xml:space="preserve">        </w:t>
      </w:r>
      <w:r>
        <w:rPr>
          <w:rStyle w:val="StringTok"/>
        </w:rPr>
        <w:t xml:space="preserve">"destroyed at the record's invalidation month. Keys are random on every run; "</w:t>
      </w:r>
      <w:r>
        <w:br/>
      </w:r>
      <w:r>
        <w:rPr>
          <w:rStyle w:val="NormalTok"/>
        </w:rPr>
        <w:t xml:space="preserve">        </w:t>
      </w:r>
      <w:r>
        <w:rPr>
          <w:rStyle w:val="StringTok"/>
        </w:rPr>
        <w:t xml:space="preserve">"the counts are not."</w:t>
      </w:r>
      <w:r>
        <w:br/>
      </w:r>
      <w:r>
        <w:rPr>
          <w:rStyle w:val="NormalTok"/>
        </w:rPr>
        <w:t xml:space="preserve">    )</w:t>
      </w:r>
      <w:r>
        <w:br/>
      </w:r>
      <w:r>
        <w:rPr>
          <w:rStyle w:val="NormalTok"/>
        </w:rPr>
        <w:t xml:space="preserve">    </w:t>
      </w:r>
      <w:r>
        <w:rPr>
          <w:rStyle w:val="ControlFlowTok"/>
        </w:rPr>
        <w:t xml:space="preserve">if</w:t>
      </w:r>
      <w:r>
        <w:rPr>
          <w:rStyle w:val="NormalTok"/>
        </w:rPr>
        <w:t xml:space="preserve"> st.button(</w:t>
      </w:r>
      <w:r>
        <w:rPr>
          <w:rStyle w:val="StringTok"/>
        </w:rPr>
        <w:t xml:space="preserve">"Run envelope encryption"</w:t>
      </w:r>
      <w:r>
        <w:rPr>
          <w:rStyle w:val="NormalTok"/>
        </w:rPr>
        <w:t xml:space="preserve">, key</w:t>
      </w:r>
      <w:r>
        <w:rPr>
          <w:rStyle w:val="OperatorTok"/>
        </w:rPr>
        <w:t xml:space="preserve">=</w:t>
      </w:r>
      <w:r>
        <w:rPr>
          <w:rStyle w:val="StringTok"/>
        </w:rPr>
        <w:t xml:space="preserve">"run_crypto"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crypto_envelope </w:t>
      </w:r>
      <w:r>
        <w:rPr>
          <w:rStyle w:val="ImportTok"/>
        </w:rPr>
        <w:t xml:space="preserve">as</w:t>
      </w:r>
      <w:r>
        <w:rPr>
          <w:rStyle w:val="NormalTok"/>
        </w:rPr>
        <w:t xml:space="preserve"> ce</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"Encrypting 200 records, destroying keys, decrypting ..."</w:t>
      </w:r>
      <w:r>
        <w:rPr>
          <w:rStyle w:val="NormalTok"/>
        </w:rPr>
        <w:t xml:space="preserve">):</w:t>
      </w:r>
      <w:r>
        <w:br/>
      </w:r>
      <w:r>
        <w:rPr>
          <w:rStyle w:val="NormalTok"/>
        </w:rPr>
        <w:t xml:space="preserve">                recs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ce.Custody()</w:t>
      </w:r>
      <w:r>
        <w:br/>
      </w:r>
      <w:r>
        <w:rPr>
          <w:rStyle w:val="NormalTok"/>
        </w:rPr>
        <w:t xml:space="preserve">                store </w:t>
      </w:r>
      <w:r>
        <w:rPr>
          <w:rStyle w:val="OperatorTok"/>
        </w:rPr>
        <w:t xml:space="preserve">=</w:t>
      </w:r>
      <w:r>
        <w:rPr>
          <w:rStyle w:val="NormalTok"/>
        </w:rPr>
        <w:t xml:space="preserve"> {r.rid: ce.encrypt(custody,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inval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w:t>
      </w:r>
      <w:r>
        <w:br/>
      </w:r>
      <w:r>
        <w:rPr>
          <w:rStyle w:val="NormalTok"/>
        </w:rPr>
        <w:t xml:space="preserve">                    custody.destroy(r.rid)</w:t>
      </w:r>
      <w:r>
        <w:br/>
      </w:r>
      <w:r>
        <w:rPr>
          <w:rStyle w:val="NormalTok"/>
        </w:rPr>
        <w:t xml:space="preserve">                readable </w:t>
      </w:r>
      <w:r>
        <w:rPr>
          <w:rStyle w:val="OperatorTok"/>
        </w:rPr>
        <w:t xml:space="preserve">=</w:t>
      </w:r>
      <w:r>
        <w:rPr>
          <w:rStyle w:val="NormalTok"/>
        </w:rPr>
        <w:t xml:space="preserve"> refused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try</w:t>
      </w:r>
      <w:r>
        <w:rPr>
          <w:rStyle w:val="NormalTok"/>
        </w:rPr>
        <w:t xml:space="preserve">:</w:t>
      </w:r>
      <w:r>
        <w:br/>
      </w:r>
      <w:r>
        <w:rPr>
          <w:rStyle w:val="NormalTok"/>
        </w:rPr>
        <w:t xml:space="preserve">                        ce.decrypt(custody,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e1, e2, e3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e1.metric(</w:t>
      </w:r>
      <w:r>
        <w:rPr>
          <w:rStyle w:val="StringTok"/>
        </w:rPr>
        <w:t xml:space="preserve">"Records encrypted"</w:t>
      </w:r>
      <w:r>
        <w:rPr>
          <w:rStyle w:val="NormalTok"/>
        </w:rPr>
        <w:t xml:space="preserve">, </w:t>
      </w:r>
      <w:r>
        <w:rPr>
          <w:rStyle w:val="BuiltInTok"/>
        </w:rPr>
        <w:t xml:space="preserve">len</w:t>
      </w:r>
      <w:r>
        <w:rPr>
          <w:rStyle w:val="NormalTok"/>
        </w:rPr>
        <w:t xml:space="preserve">(recs))</w:t>
      </w:r>
      <w:r>
        <w:br/>
      </w:r>
      <w:r>
        <w:rPr>
          <w:rStyle w:val="NormalTok"/>
        </w:rPr>
        <w:t xml:space="preserve">            e2.metric(</w:t>
      </w:r>
      <w:r>
        <w:rPr>
          <w:rStyle w:val="StringTok"/>
        </w:rPr>
        <w:t xml:space="preserve">"Refused after key destruction"</w:t>
      </w:r>
      <w:r>
        <w:rPr>
          <w:rStyle w:val="NormalTok"/>
        </w:rPr>
        <w:t xml:space="preserve">, refused)</w:t>
      </w:r>
      <w:r>
        <w:br/>
      </w:r>
      <w:r>
        <w:rPr>
          <w:rStyle w:val="NormalTok"/>
        </w:rPr>
        <w:t xml:space="preserve">            e3.metric(</w:t>
      </w:r>
      <w:r>
        <w:rPr>
          <w:rStyle w:val="StringTok"/>
        </w:rPr>
        <w:t xml:space="preserve">"Still readable"</w:t>
      </w:r>
      <w:r>
        <w:rPr>
          <w:rStyle w:val="NormalTok"/>
        </w:rPr>
        <w:t xml:space="preserve">, readable)</w:t>
      </w:r>
      <w:r>
        <w:br/>
      </w:r>
      <w:r>
        <w:rPr>
          <w:rStyle w:val="NormalTok"/>
        </w:rPr>
        <w:t xml:space="preserve">            </w:t>
      </w:r>
      <w:r>
        <w:rPr>
          <w:rStyle w:val="ControlFlowTok"/>
        </w:rPr>
        <w:t xml:space="preserve">if</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 </w:t>
      </w:r>
      <w:r>
        <w:rPr>
          <w:rStyle w:val="OperatorTok"/>
        </w:rPr>
        <w:t xml:space="preserve">==</w:t>
      </w:r>
      <w:r>
        <w:rPr>
          <w:rStyle w:val="NormalTok"/>
        </w:rPr>
        <w:t xml:space="preserve"> </w:t>
      </w:r>
      <w:r>
        <w:rPr>
          <w:rStyle w:val="DecValTok"/>
        </w:rPr>
        <w:t xml:space="preserve">138</w:t>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DecValTok"/>
        </w:rPr>
        <w:t xml:space="preserve">62</w:t>
      </w:r>
      <w:r>
        <w:rPr>
          <w:rStyle w:val="NormalTok"/>
        </w:rPr>
        <w:t xml:space="preserve">:</w:t>
      </w:r>
      <w:r>
        <w:br/>
      </w:r>
      <w:r>
        <w:rPr>
          <w:rStyle w:val="NormalTok"/>
        </w:rPr>
        <w:t xml:space="preserve">                st.success(</w:t>
      </w:r>
      <w:r>
        <w:br/>
      </w:r>
      <w:r>
        <w:rPr>
          <w:rStyle w:val="NormalTok"/>
        </w:rPr>
        <w:t xml:space="preserve">                    </w:t>
      </w:r>
      <w:r>
        <w:rPr>
          <w:rStyle w:val="StringTok"/>
        </w:rPr>
        <w:t xml:space="preserve">"Exactly the 138 invalidated records refuse to decrypt and the "</w:t>
      </w:r>
      <w:r>
        <w:br/>
      </w:r>
      <w:r>
        <w:rPr>
          <w:rStyle w:val="NormalTok"/>
        </w:rPr>
        <w:t xml:space="preserve">                    </w:t>
      </w:r>
      <w:r>
        <w:rPr>
          <w:rStyle w:val="StringTok"/>
        </w:rPr>
        <w:t xml:space="preserve">"other 62 read, as Appendix A.22 records. Unreadability follows "</w:t>
      </w:r>
      <w:r>
        <w:br/>
      </w:r>
      <w:r>
        <w:rPr>
          <w:rStyle w:val="NormalTok"/>
        </w:rPr>
        <w:t xml:space="preserve">                    </w:t>
      </w:r>
      <w:r>
        <w:rPr>
          <w:rStyle w:val="StringTok"/>
        </w:rPr>
        <w:t xml:space="preserve">"from destruction; that destruction happened in hardware is still "</w:t>
      </w:r>
      <w:r>
        <w:br/>
      </w:r>
      <w:r>
        <w:rPr>
          <w:rStyle w:val="NormalTok"/>
        </w:rPr>
        <w:t xml:space="preserve">                    </w:t>
      </w:r>
      <w:r>
        <w:rPr>
          <w:rStyle w:val="StringTok"/>
        </w:rPr>
        <w:t xml:space="preserve">"an attestation (Chapter 6, Section 6.3)."</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tringTok"/>
        </w:rPr>
        <w:t xml:space="preserve">"Counts differ from Appendix A.22. Investigate before citing."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st.info(</w:t>
      </w:r>
      <w:r>
        <w:rPr>
          <w:rStyle w:val="StringTok"/>
        </w:rPr>
        <w:t xml:space="preserve">"The `cryptography` package is not installed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and it does not implement the terminal "</w:t>
      </w:r>
      <w:r>
        <w:br/>
      </w:r>
      <w:r>
        <w:rPr>
          <w:rStyle w:val="NormalTok"/>
        </w:rPr>
        <w:t xml:space="preserve">        </w:t>
      </w:r>
      <w:r>
        <w:rPr>
          <w:rStyle w:val="StringTok"/>
        </w:rPr>
        <w:t xml:space="preserve">"transition at floor expiry. Key destruction is simulated by removing a "</w:t>
      </w:r>
      <w:r>
        <w:br/>
      </w:r>
      <w:r>
        <w:rPr>
          <w:rStyle w:val="NormalTok"/>
        </w:rPr>
        <w:t xml:space="preserve">        </w:t>
      </w:r>
      <w:r>
        <w:rPr>
          <w:rStyle w:val="StringTok"/>
        </w:rPr>
        <w:t xml:space="preserve">"reference in program state, or in the optional module by discarding a "</w:t>
      </w:r>
      <w:r>
        <w:br/>
      </w:r>
      <w:r>
        <w:rPr>
          <w:rStyle w:val="NormalTok"/>
        </w:rPr>
        <w:t xml:space="preserve">        </w:t>
      </w:r>
      <w:r>
        <w:rPr>
          <w:rStyle w:val="StringTok"/>
        </w:rPr>
        <w:t xml:space="preserve">"wrapped key in memory: either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§5.8 and Chapter 6 state these limits in full."</w:t>
      </w:r>
      <w:r>
        <w:br/>
      </w:r>
      <w:r>
        <w:rPr>
          <w:rStyle w:val="NormalTok"/>
        </w:rPr>
        <w:t xml:space="preserve">    )</w:t>
      </w:r>
      <w:r>
        <w:br/>
      </w:r>
      <w:r>
        <w:br/>
      </w:r>
      <w:r>
        <w:br/>
      </w:r>
      <w:r>
        <w:br/>
      </w:r>
      <w:r>
        <w:rPr>
          <w:rStyle w:val="CommentTok"/>
        </w:rPr>
        <w:t xml:space="preserve"># ----------------------------------------------------------------------</w:t>
      </w:r>
      <w:r>
        <w:br/>
      </w:r>
      <w:r>
        <w:rPr>
          <w:rStyle w:val="CommentTok"/>
        </w:rPr>
        <w:t xml:space="preserve"># Tab 6 — Proposition 3: where the ceiling is anchored (Chapter 4, Section 4.6)</w:t>
      </w:r>
      <w:r>
        <w:br/>
      </w:r>
      <w:r>
        <w:rPr>
          <w:rStyle w:val="CommentTok"/>
        </w:rPr>
        <w:t xml:space="preserve"># ----------------------------------------------------------------------</w:t>
      </w:r>
      <w:r>
        <w:br/>
      </w:r>
      <w:r>
        <w:br/>
      </w:r>
      <w:r>
        <w:rPr>
          <w:rStyle w:val="ControlFlowTok"/>
        </w:rPr>
        <w:t xml:space="preserve">with</w:t>
      </w:r>
      <w:r>
        <w:rPr>
          <w:rStyle w:val="NormalTok"/>
        </w:rPr>
        <w:t xml:space="preserve"> tab6:</w:t>
      </w:r>
      <w:r>
        <w:br/>
      </w:r>
      <w:r>
        <w:rPr>
          <w:rStyle w:val="NormalTok"/>
        </w:rPr>
        <w:t xml:space="preserve">    st.subheader(</w:t>
      </w:r>
      <w:r>
        <w:rPr>
          <w:rStyle w:val="StringTok"/>
        </w:rPr>
        <w:t xml:space="preserve">"Where the ceiling is anchored — Proposition 3"</w:t>
      </w:r>
      <w:r>
        <w:rPr>
          <w:rStyle w:val="NormalTok"/>
        </w:rPr>
        <w:t xml:space="preserve">)</w:t>
      </w:r>
      <w:r>
        <w:br/>
      </w:r>
      <w:r>
        <w:rPr>
          <w:rStyle w:val="NormalTok"/>
        </w:rPr>
        <w:t xml:space="preserve">    st.write(</w:t>
      </w:r>
      <w:r>
        <w:br/>
      </w:r>
      <w:r>
        <w:rPr>
          <w:rStyle w:val="NormalTok"/>
        </w:rPr>
        <w:t xml:space="preserve">        </w:t>
      </w:r>
      <w:r>
        <w:rPr>
          <w:rStyle w:val="StringTok"/>
        </w:rPr>
        <w:t xml:space="preserve">"A retention floor of F months runs from the record's creation t(a). A deletion "</w:t>
      </w:r>
      <w:r>
        <w:br/>
      </w:r>
      <w:r>
        <w:rPr>
          <w:rStyle w:val="NormalTok"/>
        </w:rPr>
        <w:t xml:space="preserve">        </w:t>
      </w:r>
      <w:r>
        <w:rPr>
          <w:rStyle w:val="StringTok"/>
        </w:rPr>
        <w:t xml:space="preserve">"ceiling of L months runs from an event e(a) at or after creation. Under plaintext "</w:t>
      </w:r>
      <w:r>
        <w:br/>
      </w:r>
      <w:r>
        <w:rPr>
          <w:rStyle w:val="NormalTok"/>
        </w:rPr>
        <w:t xml:space="preserve">        </w:t>
      </w:r>
      <w:r>
        <w:rPr>
          <w:rStyle w:val="StringTok"/>
        </w:rPr>
        <w:t xml:space="preserve">"verifiability the two collide for a record exactly when e(a) + L &lt;= t(a) + F. "</w:t>
      </w:r>
      <w:r>
        <w:br/>
      </w:r>
      <w:r>
        <w:rPr>
          <w:rStyle w:val="NormalTok"/>
        </w:rPr>
        <w:t xml:space="preserve">        </w:t>
      </w:r>
      <w:r>
        <w:rPr>
          <w:rStyle w:val="StringTok"/>
        </w:rPr>
        <w:t xml:space="preserve">"A collision therefore needs L &lt;= F; where the ceiling is anchored decides "</w:t>
      </w:r>
      <w:r>
        <w:br/>
      </w:r>
      <w:r>
        <w:rPr>
          <w:rStyle w:val="NormalTok"/>
        </w:rPr>
        <w:t xml:space="preserve">        </w:t>
      </w:r>
      <w:r>
        <w:rPr>
          <w:rStyle w:val="StringTok"/>
        </w:rPr>
        <w:t xml:space="preserve">"whether the collision can be read from the text or only from each record's history."</w:t>
      </w:r>
      <w:r>
        <w:br/>
      </w:r>
      <w:r>
        <w:rPr>
          <w:rStyle w:val="NormalTok"/>
        </w:rPr>
        <w:t xml:space="preserve">    )</w:t>
      </w:r>
      <w:r>
        <w:br/>
      </w:r>
      <w:r>
        <w:rPr>
          <w:rStyle w:val="NormalTok"/>
        </w:rPr>
        <w:t xml:space="preserve">    preset </w:t>
      </w:r>
      <w:r>
        <w:rPr>
          <w:rStyle w:val="OperatorTok"/>
        </w:rPr>
        <w:t xml:space="preserve">=</w:t>
      </w:r>
      <w:r>
        <w:rPr>
          <w:rStyle w:val="NormalTok"/>
        </w:rPr>
        <w:t xml:space="preserve"> st.radio(</w:t>
      </w:r>
      <w:r>
        <w:br/>
      </w:r>
      <w:r>
        <w:rPr>
          <w:rStyle w:val="NormalTok"/>
        </w:rPr>
        <w:t xml:space="preserve">        </w:t>
      </w:r>
      <w:r>
        <w:rPr>
          <w:rStyle w:val="StringTok"/>
        </w:rPr>
        <w:t xml:space="preserve">"Preset"</w:t>
      </w:r>
      <w:r>
        <w:rPr>
          <w:rStyle w:val="NormalTok"/>
        </w:rPr>
        <w:t xml:space="preserve">,</w:t>
      </w:r>
      <w:r>
        <w:br/>
      </w:r>
      <w:r>
        <w:rPr>
          <w:rStyle w:val="NormalTok"/>
        </w:rPr>
        <w:t xml:space="preserve">        [</w:t>
      </w:r>
      <w:r>
        <w:rPr>
          <w:rStyle w:val="StringTok"/>
        </w:rPr>
        <w:t xml:space="preserve">"EHDS Art 73(1)(e) floor, Art 68(12) ceiling"</w:t>
      </w:r>
      <w:r>
        <w:rPr>
          <w:rStyle w:val="NormalTok"/>
        </w:rPr>
        <w:t xml:space="preserve">, </w:t>
      </w:r>
      <w:r>
        <w:rPr>
          <w:rStyle w:val="StringTok"/>
        </w:rPr>
        <w:t xml:space="preserve">"politiregisterloven § 17"</w:t>
      </w:r>
      <w:r>
        <w:rPr>
          <w:rStyle w:val="NormalTok"/>
        </w:rPr>
        <w:t xml:space="preserve">,</w:t>
      </w:r>
      <w:r>
        <w:br/>
      </w:r>
      <w:r>
        <w:rPr>
          <w:rStyle w:val="NormalTok"/>
        </w:rPr>
        <w:t xml:space="preserve">         </w:t>
      </w:r>
      <w:r>
        <w:rPr>
          <w:rStyle w:val="StringTok"/>
        </w:rPr>
        <w:t xml:space="preserve">"Free"</w:t>
      </w:r>
      <w:r>
        <w:rPr>
          <w:rStyle w:val="NormalTok"/>
        </w:rPr>
        <w:t xml:space="preserve">], horizontal</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preset.startswith(</w:t>
      </w:r>
      <w:r>
        <w:rPr>
          <w:rStyle w:val="StringTok"/>
        </w:rPr>
        <w:t xml:space="preserve">"EHDS"</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 </w:t>
      </w:r>
      <w:r>
        <w:rPr>
          <w:rStyle w:val="VariableTok"/>
        </w:rPr>
        <w:t xml:space="preserve">False</w:t>
      </w:r>
      <w:r>
        <w:br/>
      </w:r>
      <w:r>
        <w:rPr>
          <w:rStyle w:val="NormalTok"/>
        </w:rPr>
        <w:t xml:space="preserve">    </w:t>
      </w:r>
      <w:r>
        <w:rPr>
          <w:rStyle w:val="ControlFlowTok"/>
        </w:rPr>
        <w:t xml:space="preserve">elif</w:t>
      </w:r>
      <w:r>
        <w:rPr>
          <w:rStyle w:val="NormalTok"/>
        </w:rPr>
        <w:t xml:space="preserve"> preset.startswith(</w:t>
      </w:r>
      <w:r>
        <w:rPr>
          <w:rStyle w:val="StringTok"/>
        </w:rPr>
        <w:t xml:space="preserve">"politi"</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36</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F0, L0, same0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12</w:t>
      </w:r>
      <w:r>
        <w:rPr>
          <w:rStyle w:val="NormalTok"/>
        </w:rPr>
        <w:t xml:space="preserve">, </w:t>
      </w:r>
      <w:r>
        <w:rPr>
          <w:rStyle w:val="VariableTok"/>
        </w:rPr>
        <w:t xml:space="preserve">False</w:t>
      </w:r>
      <w:r>
        <w:br/>
      </w:r>
      <w:r>
        <w:rPr>
          <w:rStyle w:val="NormalTok"/>
        </w:rPr>
        <w:t xml:space="preserve">    F </w:t>
      </w:r>
      <w:r>
        <w:rPr>
          <w:rStyle w:val="OperatorTok"/>
        </w:rPr>
        <w:t xml:space="preserve">=</w:t>
      </w:r>
      <w:r>
        <w:rPr>
          <w:rStyle w:val="NormalTok"/>
        </w:rPr>
        <w:t xml:space="preserve"> st.slider(</w:t>
      </w:r>
      <w:r>
        <w:rPr>
          <w:rStyle w:val="StringTok"/>
        </w:rPr>
        <w:t xml:space="preserve">"Floor F (months, from creation)"</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F0, key</w:t>
      </w:r>
      <w:r>
        <w:rPr>
          <w:rStyle w:val="OperatorTok"/>
        </w:rPr>
        <w:t xml:space="preserve">=</w:t>
      </w:r>
      <w:r>
        <w:rPr>
          <w:rStyle w:val="SpecialStringTok"/>
        </w:rPr>
        <w:t xml:space="preserve">f"F_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L </w:t>
      </w:r>
      <w:r>
        <w:rPr>
          <w:rStyle w:val="OperatorTok"/>
        </w:rPr>
        <w:t xml:space="preserve">=</w:t>
      </w:r>
      <w:r>
        <w:rPr>
          <w:rStyle w:val="NormalTok"/>
        </w:rPr>
        <w:t xml:space="preserve"> st.slider(</w:t>
      </w:r>
      <w:r>
        <w:rPr>
          <w:rStyle w:val="StringTok"/>
        </w:rPr>
        <w:t xml:space="preserve">"Ceiling L (months, from its anchor)"</w:t>
      </w:r>
      <w:r>
        <w:rPr>
          <w:rStyle w:val="NormalTok"/>
        </w:rPr>
        <w:t xml:space="preserve">, </w:t>
      </w:r>
      <w:r>
        <w:rPr>
          <w:rStyle w:val="DecValTok"/>
        </w:rPr>
        <w:t xml:space="preserve">1</w:t>
      </w:r>
      <w:r>
        <w:rPr>
          <w:rStyle w:val="NormalTok"/>
        </w:rPr>
        <w:t xml:space="preserve">, </w:t>
      </w:r>
      <w:r>
        <w:rPr>
          <w:rStyle w:val="DecValTok"/>
        </w:rPr>
        <w:t xml:space="preserve">120</w:t>
      </w:r>
      <w:r>
        <w:rPr>
          <w:rStyle w:val="NormalTok"/>
        </w:rPr>
        <w:t xml:space="preserve">, L0, key</w:t>
      </w:r>
      <w:r>
        <w:rPr>
          <w:rStyle w:val="OperatorTok"/>
        </w:rPr>
        <w:t xml:space="preserve">=</w:t>
      </w:r>
      <w:r>
        <w:rPr>
          <w:rStyle w:val="SpecialStringTok"/>
        </w:rPr>
        <w:t xml:space="preserve">f"L_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same </w:t>
      </w:r>
      <w:r>
        <w:rPr>
          <w:rStyle w:val="OperatorTok"/>
        </w:rPr>
        <w:t xml:space="preserve">=</w:t>
      </w:r>
      <w:r>
        <w:rPr>
          <w:rStyle w:val="NormalTok"/>
        </w:rPr>
        <w:t xml:space="preserve"> st.checkbox(</w:t>
      </w:r>
      <w:r>
        <w:rPr>
          <w:rStyle w:val="StringTok"/>
        </w:rPr>
        <w:t xml:space="preserve">"Ceiling anchored to creation, the same event as the floor"</w:t>
      </w:r>
      <w:r>
        <w:rPr>
          <w:rStyle w:val="NormalTok"/>
        </w:rPr>
        <w:t xml:space="preserve">,</w:t>
      </w:r>
      <w:r>
        <w:br/>
      </w:r>
      <w:r>
        <w:rPr>
          <w:rStyle w:val="NormalTok"/>
        </w:rPr>
        <w:t xml:space="preserve">                       value</w:t>
      </w:r>
      <w:r>
        <w:rPr>
          <w:rStyle w:val="OperatorTok"/>
        </w:rPr>
        <w:t xml:space="preserve">=</w:t>
      </w:r>
      <w:r>
        <w:rPr>
          <w:rStyle w:val="NormalTok"/>
        </w:rPr>
        <w:t xml:space="preserve">same0, key</w:t>
      </w:r>
      <w:r>
        <w:rPr>
          <w:rStyle w:val="OperatorTok"/>
        </w:rPr>
        <w:t xml:space="preserve">=</w:t>
      </w:r>
      <w:r>
        <w:rPr>
          <w:rStyle w:val="SpecialStringTok"/>
        </w:rPr>
        <w:t xml:space="preserve">f"same_</w:t>
      </w:r>
      <w:r>
        <w:rPr>
          <w:rStyle w:val="SpecialCharTok"/>
        </w:rPr>
        <w:t xml:space="preserve">{</w:t>
      </w:r>
      <w:r>
        <w:rPr>
          <w:rStyle w:val="NormalTok"/>
        </w:rPr>
        <w:t xml:space="preserve">preset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same: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The two limits bound one "</w:t>
      </w:r>
      <w:r>
        <w:br/>
      </w:r>
      <w:r>
        <w:rPr>
          <w:rStyle w:val="NormalTok"/>
        </w:rPr>
        <w:t xml:space="preserve">                       </w:t>
      </w:r>
      <w:r>
        <w:rPr>
          <w:rStyle w:val="StringTok"/>
        </w:rPr>
        <w:t xml:space="preserve">"retention window, readable from the text alone."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every record collides, and the text "</w:t>
      </w:r>
      <w:r>
        <w:br/>
      </w:r>
      <w:r>
        <w:rPr>
          <w:rStyle w:val="NormalTok"/>
        </w:rPr>
        <w:t xml:space="preserve">                     </w:t>
      </w:r>
      <w:r>
        <w:rPr>
          <w:rStyle w:val="StringTok"/>
        </w:rPr>
        <w:t xml:space="preserve">"contradicts itself on its face."</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L </w:t>
      </w:r>
      <w:r>
        <w:rPr>
          <w:rStyle w:val="OperatorTok"/>
        </w:rPr>
        <w:t xml:space="preserve">&gt;</w:t>
      </w:r>
      <w:r>
        <w:rPr>
          <w:rStyle w:val="NormalTok"/>
        </w:rPr>
        <w:t xml:space="preserve"> F:</w:t>
      </w:r>
      <w:r>
        <w:br/>
      </w:r>
      <w:r>
        <w:rPr>
          <w:rStyle w:val="NormalTok"/>
        </w:rPr>
        <w:t xml:space="preserve">            st.success(</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&gt; F = </w:t>
      </w:r>
      <w:r>
        <w:rPr>
          <w:rStyle w:val="SpecialCharTok"/>
        </w:rPr>
        <w:t xml:space="preserve">{</w:t>
      </w:r>
      <w:r>
        <w:rPr>
          <w:rStyle w:val="NormalTok"/>
        </w:rPr>
        <w:t xml:space="preserve">F</w:t>
      </w:r>
      <w:r>
        <w:rPr>
          <w:rStyle w:val="SpecialCharTok"/>
        </w:rPr>
        <w:t xml:space="preserve">}</w:t>
      </w:r>
      <w:r>
        <w:rPr>
          <w:rStyle w:val="SpecialStringTok"/>
        </w:rPr>
        <w:t xml:space="preserve">: no record collides, wherever its anchor "</w:t>
      </w:r>
      <w:r>
        <w:br/>
      </w:r>
      <w:r>
        <w:rPr>
          <w:rStyle w:val="NormalTok"/>
        </w:rPr>
        <w:t xml:space="preserve">                       </w:t>
      </w:r>
      <w:r>
        <w:rPr>
          <w:rStyle w:val="StringTok"/>
        </w:rPr>
        <w:t xml:space="preserve">"event falls."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gap </w:t>
      </w:r>
      <w:r>
        <w:rPr>
          <w:rStyle w:val="OperatorTok"/>
        </w:rPr>
        <w:t xml:space="preserve">=</w:t>
      </w:r>
      <w:r>
        <w:rPr>
          <w:rStyle w:val="NormalTok"/>
        </w:rPr>
        <w:t xml:space="preserve"> F </w:t>
      </w:r>
      <w:r>
        <w:rPr>
          <w:rStyle w:val="OperatorTok"/>
        </w:rPr>
        <w:t xml:space="preserve">-</w:t>
      </w:r>
      <w:r>
        <w:rPr>
          <w:rStyle w:val="NormalTok"/>
        </w:rPr>
        <w:t xml:space="preserve"> L</w:t>
      </w:r>
      <w:r>
        <w:br/>
      </w:r>
      <w:r>
        <w:rPr>
          <w:rStyle w:val="NormalTok"/>
        </w:rPr>
        <w:t xml:space="preserve">            st.warning(</w:t>
      </w:r>
      <w:r>
        <w:br/>
      </w:r>
      <w:r>
        <w:rPr>
          <w:rStyle w:val="NormalTok"/>
        </w:rPr>
        <w:t xml:space="preserve">                </w:t>
      </w:r>
      <w:r>
        <w:rPr>
          <w:rStyle w:val="SpecialStringTok"/>
        </w:rPr>
        <w:t xml:space="preserve">f"L = </w:t>
      </w:r>
      <w:r>
        <w:rPr>
          <w:rStyle w:val="SpecialCharTok"/>
        </w:rPr>
        <w:t xml:space="preserve">{</w:t>
      </w:r>
      <w:r>
        <w:rPr>
          <w:rStyle w:val="NormalTok"/>
        </w:rPr>
        <w:t xml:space="preserve">L</w:t>
      </w:r>
      <w:r>
        <w:rPr>
          <w:rStyle w:val="SpecialCharTok"/>
        </w:rPr>
        <w:t xml:space="preserve">}</w:t>
      </w:r>
      <w:r>
        <w:rPr>
          <w:rStyle w:val="SpecialStringTok"/>
        </w:rPr>
        <w:t xml:space="preserve"> &lt;= F = </w:t>
      </w:r>
      <w:r>
        <w:rPr>
          <w:rStyle w:val="SpecialCharTok"/>
        </w:rPr>
        <w:t xml:space="preserve">{</w:t>
      </w:r>
      <w:r>
        <w:rPr>
          <w:rStyle w:val="NormalTok"/>
        </w:rPr>
        <w:t xml:space="preserve">F</w:t>
      </w:r>
      <w:r>
        <w:rPr>
          <w:rStyle w:val="SpecialCharTok"/>
        </w:rPr>
        <w:t xml:space="preserve">}</w:t>
      </w:r>
      <w:r>
        <w:rPr>
          <w:rStyle w:val="SpecialStringTok"/>
        </w:rPr>
        <w:t xml:space="preserve">: a record collides exactly when its anchor event "</w:t>
      </w:r>
      <w:r>
        <w:br/>
      </w:r>
      <w:r>
        <w:rPr>
          <w:rStyle w:val="NormalTok"/>
        </w:rPr>
        <w:t xml:space="preserve">                </w:t>
      </w:r>
      <w:r>
        <w:rPr>
          <w:rStyle w:val="SpecialStringTok"/>
        </w:rPr>
        <w:t xml:space="preserve">f"falls within </w:t>
      </w:r>
      <w:r>
        <w:rPr>
          <w:rStyle w:val="SpecialCharTok"/>
        </w:rPr>
        <w:t xml:space="preserve">{</w:t>
      </w:r>
      <w:r>
        <w:rPr>
          <w:rStyle w:val="NormalTok"/>
        </w:rPr>
        <w:t xml:space="preserve">gap</w:t>
      </w:r>
      <w:r>
        <w:rPr>
          <w:rStyle w:val="SpecialCharTok"/>
        </w:rPr>
        <w:t xml:space="preserve">}</w:t>
      </w:r>
      <w:r>
        <w:rPr>
          <w:rStyle w:val="SpecialStringTok"/>
        </w:rPr>
        <w:t xml:space="preserve"> month(s) of creation (e(a) - t(a) &lt;= </w:t>
      </w:r>
      <w:r>
        <w:rPr>
          <w:rStyle w:val="SpecialCharTok"/>
        </w:rPr>
        <w:t xml:space="preserve">{</w:t>
      </w:r>
      <w:r>
        <w:rPr>
          <w:rStyle w:val="NormalTok"/>
        </w:rPr>
        <w:t xml:space="preserve">gap</w:t>
      </w:r>
      <w:r>
        <w:rPr>
          <w:rStyle w:val="SpecialCharTok"/>
        </w:rPr>
        <w:t xml:space="preserve">}</w:t>
      </w:r>
      <w:r>
        <w:rPr>
          <w:rStyle w:val="SpecialStringTok"/>
        </w:rPr>
        <w:t xml:space="preserve">). "</w:t>
      </w:r>
      <w:r>
        <w:br/>
      </w:r>
      <w:r>
        <w:rPr>
          <w:rStyle w:val="NormalTok"/>
        </w:rPr>
        <w:t xml:space="preserve">                </w:t>
      </w:r>
      <w:r>
        <w:rPr>
          <w:rStyle w:val="StringTok"/>
        </w:rPr>
        <w:t xml:space="preserve">"Nothing in the text says which records those are; each record's "</w:t>
      </w:r>
      <w:r>
        <w:br/>
      </w:r>
      <w:r>
        <w:rPr>
          <w:rStyle w:val="NormalTok"/>
        </w:rPr>
        <w:t xml:space="preserve">                </w:t>
      </w:r>
      <w:r>
        <w:rPr>
          <w:rStyle w:val="StringTok"/>
        </w:rPr>
        <w:t xml:space="preserve">"history does."</w:t>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offsets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st.bar_chart(</w:t>
      </w:r>
      <w:r>
        <w:br/>
      </w:r>
      <w:r>
        <w:rPr>
          <w:rStyle w:val="NormalTok"/>
        </w:rPr>
        <w:t xml:space="preserve">                {</w:t>
      </w:r>
      <w:r>
        <w:rPr>
          <w:rStyle w:val="StringTok"/>
        </w:rPr>
        <w:t xml:space="preserve">"months of collision"</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(t0 </w:t>
      </w:r>
      <w:r>
        <w:rPr>
          <w:rStyle w:val="OperatorTok"/>
        </w:rPr>
        <w:t xml:space="preserve">+</w:t>
      </w:r>
      <w:r>
        <w:rPr>
          <w:rStyle w:val="NormalTok"/>
        </w:rPr>
        <w:t xml:space="preserve"> F) </w:t>
      </w:r>
      <w:r>
        <w:rPr>
          <w:rStyle w:val="OperatorTok"/>
        </w:rPr>
        <w:t xml:space="preserve">-</w:t>
      </w:r>
      <w:r>
        <w:rPr>
          <w:rStyle w:val="NormalTok"/>
        </w:rPr>
        <w:t xml:space="preserve"> (t0 </w:t>
      </w:r>
      <w:r>
        <w:rPr>
          <w:rStyle w:val="OperatorTok"/>
        </w:rPr>
        <w:t xml:space="preserve">+</w:t>
      </w:r>
      <w:r>
        <w:rPr>
          <w:rStyle w:val="NormalTok"/>
        </w:rPr>
        <w:t xml:space="preserve"> d </w:t>
      </w:r>
      <w:r>
        <w:rPr>
          <w:rStyle w:val="OperatorTok"/>
        </w:rPr>
        <w:t xml:space="preserve">+</w:t>
      </w:r>
      <w:r>
        <w:rPr>
          <w:rStyle w:val="NormalTok"/>
        </w:rPr>
        <w:t xml:space="preserve"> 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t0, d </w:t>
      </w:r>
      <w:r>
        <w:rPr>
          <w:rStyle w:val="KeywordTok"/>
        </w:rPr>
        <w:t xml:space="preserve">in</w:t>
      </w:r>
      <w:r>
        <w:rPr>
          <w:rStyle w:val="NormalTok"/>
        </w:rPr>
        <w:t xml:space="preserve"> [(</w:t>
      </w:r>
      <w:r>
        <w:rPr>
          <w:rStyle w:val="DecValTok"/>
        </w:rPr>
        <w:t xml:space="preserve">0</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offsets]]},</w:t>
      </w:r>
      <w:r>
        <w:br/>
      </w:r>
      <w:r>
        <w:rPr>
          <w:rStyle w:val="NormalTok"/>
        </w:rPr>
        <w:t xml:space="preserve">                x_label</w:t>
      </w:r>
      <w:r>
        <w:rPr>
          <w:rStyle w:val="OperatorTok"/>
        </w:rPr>
        <w:t xml:space="preserve">=</w:t>
      </w:r>
      <w:r>
        <w:rPr>
          <w:rStyle w:val="StringTok"/>
        </w:rPr>
        <w:t xml:space="preserve">"anchor event, months after creation"</w:t>
      </w:r>
      <w:r>
        <w:rPr>
          <w:rStyle w:val="NormalTok"/>
        </w:rPr>
        <w:t xml:space="preserve">,</w:t>
      </w:r>
      <w:r>
        <w:br/>
      </w:r>
      <w:r>
        <w:rPr>
          <w:rStyle w:val="NormalTok"/>
        </w:rPr>
        <w:t xml:space="preserve">                y_label</w:t>
      </w:r>
      <w:r>
        <w:rPr>
          <w:rStyle w:val="OperatorTok"/>
        </w:rPr>
        <w:t xml:space="preserve">=</w:t>
      </w:r>
      <w:r>
        <w:rPr>
          <w:rStyle w:val="StringTok"/>
        </w:rPr>
        <w:t xml:space="preserve">"months in which both apply"</w:t>
      </w:r>
      <w:r>
        <w:rPr>
          <w:rStyle w:val="NormalTok"/>
        </w:rPr>
        <w:t xml:space="preserve">)</w:t>
      </w:r>
      <w:r>
        <w:br/>
      </w:r>
      <w:r>
        <w:rPr>
          <w:rStyle w:val="NormalTok"/>
        </w:rPr>
        <w:t xml:space="preserve">    st.caption(</w:t>
      </w:r>
      <w:r>
        <w:br/>
      </w:r>
      <w:r>
        <w:rPr>
          <w:rStyle w:val="NormalTok"/>
        </w:rPr>
        <w:t xml:space="preserve">        </w:t>
      </w:r>
      <w:r>
        <w:rPr>
          <w:rStyle w:val="StringTok"/>
        </w:rPr>
        <w:t xml:space="preserve">"Article 68(12) is of the external-anchor kind: six months from permit expiry "</w:t>
      </w:r>
      <w:r>
        <w:br/>
      </w:r>
      <w:r>
        <w:rPr>
          <w:rStyle w:val="NormalTok"/>
        </w:rPr>
        <w:t xml:space="preserve">        </w:t>
      </w:r>
      <w:r>
        <w:rPr>
          <w:rStyle w:val="StringTok"/>
        </w:rPr>
        <w:t xml:space="preserve">"against twelve from the log entry, so logs whose permit expires within six "</w:t>
      </w:r>
      <w:r>
        <w:br/>
      </w:r>
      <w:r>
        <w:rPr>
          <w:rStyle w:val="NormalTok"/>
        </w:rPr>
        <w:t xml:space="preserve">        </w:t>
      </w:r>
      <w:r>
        <w:rPr>
          <w:rStyle w:val="StringTok"/>
        </w:rPr>
        <w:t xml:space="preserve">"months of the entry collide (Corollary 1.2). Section 17 of politiregisterloven "</w:t>
      </w:r>
      <w:r>
        <w:br/>
      </w:r>
      <w:r>
        <w:rPr>
          <w:rStyle w:val="NormalTok"/>
        </w:rPr>
        <w:t xml:space="preserve">        </w:t>
      </w:r>
      <w:r>
        <w:rPr>
          <w:rStyle w:val="StringTok"/>
        </w:rPr>
        <w:t xml:space="preserve">"measures both limbs from the log entry with the ceiling longer, so it bounds a "</w:t>
      </w:r>
      <w:r>
        <w:br/>
      </w:r>
      <w:r>
        <w:rPr>
          <w:rStyle w:val="NormalTok"/>
        </w:rPr>
        <w:t xml:space="preserve">        </w:t>
      </w:r>
      <w:r>
        <w:rPr>
          <w:rStyle w:val="StringTok"/>
        </w:rPr>
        <w:t xml:space="preserve">"window instead (Chapter 6, Section 6.10)."</w:t>
      </w:r>
      <w:r>
        <w:rPr>
          <w:rStyle w:val="NormalTok"/>
        </w:rPr>
        <w:t xml:space="preserve">)</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Tab 4 is illustrative of the "</w:t>
      </w:r>
      <w:r>
        <w:br/>
      </w:r>
      <w:r>
        <w:rPr>
          <w:rStyle w:val="NormalTok"/>
        </w:rPr>
        <w:t xml:space="preserve">    </w:t>
      </w:r>
      <w:r>
        <w:rPr>
          <w:rStyle w:val="StringTok"/>
        </w:rPr>
        <w:t xml:space="preserve">"Norwegian setting and not a thesis claim either, and Tab 6 evaluates the "</w:t>
      </w:r>
      <w:r>
        <w:br/>
      </w:r>
      <w:r>
        <w:rPr>
          <w:rStyle w:val="NormalTok"/>
        </w:rPr>
        <w:t xml:space="preserve">    </w:t>
      </w:r>
      <w:r>
        <w:rPr>
          <w:rStyle w:val="StringTok"/>
        </w:rPr>
        <w:t xml:space="preserve">"condition of Proposition 3 for any floor and ceiling you set.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bookmarkEnd w:id="119"/>
    <w:bookmarkStart w:id="120"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to 5.6,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1"/>
    <w:bookmarkStart w:id="122"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This is the run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2"/>
    <w:bookmarkStart w:id="123"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3"/>
    <w:bookmarkStart w:id="124"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24"/>
    <w:bookmarkStart w:id="125"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25"/>
    <w:bookmarkStart w:id="126"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6"/>
    <w:bookmarkStart w:id="127"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27"/>
    <w:bookmarkEnd w:id="128"/>
    <w:bookmarkStart w:id="135" w:name="appendix-b.-search-query-log"/>
    <w:p>
      <w:pPr>
        <w:pStyle w:val="Heading1"/>
      </w:pPr>
      <w:bookmarkStart w:id="1088" w:name="app_B"/>
      <w:r>
        <w:t xml:space="preserve">Appendix B. Search Query Log</w:t>
      </w:r>
      <w:bookmarkEnd w:id="1088"/>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29"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29"/>
    <w:bookmarkStart w:id="130"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0"/>
    <w:bookmarkStart w:id="131"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1"/>
    <w:bookmarkStart w:id="132"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32"/>
    <w:bookmarkStart w:id="133"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33"/>
    <w:bookmarkStart w:id="134"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34"/>
    <w:bookmarkEnd w:id="135"/>
    <w:bookmarkStart w:id="155" w:name="appendix-c.-expert-evaluation-instrument"/>
    <w:p>
      <w:pPr>
        <w:pStyle w:val="Heading1"/>
      </w:pPr>
      <w:bookmarkStart w:id="1089" w:name="app_C"/>
      <w:r>
        <w:t xml:space="preserve">Appendix C. Expert Evaluation Instrument</w:t>
      </w:r>
      <w:bookmarkEnd w:id="1089"/>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C.1a states what is expected to change once it meets real respondents.</w:t>
      </w:r>
      <w:r>
        <w:rPr>
          <w:iCs/>
          <w:i/>
        </w:rPr>
        <w:t xml:space="preserve">)</w:t>
      </w:r>
    </w:p>
    <w:bookmarkStart w:id="136"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End w:id="136"/>
    <w:bookmarkStart w:id="137"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37"/>
    <w:bookmarkStart w:id="138"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38"/>
    <w:bookmarkStart w:id="139"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39"/>
    <w:bookmarkStart w:id="140"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0"/>
    <w:bookmarkStart w:id="145"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1"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1"/>
    <w:bookmarkStart w:id="142"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2"/>
    <w:bookmarkStart w:id="143"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43"/>
    <w:bookmarkStart w:id="144"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44"/>
    <w:bookmarkEnd w:id="145"/>
    <w:bookmarkStart w:id="151"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6"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46"/>
    <w:bookmarkStart w:id="147"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47"/>
    <w:bookmarkStart w:id="148"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48"/>
    <w:bookmarkStart w:id="149"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49"/>
    <w:bookmarkStart w:id="150"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0"/>
    <w:bookmarkEnd w:id="151"/>
    <w:bookmarkStart w:id="152"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52"/>
    <w:bookmarkStart w:id="153"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53"/>
    <w:bookmarkStart w:id="154"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54"/>
    <w:bookmarkEnd w:id="155"/>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2026-10-03T22:23:47Z</dcterms:created>
  <dcterms:modified xsi:type="dcterms:W3CDTF">2026-10-03T22:23:47Z</dcterms:modified>
</cp:coreProperties>
</file>

<file path=docProps/custom.xml><?xml version="1.0" encoding="utf-8"?>
<Properties xmlns="http://schemas.openxmlformats.org/officeDocument/2006/custom-properties" xmlns:vt="http://schemas.openxmlformats.org/officeDocument/2006/docPropsVTypes"/>
</file>