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10" w:name="h_Abstract"/>
      <w:r>
        <w:t xml:space="preserve">Abstract</w:t>
      </w:r>
      <w:bookmarkEnd w:id="1010"/>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for Secure Processing Environment logs at the deletion ceiling, removes the record’s link to the patient, while retaining the accessor’s identity, event metadata, a hiding commitment and a logged invalidation entry in a tamper-evident log.</w:t>
      </w:r>
    </w:p>
    <w:p>
      <w:pPr>
        <w:pStyle w:val="BodyText"/>
      </w:pPr>
      <w:r>
        <w:t xml:space="preserve">Both results are checked in a Python sandbox over two hundred records with Synthea-generated FHIR R4 payloads. The counts depend on the generator parameters and are not estimates of real frequency; the sandbox validates the artefact’s implementation of the model and is not independent evidence for the propositions. The collision that needs no erasure request arises only on a contestable broad reading of Article 68(12),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011" w:name="h_Sammendrag"/>
      <w:r>
        <w:t xml:space="preserve">Sammendrag</w:t>
      </w:r>
      <w:bookmarkEnd w:id="1011"/>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for tilgangslogger i sikre analyserom når sletteplikten inntreffer,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kontrolleres i en Python-sandkasse med to hundre poster og syntetiske FHIR R4-data generert med Synthea. Antallene avhenger av parameterne i generatoren og er ikke anslag over reell hyppighet; sandkassen kontrollerer at artefakten implementerer modellen riktig og er ikke uavhengig belegg for proposisjonene. Kollisjonen som ikke krever noen slettebegjæring, oppstår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012" w:name="h_Statement_of_Contribution"/>
      <w:r>
        <w:t xml:space="preserve">Statement of Contribution</w:t>
      </w:r>
      <w:bookmarkEnd w:id="1012"/>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checked executably, with a separately written exhaustive cross-check and a bounded SMT check of Propositions 1–3.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keeps on the cross-border path where the person’s access-information right needs it and removes from Secure Processing Environment logs at the ceiling,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013" w:name="h_Declaration_of_Originality"/>
      <w:r>
        <w:t xml:space="preserve">Declaration of Originality</w:t>
      </w:r>
      <w:bookmarkEnd w:id="1013"/>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014" w:name="h_Nomenclature_and_Abbreviations"/>
      <w:r>
        <w:t xml:space="preserve">Nomenclature and Abbreviations</w:t>
      </w:r>
      <w:bookmarkEnd w:id="1014"/>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w:t>
        </w:r>
        <w:r>
          <w:fldChar w:fldCharType="end"/>
        </w:r>
      </w:hyperlink>
    </w:p>
    <w:p>
      <w:pPr>
        <w:pStyle w:val="TOC2"/>
      </w:pPr>
      <w:hyperlink w:anchor="sec_6_11" w:history="1">
        <w:r>
          <w:rPr/>
          <w:t xml:space="preserve">6.11 Boundaries as Contribution</w:t>
        </w:r>
        <w:r>
          <w:tab/>
        </w:r>
        <w:r>
          <w:fldChar w:fldCharType="begin"/>
        </w:r>
        <w:r>
          <w:instrText xml:space="preserve"> PAGEREF sec_6_11 \h </w:instrText>
        </w:r>
        <w:r>
          <w:fldChar w:fldCharType="separate"/>
        </w:r>
        <w:r>
          <w:rPr/>
          <w:t xml:space="preserve">#</w:t>
        </w:r>
        <w:r>
          <w:fldChar w:fldCharType="end"/>
        </w:r>
      </w:hyperlink>
    </w:p>
    <w:p>
      <w:pPr>
        <w:pStyle w:val="TOC2"/>
      </w:pPr>
      <w:hyperlink w:anchor="sec_6_12" w:history="1">
        <w:r>
          <w:rPr/>
          <w:t xml:space="preserve">6.12 Summary</w:t>
        </w:r>
        <w:r>
          <w:tab/>
        </w:r>
        <w:r>
          <w:fldChar w:fldCharType="begin"/>
        </w:r>
        <w:r>
          <w:instrText xml:space="preserve"> PAGEREF sec_6_12 \h </w:instrText>
        </w:r>
        <w:r>
          <w:fldChar w:fldCharType="separate"/>
        </w:r>
        <w:r>
          <w:rPr/>
          <w:t xml:space="preserve">#</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w:t>
        </w:r>
        <w:r>
          <w:fldChar w:fldCharType="end"/>
        </w:r>
      </w:hyperlink>
    </w:p>
    <w:p>
      <w:pPr>
        <w:pStyle w:val="Heading1"/>
      </w:pPr>
      <w:bookmarkStart w:id="1015" w:name="ch_1"/>
      <w:r>
        <w:t xml:space="preserve">Chapter 1. Introduction</w:t>
      </w:r>
      <w:bookmarkEnd w:id="1015"/>
    </w:p>
    <w:bookmarkStart w:id="25" w:name="background-and-context"/>
    <w:p>
      <w:pPr>
        <w:pStyle w:val="Heading2"/>
      </w:pPr>
      <w:bookmarkStart w:id="1016" w:name="sec_1_1"/>
      <w:r>
        <w:t xml:space="preserve">1.1 Background and Context</w:t>
      </w:r>
      <w:bookmarkEnd w:id="1016"/>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017" w:name="sec_1_2"/>
      <w:r>
        <w:t xml:space="preserve">1.2 Problem Statement</w:t>
      </w:r>
      <w:bookmarkEnd w:id="1017"/>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payload of an audit record for the length of the floor exceeds what accountability requires, since the accountability function of the record can be preserved without continued access to that payload; for Secure Processing Environment logs the thesis argues this for the part of the payload auditing does not need (</w:t>
      </w:r>
      <w:hyperlink w:anchor="ch_4" w:history="1">
        <w:r>
          <w:rPr>
            <w:rStyle w:val="Hyperlink"/>
          </w:rPr>
          <w:t xml:space="preserve">Chapter 4</w:t>
        </w:r>
      </w:hyperlink>
      <w:r>
        <w:t xml:space="preserve">, Corollary 2.3).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through erasure requests, and on one reading of Article 68(12) it arises there even without them.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018" w:name="sec_1_3"/>
      <w:r>
        <w:t xml:space="preserve">1.3 Research Objectives and Questions</w:t>
      </w:r>
      <w:bookmarkEnd w:id="1018"/>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019" w:name="sec_1_4"/>
      <w:r>
        <w:t xml:space="preserve">1.4 Significance and Relevance</w:t>
      </w:r>
      <w:bookmarkEnd w:id="1019"/>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also for the conflict’s conditional extension.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020" w:name="sec_1_5"/>
      <w:r>
        <w:t xml:space="preserve">1.5 Scope and Out-of-Scope</w:t>
      </w:r>
      <w:bookmarkEnd w:id="1020"/>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021" w:name="sec_1_6"/>
      <w:r>
        <w:t xml:space="preserve">1.6 Methodological Approach</w:t>
      </w:r>
      <w:bookmarkEnd w:id="1021"/>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022" w:name="sec_1_7"/>
      <w:r>
        <w:t xml:space="preserve">1.7 Thesis Structure</w:t>
      </w:r>
      <w:bookmarkEnd w:id="1022"/>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separately written exhaustive cross-check, a bounded SMT check of Propositions 1–3,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023" w:name="ch_2"/>
      <w:r>
        <w:t xml:space="preserve">Chapter 2. Literature Review and Theoretical Foundation</w:t>
      </w:r>
      <w:bookmarkEnd w:id="1023"/>
    </w:p>
    <w:bookmarkStart w:id="40" w:name="review-protocol"/>
    <w:p>
      <w:pPr>
        <w:pStyle w:val="Heading2"/>
      </w:pPr>
      <w:bookmarkStart w:id="1024" w:name="sec_2_1"/>
      <w:r>
        <w:t xml:space="preserve">2.1 Review Protocol</w:t>
      </w:r>
      <w:bookmarkEnd w:id="1024"/>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025" w:name="sec_2_2"/>
      <w:r>
        <w:t xml:space="preserve">2.2 The Cross-Border Health Data Exchange Landscape</w:t>
      </w:r>
      <w:bookmarkEnd w:id="1025"/>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w:t>
      </w:r>
      <w:hyperlink w:anchor="sec_2_3" w:history="1">
        <w:r>
          <w:rPr>
            <w:rStyle w:val="Hyperlink"/>
          </w:rPr>
          <w:t xml:space="preserve">Section 2.3</w:t>
        </w:r>
      </w:hyperlink>
      <w:r>
        <w:t xml:space="preserve">).</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026" w:name="sec_2_3"/>
      <w:r>
        <w:t xml:space="preserve">2.3 The Audit-Retention versus Right-to-Erasure Tension</w:t>
      </w:r>
      <w:bookmarkEnd w:id="1026"/>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The renumbering of these obligations between the 2022 proposal and the adopted text, from Articles 46 and 50 to Articles 68 and 73, may be one reason the commentary has treated them apart (</w:t>
      </w:r>
      <w:hyperlink w:anchor="ch_1" w:history="1">
        <w:r>
          <w:rPr>
            <w:rStyle w:val="Hyperlink"/>
          </w:rPr>
          <w:t xml:space="preserve">Chapter 1</w:t>
        </w:r>
      </w:hyperlink>
      <w:r>
        <w:t xml:space="preserve">, </w:t>
      </w:r>
      <w:hyperlink w:anchor="sec_1_4" w:history="1">
        <w:r>
          <w:rPr>
            <w:rStyle w:val="Hyperlink"/>
          </w:rPr>
          <w:t xml:space="preserve">Section 1.4</w:t>
        </w:r>
      </w:hyperlink>
      <w:r>
        <w:t xml:space="preserve">).</w:t>
      </w:r>
    </w:p>
    <w:p>
      <w:pPr>
        <w:pStyle w:val="BodyText"/>
      </w:pPr>
      <w:r>
        <w:t xml:space="preserve">In the cross-border pathway the conflict takes the form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SecuPi (2025) criticises it as operationally costly in row-level encryption;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that critique.</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027" w:name="sec_2_4"/>
      <w:r>
        <w:t xml:space="preserve">2.4 Cryptographic Approaches to Audit Compliance</w:t>
      </w:r>
      <w:bookmarkEnd w:id="1027"/>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3"/>
    <w:bookmarkStart w:id="44" w:name="X6b186caf35254075744a51c53c2cb13b427ff25"/>
    <w:p>
      <w:pPr>
        <w:pStyle w:val="Heading2"/>
      </w:pPr>
      <w:bookmarkStart w:id="1028" w:name="sec_2_5"/>
      <w:r>
        <w:t xml:space="preserve">2.5 Formal Approaches to Regulatory-Compliance Verification</w:t>
      </w:r>
      <w:bookmarkEnd w:id="1028"/>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029" w:name="sec_2_6"/>
      <w:r>
        <w:t xml:space="preserve">2.6 Norwegian Secondary-Use Infrastructure</w:t>
      </w:r>
      <w:bookmarkEnd w:id="1029"/>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030" w:name="sec_2_7"/>
      <w:r>
        <w:t xml:space="preserve">2.7 Information Logistics Framing</w:t>
      </w:r>
      <w:bookmarkEnd w:id="1030"/>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031" w:name="sec_2_8"/>
      <w:r>
        <w:t xml:space="preserve">2.8 Comparative Analysis</w:t>
      </w:r>
      <w:bookmarkEnd w:id="1031"/>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01" w:name="tbl_2_1"/>
      <w:r>
        <w:rPr>
          <w:b/>
          <w:color w:val="1F3864"/>
        </w:rPr>
        <w:t xml:space="preserve">Table 2.1.</w:t>
      </w:r>
      <w:r>
        <w:t xml:space="preserve"> Comparative Analysis of Cryptographic Compliance Approaches to Health Data Audit</w:t>
      </w:r>
      <w:bookmarkEnd w:id="100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 software only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032" w:name="sec_2_9"/>
      <w:r>
        <w:t xml:space="preserve">2.9 Identified Research Gaps</w:t>
      </w:r>
      <w:bookmarkEnd w:id="1032"/>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gap holds also for the conflict’s conditional extension.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033" w:name="sec_2_10"/>
      <w:r>
        <w:t xml:space="preserve">2.10 Conceptual Positioning of the Thesis</w:t>
      </w:r>
      <w:bookmarkEnd w:id="1033"/>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034" w:name="ch_3"/>
      <w:r>
        <w:t xml:space="preserve">Chapter 3. Methodology and Research Design</w:t>
      </w:r>
      <w:bookmarkEnd w:id="1034"/>
    </w:p>
    <w:bookmarkStart w:id="51" w:name="research-paradigm"/>
    <w:p>
      <w:pPr>
        <w:pStyle w:val="Heading2"/>
      </w:pPr>
      <w:bookmarkStart w:id="1035" w:name="sec_3_1"/>
      <w:r>
        <w:t xml:space="preserve">3.1 Research Paradigm</w:t>
      </w:r>
      <w:bookmarkEnd w:id="1035"/>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036" w:name="sec_3_2"/>
      <w:r>
        <w:t xml:space="preserve">3.2 The Design Science Cycle Adopted</w:t>
      </w:r>
      <w:bookmarkEnd w:id="1036"/>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037" w:name="sec_3_3"/>
      <w:r>
        <w:t xml:space="preserve">3.3 The Specification-and-Demonstration Variant, Extended with Formal Modelling</w:t>
      </w:r>
      <w:bookmarkEnd w:id="1037"/>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038" w:name="sec_3_4"/>
      <w:r>
        <w:t xml:space="preserve">3.4 Formal-Modelling Methodology</w:t>
      </w:r>
      <w:bookmarkEnd w:id="1038"/>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payload comprises what the record carries about what was accessed: the demographic query of a cross-border record, the logged activity of a Secure Processing Environment record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instruments leave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039" w:name="sec_3_5"/>
      <w:r>
        <w:t xml:space="preserve">3.5 Synthetic Data</w:t>
      </w:r>
      <w:bookmarkEnd w:id="1039"/>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040" w:name="sec_3_6"/>
      <w:r>
        <w:t xml:space="preserve">3.6 Sandbox Implementation Approach</w:t>
      </w:r>
      <w:bookmarkEnd w:id="1040"/>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when salts are drawn at random (the reported run derives salts from the record identifier for reproducibility; see Appendix A, A.6),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A bounded SMT check with the Z3 solver poses each proposition as a request for a counterexample over every parameter combination within stated bounds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Both are robustness measures rather than components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041" w:name="sec_3_7"/>
      <w:r>
        <w:t xml:space="preserve">3.7 Validity, Reliability, and Limitations</w:t>
      </w:r>
      <w:bookmarkEnd w:id="1041"/>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w:t>
      </w:r>
      <w:hyperlink w:anchor="ch_4" w:history="1">
        <w:r>
          <w:rPr>
            <w:rStyle w:val="Hyperlink"/>
          </w:rPr>
          <w:t xml:space="preserve">Chapter 4</w:t>
        </w:r>
      </w:hyperlink>
      <w:r>
        <w:t xml:space="preserve">, Corollary 2.3 extends the model with one variable per part of the payload for the one case where that matters, a payload part that auditing needs; a mechanism designed for field-level redaction in general would need that richer state space throughout.</w:t>
      </w:r>
    </w:p>
    <w:bookmarkEnd w:id="57"/>
    <w:bookmarkStart w:id="58" w:name="evaluation-design-for-the-next-cycle"/>
    <w:p>
      <w:pPr>
        <w:pStyle w:val="Heading2"/>
      </w:pPr>
      <w:bookmarkStart w:id="1042" w:name="sec_3_8"/>
      <w:r>
        <w:t xml:space="preserve">3.8 Evaluation Design for the Next Cycle</w:t>
      </w:r>
      <w:bookmarkEnd w:id="1042"/>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043" w:name="sec_3_9"/>
      <w:r>
        <w:t xml:space="preserve">3.9 Ethical Considerations</w:t>
      </w:r>
      <w:bookmarkEnd w:id="1043"/>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3" w:name="X2971a2bc3f1973506a5daa95b277d527922fc52"/>
    <w:p>
      <w:pPr>
        <w:pStyle w:val="Heading1"/>
      </w:pPr>
      <w:bookmarkStart w:id="1044" w:name="ch_4"/>
      <w:r>
        <w:t xml:space="preserve">Chapter 4. The Tri-Lateral Retention Feasibility Model and the Crypto-Erasure by Invalidation Mechanism</w:t>
      </w:r>
      <w:bookmarkEnd w:id="1044"/>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045" w:name="sec_4_1"/>
      <w:r>
        <w:t xml:space="preserve">4.1 Purpose and Structure of the Chapter</w:t>
      </w:r>
      <w:bookmarkEnd w:id="1045"/>
    </w:p>
    <w:p>
      <w:pPr>
        <w:pStyle w:val="FirstParagraph"/>
      </w:pPr>
      <w:r>
        <w:t xml:space="preserve">A patient asks for her data to be erased. The audit record of who looked at them must, on the reported deployment baseline, stay verifiable for ten years. In a research environment a third rule wants the data gone six months after the permit ends. Can one record obey all three? This chapter answers: not if verifiable means readable; yes if it means accountable. It gets there in three steps, and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046" w:name="sec_4_2"/>
      <w:r>
        <w:t xml:space="preserve">4.2 What Must Be Retained: The Necessity Analysis</w:t>
      </w:r>
      <w:bookmarkEnd w:id="1046"/>
    </w:p>
    <w:p>
      <w:pPr>
        <w:pStyle w:val="FirstParagraph"/>
      </w:pPr>
      <w:r>
        <w:t xml:space="preserve">Everything in this chapter rests on one split: the part of an audit record the law needs kept, and the part it does not. The split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the length of the floor therefore exceeds what Article 17(3)(b) protects. Article 5(1)(c) positively requires that it not be retained where the purpose can be achieved without it.</w:t>
      </w:r>
    </w:p>
    <w:p>
      <w:pPr>
        <w:pStyle w:val="BodyText"/>
      </w:pPr>
      <w:r>
        <w:rPr>
          <w:iCs/>
          <w:i/>
        </w:rPr>
        <w:t xml:space="preserve">Per record class.</w:t>
      </w:r>
      <w:r>
        <w:t xml:space="preserve"> </w:t>
      </w:r>
      <w:r>
        <w:t xml:space="preserve">The argument has to be made for each class separately, because the payload is defined by where it comes from (</w:t>
      </w:r>
      <w:hyperlink w:anchor="sec_4_3" w:history="1">
        <w:r>
          <w:rPr>
            <w:rStyle w:val="Hyperlink"/>
          </w:rPr>
          <w:t xml:space="preserve">Section 4.3</w:t>
        </w:r>
      </w:hyperlink>
      <w:r>
        <w:t xml:space="preserve">),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w:t>
      </w:r>
      <w:r>
        <w:t xml:space="preserve"> </w:t>
      </w:r>
      <w:r>
        <w:t xml:space="preserve">“</w:t>
      </w:r>
      <w:r>
        <w:t xml:space="preserve">to verify and audit all processing operations in that environment</w:t>
      </w:r>
      <w:r>
        <w:t xml:space="preserve">”</w:t>
      </w:r>
      <w:r>
        <w:t xml:space="preserve">, and an auditor checking that an extraction stayed within its permit may need to know what was run. The thesis therefore does not assume that the whole activity content is unnecessary there; Corollary 2.3 states what follows if part of it is needed.</w:t>
      </w:r>
    </w:p>
    <w:p>
      <w:pPr>
        <w:pStyle w:val="BodyText"/>
      </w:pPr>
      <w:r>
        <w:rPr>
          <w:iCs/>
          <w:i/>
        </w:rPr>
        <w:t xml:space="preserve">The patient link.</w:t>
      </w:r>
      <w:r>
        <w:t xml:space="preserve"> </w:t>
      </w:r>
      <w:r>
        <w:t xml:space="preserve">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w:t>
      </w:r>
      <w:r>
        <w:t xml:space="preserve"> </w:t>
      </w:r>
      <w:r>
        <w:t xml:space="preserve">“</w:t>
      </w:r>
      <w:r>
        <w:t xml:space="preserve">information on the healthcare provider or other individuals who accessed the personal electronic health data</w:t>
      </w:r>
      <w:r>
        <w:t xml:space="preserve">”</w:t>
      </w:r>
      <w:r>
        <w:t xml:space="preserve">,</w:t>
      </w:r>
      <w:r>
        <w:t xml:space="preserve"> </w:t>
      </w:r>
      <w:r>
        <w:t xml:space="preserve">“</w:t>
      </w:r>
      <w:r>
        <w:t xml:space="preserve">the date and time of access</w:t>
      </w:r>
      <w:r>
        <w:t xml:space="preserve">”</w:t>
      </w:r>
      <w:r>
        <w:t xml:space="preserve"> </w:t>
      </w:r>
      <w:r>
        <w:t xml:space="preserve">and</w:t>
      </w:r>
      <w:r>
        <w:t xml:space="preserve"> </w:t>
      </w:r>
      <w:r>
        <w:t xml:space="preserve">“</w:t>
      </w:r>
      <w:r>
        <w:t xml:space="preserve">which personal electronic health data were accessed</w:t>
      </w:r>
      <w:r>
        <w:t xml:space="preserve">”</w:t>
      </w:r>
      <w:r>
        <w:t xml:space="preserve">, available</w:t>
      </w:r>
      <w:r>
        <w:t xml:space="preserve"> </w:t>
      </w:r>
      <w:r>
        <w:t xml:space="preserve">“</w:t>
      </w:r>
      <w:r>
        <w:t xml:space="preserve">for at least three years from each date of access to the data</w:t>
      </w:r>
      <w:r>
        <w:t xml:space="preserve">”</w:t>
      </w:r>
      <w:r>
        <w:t xml:space="preserve"> </w:t>
      </w:r>
      <w:r>
        <w:t xml:space="preserve">(Article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 erasure request then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gives the link a purpose but not a legal obligation, and Article 17(3)(b) does not follow. And beyond the Article 9(2) period the link is kept for the rest of the floor on the strength of the deployment binding, which is illustrative here (</w:t>
      </w:r>
      <w:hyperlink w:anchor="sec_4_3" w:history="1">
        <w:r>
          <w:rPr>
            <w:rStyle w:val="Hyperlink"/>
          </w:rPr>
          <w:t xml:space="preserve">Section 4.3</w:t>
        </w:r>
      </w:hyperlink>
      <w:r>
        <w:t xml:space="preserve">); for that stretch its retention after an erasure request is exactly as contestable as the floor itself. It is removed at the terminal transition (</w:t>
      </w:r>
      <w:hyperlink w:anchor="sec_4_8" w:history="1">
        <w:r>
          <w:rPr>
            <w:rStyle w:val="Hyperlink"/>
          </w:rPr>
          <w:t xml:space="preserve">Section 4.8</w:t>
        </w:r>
      </w:hyperlink>
      <w:r>
        <w:t xml:space="preserve">). In a Secure Processing Environment Article 9 does not apply. There the link is kept after an erasure request until the ceiling only if auditing</w:t>
      </w:r>
      <w:r>
        <w:t xml:space="preserve"> </w:t>
      </w:r>
      <w:r>
        <w:t xml:space="preserve">“</w:t>
      </w:r>
      <w:r>
        <w:t xml:space="preserve">all processing operations</w:t>
      </w:r>
      <w:r>
        <w:t xml:space="preserve">”</w:t>
      </w:r>
      <w:r>
        <w:t xml:space="preserve"> </w:t>
      </w:r>
      <w:r>
        <w:t xml:space="preserve">under Article 73(1)(e) needs it, which is the question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leaves to the supervisory authority, and the ceiling may reach it in any case (</w:t>
      </w:r>
      <w:hyperlink w:anchor="sec_4_6" w:history="1">
        <w:r>
          <w:rPr>
            <w:rStyle w:val="Hyperlink"/>
          </w:rPr>
          <w:t xml:space="preserve">Section 4.6</w:t>
        </w:r>
      </w:hyperlink>
      <w:r>
        <w:t xml:space="preserve">).</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047" w:name="sec_4_3"/>
      <w:r>
        <w:t xml:space="preserve">4.3 The Model: Objects and Notation</w:t>
      </w:r>
      <w:bookmarkEnd w:id="1047"/>
    </w:p>
    <w:p>
      <w:pPr>
        <w:pStyle w:val="FirstParagraph"/>
      </w:pPr>
      <w:r>
        <w:t xml:space="preserve">The model is deliberately small: one record, one clock, and one question asked every month: can the payload still be read?</w:t>
      </w:r>
    </w:p>
    <w:p>
      <w:pPr>
        <w:pStyle w:val="BodyText"/>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payload</w:t>
      </w:r>
      <w:r>
        <w:t xml:space="preserve">: the content the record carries about what was accessed, as distinct from who accessed it, when and under what authority. It is defined by its source, which depends on the record class; whether accountability needs it is argued per class in </w:t>
      </w:r>
      <w:hyperlink w:anchor="sec_4_2" w:history="1">
        <w:r>
          <w:rPr>
            <w:rStyle w:val="Hyperlink"/>
          </w:rPr>
          <w:t xml:space="preserve">Section 4.2</w:t>
        </w:r>
      </w:hyperlink>
      <w:r>
        <w:t xml:space="preserve">, and Corollary 2.3 states what follows if part of it is needed.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 Table 5.4, OPR-17, p. 51); what an environment records under those headings beyond the accessor fields is</w:t>
      </w:r>
      <w:r>
        <w:t xml:space="preserve"> </w:t>
      </w:r>
      <m:oMath>
        <m:r>
          <m:t>p</m:t>
        </m:r>
        <m:d>
          <m:dPr>
            <m:begChr m:val="("/>
            <m:sepChr m:val=""/>
            <m:endChr m:val=")"/>
            <m:grow/>
          </m:dPr>
          <m:e>
            <m:r>
              <m:t>a</m:t>
            </m:r>
          </m:e>
        </m:d>
      </m:oMath>
      <w:r>
        <w:t xml:space="preserve">, and whether auditing</w:t>
      </w:r>
      <w:r>
        <w:t xml:space="preserve"> </w:t>
      </w:r>
      <w:r>
        <w:t xml:space="preserve">“</w:t>
      </w:r>
      <w:r>
        <w:t xml:space="preserve">all processing operations</w:t>
      </w:r>
      <w:r>
        <w:t xml:space="preserve">”</w:t>
      </w:r>
      <w:r>
        <w:t xml:space="preserve"> </w:t>
      </w:r>
      <w:r>
        <w:t xml:space="preserve">needs part of it is the question Corollary 2.3 answers conditionally. The model does not require</w:t>
      </w:r>
      <w:r>
        <w:t xml:space="preserve"> </w:t>
      </w:r>
      <m:oMath>
        <m:r>
          <m:t>p</m:t>
        </m:r>
        <m:d>
          <m:dPr>
            <m:begChr m:val="("/>
            <m:sepChr m:val=""/>
            <m:endChr m:val=")"/>
            <m:grow/>
          </m:dPr>
          <m:e>
            <m:r>
              <m:t>a</m:t>
            </m:r>
          </m:e>
        </m:d>
      </m:oMath>
      <w:r>
        <w:t xml:space="preserve"> </w:t>
      </w:r>
      <w:r>
        <w:t xml:space="preserve">to be a clinical document.</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 and Corollary 2.3 relaxes it for one case.</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048" w:name="sec_4_4"/>
      <w:r>
        <w:t xml:space="preserve">4.4 The Three Constraints</w:t>
      </w:r>
      <w:bookmarkEnd w:id="1048"/>
    </w:p>
    <w:p>
      <w:pPr>
        <w:pStyle w:val="FirstParagraph"/>
      </w:pPr>
      <w:r>
        <w:t xml:space="preserve">Each regime now becomes a constraint on the trajectory of</w:t>
      </w:r>
      <w:r>
        <w:t xml:space="preserve"> </w:t>
      </w:r>
      <m:oMath>
        <m:r>
          <m:t>α</m:t>
        </m:r>
      </m:oMath>
      <w:r>
        <w:t xml:space="preserve"> </w:t>
      </w:r>
      <w:r>
        <w:t xml:space="preserve">and</w:t>
      </w:r>
      <w:r>
        <w:t xml:space="preserve"> </w:t>
      </w:r>
      <m:oMath>
        <m:r>
          <m:t>V</m:t>
        </m:r>
      </m:oMath>
      <w:r>
        <w:t xml:space="preserve">: one floor that says how long a record must last, and two limits that say how soon its payload must go.</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the eHDSI deployment baseline as reported, an illustrative value,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 In the secondary-use pathway two provisions narrow C2 further. Article 17(3)(d) GDPR disapplies the right where processing is necessary for</w:t>
      </w:r>
      <w:r>
        <w:t xml:space="preserve"> </w:t>
      </w:r>
      <w:r>
        <w:t xml:space="preserve">“</w:t>
      </w:r>
      <w:r>
        <w:t xml:space="preserve">scientific or historical research purposes or statistical purposes in accordance with Article 89(1) in so far as the right referred to in paragraph 1 is likely to render impossible or seriously impair the achievement of the objectives of that processing</w:t>
      </w:r>
      <w:r>
        <w:t xml:space="preserve">”</w:t>
      </w:r>
      <w:r>
        <w:t xml:space="preserve">,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049" w:name="sec_4_5"/>
      <w:r>
        <w:t xml:space="preserve">4.5 Two Semantics of Verifiability</w:t>
      </w:r>
      <w:bookmarkEnd w:id="1049"/>
    </w:p>
    <w:p>
      <w:pPr>
        <w:pStyle w:val="FirstParagraph"/>
      </w:pPr>
      <w:r>
        <w:t xml:space="preserve">Everything now turns on one undefined word: verifiable. Two definitions are available, and the propositions show that they lead to opposite answers.</w:t>
      </w:r>
    </w:p>
    <w:p>
      <w:pPr>
        <w:pStyle w:val="BodyText"/>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The patient identifier sat in a readable column, and a further column held the participant-object query. The repository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w:t>
      </w:r>
      <w:r>
        <w:t xml:space="preserve"> </w:t>
      </w:r>
      <w:r>
        <w:t xml:space="preserve">“</w:t>
      </w:r>
      <w:r>
        <w:t xml:space="preserve">Verification</w:t>
      </w:r>
      <w:r>
        <w:t xml:space="preserve">”</w:t>
      </w:r>
      <w:r>
        <w:t xml:space="preserve"> </w:t>
      </w:r>
      <w:r>
        <w:t xml:space="preserve">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92b2126634aa6a7e3b60431749c90a4eaf881bd"/>
    <w:p>
      <w:pPr>
        <w:pStyle w:val="Heading2"/>
      </w:pPr>
      <w:bookmarkStart w:id="1050" w:name="sec_4_6"/>
      <w:r>
        <w:t xml:space="preserve">4.6 Propositions 1 and 3: Infeasibility, and Where the Ceiling Is Anchored</w:t>
      </w:r>
      <w:bookmarkEnd w:id="1050"/>
    </w:p>
    <w:p>
      <w:pPr>
        <w:pStyle w:val="FirstParagraph"/>
      </w:pPr>
      <w:r>
        <w:t xml:space="preserve">Under Semantics I the conflict is not bad luck or rare timing. It is a contradiction, and it can be located to the month.</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a conditional extension of the problem statement; the request-driven conflict of Corollary 1.1 does not depend on it.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conditional extension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051" w:name="sec_4_7"/>
      <w:r>
        <w:t xml:space="preserve">4.7 Proposition 2: Feasibility under Accountability-Preserving Verifiability</w:t>
      </w:r>
      <w:bookmarkEnd w:id="1051"/>
    </w:p>
    <w:p>
      <w:pPr>
        <w:pStyle w:val="FirstParagraph"/>
      </w:pPr>
      <w:r>
        <w:t xml:space="preserve">Change what verifiable means and the contradiction disappears, for every record, every pattern of requests and every floor. The proof builds the trajectory that does it, and that trajectory is the mechanism.</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Corollary 2.3 (sensitivity to what auditing needs).</w:t>
      </w:r>
      <w:r>
        <w:t xml:space="preserve"> </w:t>
      </w:r>
      <w:r>
        <w:t xml:space="preserve">Extend the model with one accessibility variable per part of the payload, which the single-variable model of </w:t>
      </w:r>
      <w:hyperlink w:anchor="sec_4_3" w:history="1">
        <w:r>
          <w:rPr>
            <w:rStyle w:val="Hyperlink"/>
          </w:rPr>
          <w:t xml:space="preserve">Section 4.3</w:t>
        </w:r>
      </w:hyperlink>
      <w:r>
        <w:t xml:space="preserve"> cannot express, and partition the payload as</w:t>
      </w:r>
      <w:r>
        <w:t xml:space="preserve"> </w:t>
      </w:r>
      <m:oMath>
        <m:r>
          <m:t>p</m:t>
        </m:r>
        <m:d>
          <m:dPr>
            <m:begChr m:val="("/>
            <m:sepChr m:val=""/>
            <m:endChr m:val=")"/>
            <m:grow/>
          </m:dPr>
          <m:e>
            <m:r>
              <m:t>a</m:t>
            </m:r>
          </m:e>
        </m:d>
        <m:r>
          <m:rPr>
            <m:sty m:val="p"/>
          </m:rPr>
          <m:t>=</m:t>
        </m:r>
        <m:sSub>
          <m:e>
            <m:r>
              <m:t>p</m:t>
            </m:r>
          </m:e>
          <m:sub>
            <m:r>
              <m:t>n</m:t>
            </m:r>
          </m:sub>
        </m:sSub>
        <m:d>
          <m:dPr>
            <m:begChr m:val="("/>
            <m:sepChr m:val=""/>
            <m:endChr m:val=")"/>
            <m:grow/>
          </m:dPr>
          <m:e>
            <m:r>
              <m:t>a</m:t>
            </m:r>
          </m:e>
        </m:d>
        <m:r>
          <m:rPr>
            <m:sty m:val="p"/>
          </m:rPr>
          <m:t>∪</m:t>
        </m:r>
        <m:sSub>
          <m:e>
            <m:r>
              <m:t>p</m:t>
            </m:r>
          </m:e>
          <m:sub>
            <m:r>
              <m:t>r</m:t>
            </m:r>
          </m:sub>
        </m:sSub>
        <m:d>
          <m:dPr>
            <m:begChr m:val="("/>
            <m:sepChr m:val=""/>
            <m:endChr m:val=")"/>
            <m:grow/>
          </m:dPr>
          <m:e>
            <m:r>
              <m:t>a</m:t>
            </m:r>
          </m:e>
        </m:d>
      </m:oMath>
      <w:r>
        <w:t xml:space="preserve">, where</w:t>
      </w:r>
      <w:r>
        <w:t xml:space="preserve"> </w:t>
      </w:r>
      <m:oMath>
        <m:sSub>
          <m:e>
            <m:r>
              <m:t>p</m:t>
            </m:r>
          </m:e>
          <m:sub>
            <m:r>
              <m:t>n</m:t>
            </m:r>
          </m:sub>
        </m:sSub>
        <m:d>
          <m:dPr>
            <m:begChr m:val="("/>
            <m:sepChr m:val=""/>
            <m:endChr m:val=")"/>
            <m:grow/>
          </m:dPr>
          <m:e>
            <m:r>
              <m:t>a</m:t>
            </m:r>
          </m:e>
        </m:d>
      </m:oMath>
      <w:r>
        <w:t xml:space="preserve"> </w:t>
      </w:r>
      <w:r>
        <w:t xml:space="preserve">is any part that auditing turns out to need, and retain</w:t>
      </w:r>
      <w:r>
        <w:t xml:space="preserve"> </w:t>
      </w:r>
      <m:oMath>
        <m:sSub>
          <m:e>
            <m:r>
              <m:t>p</m:t>
            </m:r>
          </m:e>
          <m:sub>
            <m:r>
              <m:t>n</m:t>
            </m:r>
          </m:sub>
        </m:sSub>
        <m:d>
          <m:dPr>
            <m:begChr m:val="("/>
            <m:sepChr m:val=""/>
            <m:endChr m:val=")"/>
            <m:grow/>
          </m:dPr>
          <m:e>
            <m:r>
              <m:t>a</m:t>
            </m:r>
          </m:e>
        </m:d>
      </m:oMath>
      <w:r>
        <w:t xml:space="preserve"> </w:t>
      </w:r>
      <w:r>
        <w:t xml:space="preserve">with the accessor fields. The trajectory of Proposition 2, with</w:t>
      </w:r>
      <w:r>
        <w:t xml:space="preserve"> </w:t>
      </w:r>
      <m:oMath>
        <m:sSub>
          <m:e>
            <m:r>
              <m:t>p</m:t>
            </m:r>
          </m:e>
          <m:sub>
            <m:r>
              <m:t>r</m:t>
            </m:r>
          </m:sub>
        </m:sSub>
        <m:d>
          <m:dPr>
            <m:begChr m:val="("/>
            <m:sepChr m:val=""/>
            <m:endChr m:val=")"/>
            <m:grow/>
          </m:dPr>
          <m:e>
            <m:r>
              <m:t>a</m:t>
            </m:r>
          </m:e>
        </m:d>
      </m:oMath>
      <w:r>
        <w:t xml:space="preserve"> </w:t>
      </w:r>
      <w:r>
        <w:t xml:space="preserve">in place of</w:t>
      </w:r>
      <w:r>
        <w:t xml:space="preserve"> </w:t>
      </w:r>
      <m:oMath>
        <m:r>
          <m:t>p</m:t>
        </m:r>
        <m:d>
          <m:dPr>
            <m:begChr m:val="("/>
            <m:sepChr m:val=""/>
            <m:endChr m:val=")"/>
            <m:grow/>
          </m:dPr>
          <m:e>
            <m:r>
              <m:t>a</m:t>
            </m:r>
          </m:e>
        </m:d>
      </m:oMath>
      <w:r>
        <w:t xml:space="preserve">, satisfies C1 and C2, and it satisfies C3 unless</w:t>
      </w:r>
      <w:r>
        <w:t xml:space="preserve"> </w:t>
      </w:r>
      <m:oMath>
        <m:sSub>
          <m:e>
            <m:r>
              <m:t>p</m:t>
            </m:r>
          </m:e>
          <m:sub>
            <m:r>
              <m:t>n</m:t>
            </m:r>
          </m:sub>
        </m:sSub>
        <m:d>
          <m:dPr>
            <m:begChr m:val="("/>
            <m:sepChr m:val=""/>
            <m:endChr m:val=")"/>
            <m:grow/>
          </m:dPr>
          <m:e>
            <m:r>
              <m:t>a</m:t>
            </m:r>
          </m:e>
        </m:d>
      </m:oMath>
      <w:r>
        <w:t xml:space="preserve"> </w:t>
      </w:r>
      <w:r>
        <w:t xml:space="preserve">is itself electronic health data within the environment on the broad reading of Article 68(12). In that case C1 and C3 collide over</w:t>
      </w:r>
      <w:r>
        <w:t xml:space="preserve"> </w:t>
      </w:r>
      <m:oMath>
        <m:sSub>
          <m:e>
            <m:r>
              <m:t>p</m:t>
            </m:r>
          </m:e>
          <m:sub>
            <m:r>
              <m:t>n</m:t>
            </m:r>
          </m:sub>
        </m:sSub>
        <m:d>
          <m:dPr>
            <m:begChr m:val="("/>
            <m:sepChr m:val=""/>
            <m:endChr m:val=")"/>
            <m:grow/>
          </m:dPr>
          <m:e>
            <m:r>
              <m:t>a</m:t>
            </m:r>
          </m:e>
        </m:d>
      </m:oMath>
      <w:r>
        <w:t xml:space="preserve">, by the argument of Proposition 3, for exactly the records it identifies under case (ii). The collision follows from keeping</w:t>
      </w:r>
      <w:r>
        <w:t xml:space="preserve"> </w:t>
      </w:r>
      <m:oMath>
        <m:sSub>
          <m:e>
            <m:r>
              <m:t>p</m:t>
            </m:r>
          </m:e>
          <m:sub>
            <m:r>
              <m:t>n</m:t>
            </m:r>
          </m:sub>
        </m:sSub>
        <m:d>
          <m:dPr>
            <m:begChr m:val="("/>
            <m:sepChr m:val=""/>
            <m:endChr m:val=")"/>
            <m:grow/>
          </m:dPr>
          <m:e>
            <m:r>
              <m:t>a</m:t>
            </m:r>
          </m:e>
        </m:d>
      </m:oMath>
      <w:r>
        <w:t xml:space="preserve"> </w:t>
      </w:r>
      <w:r>
        <w:t xml:space="preserve">intact under condition (i) without the logged-removal exception that the subject fields have. Relocation (</w:t>
      </w:r>
      <w:hyperlink w:anchor="sec_4_10" w:history="1">
        <w:r>
          <w:rPr>
            <w:rStyle w:val="Hyperlink"/>
          </w:rPr>
          <w:t xml:space="preserve">Section 4.10</w:t>
        </w:r>
      </w:hyperlink>
      <w:r>
        <w:t xml:space="preserve">, Rival 6) is the exit this thesis identifies; logging at dataset granularity, the narrow reading, or anonymising</w:t>
      </w:r>
      <w:r>
        <w:t xml:space="preserve"> </w:t>
      </w:r>
      <m:oMath>
        <m:sSub>
          <m:e>
            <m:r>
              <m:t>p</m:t>
            </m:r>
          </m:e>
          <m:sub>
            <m:r>
              <m:t>n</m:t>
            </m:r>
          </m:sub>
        </m:sSub>
        <m:d>
          <m:dPr>
            <m:begChr m:val="("/>
            <m:sepChr m:val=""/>
            <m:endChr m:val=")"/>
            <m:grow/>
          </m:dPr>
          <m:e>
            <m:r>
              <m:t>a</m:t>
            </m:r>
          </m:e>
        </m:d>
      </m:oMath>
      <w:r>
        <w:t xml:space="preserve"> </w:t>
      </w:r>
      <w:r>
        <w:t xml:space="preserve">are others.</w:t>
      </w:r>
    </w:p>
    <w:p>
      <w:pPr>
        <w:pStyle w:val="BodyText"/>
      </w:pPr>
      <w:r>
        <w:rPr>
          <w:iCs/>
          <w:i/>
        </w:rPr>
        <w:t xml:space="preserve">Proof sketch.</w:t>
      </w:r>
      <w:r>
        <w:t xml:space="preserve"> </w:t>
      </w:r>
      <w:r>
        <w:t xml:space="preserve">Replace</w:t>
      </w:r>
      <w:r>
        <w:t xml:space="preserve"> </w:t>
      </w:r>
      <m:oMath>
        <m:r>
          <m:t>p</m:t>
        </m:r>
      </m:oMath>
      <w:r>
        <w:t xml:space="preserve"> </w:t>
      </w:r>
      <w:r>
        <w:t xml:space="preserve">by</w:t>
      </w:r>
      <w:r>
        <w:t xml:space="preserve"> </w:t>
      </w:r>
      <m:oMath>
        <m:sSub>
          <m:e>
            <m:r>
              <m:t>p</m:t>
            </m:r>
          </m:e>
          <m:sub>
            <m:r>
              <m:t>r</m:t>
            </m:r>
          </m:sub>
        </m:sSub>
      </m:oMath>
      <w:r>
        <w:t xml:space="preserve"> </w:t>
      </w:r>
      <w:r>
        <w:t xml:space="preserve">in steps 1–4 and add</w:t>
      </w:r>
      <w:r>
        <w:t xml:space="preserve"> </w:t>
      </w:r>
      <m:oMath>
        <m:sSub>
          <m:e>
            <m:r>
              <m:t>p</m:t>
            </m:r>
          </m:e>
          <m:sub>
            <m:r>
              <m:t>n</m:t>
            </m:r>
          </m:sub>
        </m:sSub>
      </m:oMath>
      <w:r>
        <w:t xml:space="preserve"> </w:t>
      </w:r>
      <w:r>
        <w:t xml:space="preserve">to the fields that condition (i) of Semantics II keeps intact. C1 holds as before. C2 holds for</w:t>
      </w:r>
      <w:r>
        <w:t xml:space="preserve"> </w:t>
      </w:r>
      <m:oMath>
        <m:sSub>
          <m:e>
            <m:r>
              <m:t>p</m:t>
            </m:r>
          </m:e>
          <m:sub>
            <m:r>
              <m:t>r</m:t>
            </m:r>
          </m:sub>
        </m:sSub>
      </m:oMath>
      <w:r>
        <w:t xml:space="preserve"> </w:t>
      </w:r>
      <w:r>
        <w:t xml:space="preserve">as before, and for</w:t>
      </w:r>
      <w:r>
        <w:t xml:space="preserve"> </w:t>
      </w:r>
      <m:oMath>
        <m:sSub>
          <m:e>
            <m:r>
              <m:t>p</m:t>
            </m:r>
          </m:e>
          <m:sub>
            <m:r>
              <m:t>n</m:t>
            </m:r>
          </m:sub>
        </m:sSub>
      </m:oMath>
      <w:r>
        <w:t xml:space="preserve"> </w:t>
      </w:r>
      <w:r>
        <w:t xml:space="preserve">through Article 17(3)(b), which applies because</w:t>
      </w:r>
      <w:r>
        <w:t xml:space="preserve"> </w:t>
      </w:r>
      <m:oMath>
        <m:sSub>
          <m:e>
            <m:r>
              <m:t>p</m:t>
            </m:r>
          </m:e>
          <m:sub>
            <m:r>
              <m:t>n</m:t>
            </m:r>
          </m:sub>
        </m:sSub>
      </m:oMath>
      <w:r>
        <w:t xml:space="preserve"> </w:t>
      </w:r>
      <w:r>
        <w:t xml:space="preserve">is by assumption necessary. C3 constrains whatever is electronic health data within the environment: if</w:t>
      </w:r>
      <w:r>
        <w:t xml:space="preserve"> </w:t>
      </w:r>
      <m:oMath>
        <m:sSub>
          <m:e>
            <m:r>
              <m:t>p</m:t>
            </m:r>
          </m:e>
          <m:sub>
            <m:r>
              <m:t>n</m:t>
            </m:r>
          </m:sub>
        </m:sSub>
      </m:oMath>
      <w:r>
        <w:t xml:space="preserve"> </w:t>
      </w:r>
      <w:r>
        <w:t xml:space="preserve">is not, C3 is met as before; if it is, C3 requires it gone from</w:t>
      </w:r>
      <w:r>
        <w:t xml:space="preserve"> </w:t>
      </w:r>
      <m:oMath>
        <m:sSub>
          <m:e>
            <m:r>
              <m:t>t</m:t>
            </m:r>
          </m:e>
          <m:sub>
            <m:r>
              <m:t>π</m:t>
            </m:r>
          </m:sub>
        </m:sSub>
        <m:d>
          <m:dPr>
            <m:begChr m:val="("/>
            <m:sepChr m:val=""/>
            <m:endChr m:val=")"/>
            <m:grow/>
          </m:dPr>
          <m:e>
            <m:r>
              <m:t>a</m:t>
            </m:r>
          </m:e>
        </m:d>
        <m:r>
          <m:rPr>
            <m:sty m:val="p"/>
          </m:rPr>
          <m:t>+</m:t>
        </m:r>
        <m:r>
          <m:t>6</m:t>
        </m:r>
      </m:oMath>
      <w:r>
        <w:t xml:space="preserve"> </w:t>
      </w:r>
      <w:r>
        <w:t xml:space="preserve">while C1 requires it until</w:t>
      </w:r>
      <w:r>
        <w:t xml:space="preserve"> </w:t>
      </w:r>
      <m:oMath>
        <m:r>
          <m:t>t</m:t>
        </m:r>
        <m:d>
          <m:dPr>
            <m:begChr m:val="("/>
            <m:sepChr m:val=""/>
            <m:endChr m:val=")"/>
            <m:grow/>
          </m:dPr>
          <m:e>
            <m:r>
              <m:t>a</m:t>
            </m:r>
          </m:e>
        </m:d>
        <m:r>
          <m:rPr>
            <m:sty m:val="p"/>
          </m:rPr>
          <m:t>+</m:t>
        </m:r>
        <m:r>
          <m:t>F</m:t>
        </m:r>
        <m:d>
          <m:dPr>
            <m:begChr m:val="("/>
            <m:sepChr m:val=""/>
            <m:endChr m:val=")"/>
            <m:grow/>
          </m:dPr>
          <m:e>
            <m:r>
              <m:t>a</m:t>
            </m:r>
          </m:e>
        </m:d>
      </m:oMath>
      <w:r>
        <w:t xml:space="preserve">, and the argument of Proposition 3 gives the records for which these overlap. ∎</w:t>
      </w:r>
    </w:p>
    <w:p>
      <w:pPr>
        <w:pStyle w:val="BodyText"/>
      </w:pPr>
      <w:r>
        <w:t xml:space="preserve">Feasibility therefore survives any enlargement of what auditing needs, except an enlargement into data concerning health inside a Secure Processing Environment, where it fails as Corollary 1.2 does and has the same exits.</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The response concedes its premise and denies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plaintext verifiability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10" w:history="1">
        <w:r>
          <w:rPr>
            <w:rStyle w:val="Hyperlink"/>
          </w:rPr>
          <w:t xml:space="preserve">Section 4.10</w:t>
        </w:r>
      </w:hyperlink>
      <w:r>
        <w:t xml:space="preserve"> concedes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68" w:name="Xbab0c38be3b68c0190d99bdc4068769bc35fcf9"/>
    <w:p>
      <w:pPr>
        <w:pStyle w:val="Heading2"/>
      </w:pPr>
      <w:bookmarkStart w:id="1052" w:name="sec_4_8"/>
      <w:r>
        <w:t xml:space="preserve">4.8 The Mechanism: Crypto-Erasure by Invalidation</w:t>
      </w:r>
      <w:bookmarkEnd w:id="1052"/>
    </w:p>
    <w:p>
      <w:pPr>
        <w:pStyle w:val="FirstParagraph"/>
      </w:pPr>
      <w:r>
        <w:t xml:space="preserve">The proof of Proposition 2 is also a build sheet: the trajectory it constructs is the specification of the mechanism. This section states it as an implementable design: what is encrypted, what is committed, what is destroyed, and what is logged when it is.</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and the commitment, never the payload and never the subject fields.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 Redactable and chameleon-hash designs,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resolve the same tension the other way, by letting a key holder rewrite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A specific payload was bound to that event, which follows from</w:t>
      </w:r>
      <w:r>
        <w:t xml:space="preserve"> </w:t>
      </w:r>
      <m:oMath>
        <m:r>
          <m:t>c</m:t>
        </m:r>
        <m:d>
          <m:dPr>
            <m:begChr m:val="("/>
            <m:sepChr m:val=""/>
            <m:endChr m:val=")"/>
            <m:grow/>
          </m:dPr>
          <m:e>
            <m:r>
              <m:t>a</m:t>
            </m:r>
          </m:e>
        </m:d>
      </m:oMath>
      <w:r>
        <w:t xml:space="preser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The patient link is retained there through the floor, for the reason </w:t>
      </w:r>
      <w:hyperlink w:anchor="sec_4_2" w:history="1">
        <w:r>
          <w:rPr>
            <w:rStyle w:val="Hyperlink"/>
          </w:rPr>
          <w:t xml:space="preserve">Section 4.2</w:t>
        </w:r>
      </w:hyperlink>
      <w:r>
        <w:t xml:space="preserve"> gives, and removed at the terminal transition.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68"/>
    <w:bookmarkStart w:id="69" w:name="residue-analysis"/>
    <w:p>
      <w:pPr>
        <w:pStyle w:val="Heading2"/>
      </w:pPr>
      <w:bookmarkStart w:id="1053" w:name="sec_4_9"/>
      <w:r>
        <w:t xml:space="preserve">4.9 Residue Analysis</w:t>
      </w:r>
      <w:bookmarkEnd w:id="1053"/>
    </w:p>
    <w:p>
      <w:pPr>
        <w:pStyle w:val="FirstParagraph"/>
      </w:pPr>
      <w:r>
        <w:t xml:space="preserve">A mechanism that erases by destroying keys is only as good as what it leaves behind. 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69"/>
    <w:bookmarkStart w:id="70" w:name="rival-designs-and-proposition-4"/>
    <w:p>
      <w:pPr>
        <w:pStyle w:val="Heading2"/>
      </w:pPr>
      <w:bookmarkStart w:id="1054" w:name="sec_4_10"/>
      <w:r>
        <w:t xml:space="preserve">4.10 Rival Designs and Proposition 4</w:t>
      </w:r>
      <w:bookmarkEnd w:id="1054"/>
    </w:p>
    <w:p>
      <w:pPr>
        <w:pStyle w:val="FirstParagraph"/>
      </w:pPr>
      <w:r>
        <w:t xml:space="preserve">If a simpler design solved the problem, this mechanism would be unnecessary. Six alternative designs are therefore tested against it.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commitment bound into the log at write time constrains this only for a party that kept its own opening; once the salt and payload are destroyed no auditor can open it, so the advantage over this rival is narrower than first stated.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as a legal premise rather than a mathematical consequence,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0"/>
    <w:bookmarkStart w:id="71" w:name="X51924fffb4499c77bcb597712556eecab7674b1"/>
    <w:p>
      <w:pPr>
        <w:pStyle w:val="Heading2"/>
      </w:pPr>
      <w:bookmarkStart w:id="1055" w:name="sec_4_11"/>
      <w:r>
        <w:t xml:space="preserve">4.11 Integration with the Norwegian Infrastructure</w:t>
      </w:r>
      <w:bookmarkEnd w:id="1055"/>
    </w:p>
    <w:p>
      <w:pPr>
        <w:pStyle w:val="FirstParagraph"/>
      </w:pPr>
      <w:r>
        <w:t xml:space="preserve">A mechanism is only as useful as the point at which it can be installed. This one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November 2024 draft is specific on logging. It makes tamper-proof, identifiable logs of access to the environment mandatory</w:t>
      </w:r>
      <w:r>
        <w:t xml:space="preserve"> </w:t>
      </w:r>
      <w:r>
        <w:t xml:space="preserve">“</w:t>
      </w:r>
      <w:r>
        <w:t xml:space="preserve">for at least one year</w:t>
      </w:r>
      <w:r>
        <w:t xml:space="preserve">”</w:t>
      </w:r>
      <w:r>
        <w:t xml:space="preserve"> </w:t>
      </w:r>
      <w:r>
        <w:t xml:space="preserve">(P13), and likewise logs of when files are extracted and by whom, kept for one year (P24); it recommends tamper-proof, identifiable logs of activities inside the environment (P14); and it lists back-up and log files among the matters a termination procedure must cover (P31) (SPUHiN, 2024; requirement numbers as in the draft). That is the one-year floor of Article 73(1)(e) in national form. None of the requirements inspected says how those logs are to be reconciled with deletion.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TableCaption"/>
      </w:pPr>
      <w:bookmarkStart w:id="1002" w:name="tbl_4_1"/>
      <w:r>
        <w:rPr>
          <w:b/>
          <w:color w:val="1F3864"/>
        </w:rPr>
        <w:t xml:space="preserve">Table 4.1.</w:t>
      </w:r>
      <w:r>
        <w:t xml:space="preserve"> Requirements traced to the mechanism</w:t>
      </w:r>
      <w:bookmarkEnd w:id="100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Tamper-proof, identifiable logs of access to the SPE, at least one year (mandatory); of file extraction, one year (mandatory); of activities (recommended)</w:t>
            </w:r>
          </w:p>
        </w:tc>
        <w:tc>
          <w:tcPr/>
          <w:p>
            <w:pPr>
              <w:pStyle w:val="Compact"/>
              <w:jc w:val="left"/>
            </w:pPr>
            <w:r>
              <w:rPr>
                <w:sz w:val="20"/>
                <w:szCs w:val="20"/>
              </w:rPr>
              <w:t xml:space="preserve">SPUHiN (2024), draft, P13, P24, P14</w:t>
            </w:r>
          </w:p>
        </w:tc>
        <w:tc>
          <w:tcPr/>
          <w:p>
            <w:pPr>
              <w:pStyle w:val="Compact"/>
              <w:jc w:val="left"/>
            </w:pPr>
            <w:r>
              <w:rPr>
                <w:sz w:val="20"/>
                <w:szCs w:val="20"/>
              </w:rPr>
              <w:t xml:space="preserve">Accessor fields kept identifiable for the floor; every access event in the append-only Merkle log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8" w:history="1">
              <w:r>
                <w:rPr>
                  <w:rStyle w:val="Hyperlink"/>
                  <w:sz w:val="20"/>
                  <w:szCs w:val="20"/>
                </w:rPr>
                <w:t xml:space="preserve">§4.8</w:t>
              </w:r>
            </w:hyperlink>
            <w:r>
              <w:rPr>
                <w:sz w:val="20"/>
                <w:szCs w:val="20"/>
              </w:rPr>
              <w:t xml:space="preserve">;</w:t>
            </w:r>
            <w:r>
              <w:rPr>
                <w:sz w:val="20"/>
                <w:szCs w:val="20"/>
              </w:rPr>
              <w:t xml:space="preserve"> </w:t>
            </w:r>
            <w:r>
              <w:rPr>
                <w:rStyle w:val="VerbatimChar"/>
                <w:sz w:val="20"/>
                <w:szCs w:val="20"/>
              </w:rPr>
              <w:t xml:space="preserve">MerkleLog</w:t>
            </w:r>
          </w:p>
        </w:tc>
        <w:tc>
          <w:tcPr/>
          <w:p>
            <w:pPr>
              <w:pStyle w:val="Compact"/>
              <w:jc w:val="left"/>
            </w:pPr>
            <w:r>
              <w:rPr>
                <w:sz w:val="20"/>
                <w:szCs w:val="20"/>
              </w:rPr>
              <w:t xml:space="preserve">Met in the artefact (</w:t>
            </w:r>
            <m:oMath>
              <m:r>
                <m:t>F</m:t>
              </m:r>
              <m:r>
                <m:rPr>
                  <m:sty m:val="p"/>
                </m:rPr>
                <m:t>=</m:t>
              </m:r>
              <m:r>
                <m:t>12</m:t>
              </m:r>
            </m:oMath>
            <w:r>
              <w:rPr>
                <w:sz w:val="20"/>
                <w:szCs w:val="20"/>
              </w:rPr>
              <w:t xml:space="preserve">;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Termination procedure covering deletion of files, back-ups and log files (mandatory)</w:t>
            </w:r>
          </w:p>
        </w:tc>
        <w:tc>
          <w:tcPr/>
          <w:p>
            <w:pPr>
              <w:pStyle w:val="Compact"/>
              <w:jc w:val="left"/>
            </w:pPr>
            <w:r>
              <w:rPr>
                <w:sz w:val="20"/>
                <w:szCs w:val="20"/>
              </w:rPr>
              <w:t xml:space="preserve">SPUHiN (2024), draft, P31</w:t>
            </w:r>
          </w:p>
        </w:tc>
        <w:tc>
          <w:tcPr/>
          <w:p>
            <w:pPr>
              <w:pStyle w:val="Compact"/>
              <w:jc w:val="left"/>
            </w:pPr>
            <w:r>
              <w:rPr>
                <w:sz w:val="20"/>
                <w:szCs w:val="20"/>
              </w:rPr>
              <w:t xml:space="preserve">Supplies the rule for the log files: invalidation at the ceiling, terminal transition after the floor</w:t>
            </w:r>
          </w:p>
        </w:tc>
        <w:tc>
          <w:tcPr/>
          <w:p>
            <w:pPr>
              <w:pStyle w:val="Compact"/>
              <w:jc w:val="left"/>
            </w:pPr>
            <w:hyperlink w:anchor="sec_4_8" w:history="1">
              <w:r>
                <w:rPr>
                  <w:rStyle w:val="Hyperlink"/>
                  <w:sz w:val="20"/>
                  <w:szCs w:val="20"/>
                </w:rPr>
                <w:t xml:space="preserve">§4.8</w:t>
              </w:r>
            </w:hyperlink>
          </w:p>
        </w:tc>
        <w:tc>
          <w:tcPr/>
          <w:p>
            <w:pPr>
              <w:pStyle w:val="Compact"/>
              <w:jc w:val="left"/>
            </w:pPr>
            <w:r>
              <w:rPr>
                <w:sz w:val="20"/>
                <w:szCs w:val="20"/>
              </w:rPr>
              <w:t xml:space="preserve">Met by specification; the terminal transition is not implemented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1"/>
    <w:bookmarkStart w:id="72" w:name="summary"/>
    <w:p>
      <w:pPr>
        <w:pStyle w:val="Heading2"/>
      </w:pPr>
      <w:bookmarkStart w:id="1056" w:name="sec_4_12"/>
      <w:r>
        <w:t xml:space="preserve">4.12 Summary</w:t>
      </w:r>
      <w:bookmarkEnd w:id="1056"/>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 The terminal transition, the per-entry nonce, consistency proofs and the accumulator layer are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For Secure Processing Environment records the result assumes that auditing does not need the payload; Corollary 2.3 states what follows if it needs part of it.</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2"/>
    <w:bookmarkEnd w:id="73"/>
    <w:bookmarkStart w:id="82" w:name="chapter-5.-demonstration"/>
    <w:p>
      <w:pPr>
        <w:pStyle w:val="Heading1"/>
      </w:pPr>
      <w:bookmarkStart w:id="1057" w:name="ch_5"/>
      <w:r>
        <w:t xml:space="preserve">Chapter 5. Demonstration</w:t>
      </w:r>
      <w:bookmarkEnd w:id="1057"/>
    </w:p>
    <w:p>
      <w:pPr>
        <w:pStyle w:val="FirstParagraph"/>
      </w:pPr>
      <w:r>
        <w:rPr>
          <w:iCs/>
          <w:i/>
        </w:rPr>
        <w:t xml:space="preserve">Every figure reported in this chapter was produced by the code listed in Appendix A, executed under seed 20260915. The full-cohort comparison of </w:t>
      </w:r>
      <w:hyperlink w:anchor="tbl_5_7" w:history="1">
        <w:r>
          <w:rPr>
            <w:rStyle w:val="Hyperlink"/>
            <w:iCs/>
            <w:i/>
          </w:rPr>
          <w:t xml:space="preserve">Table 5.7</w:t>
        </w:r>
      </w:hyperlink>
      <w:r>
        <w:rPr>
          <w:iCs/>
          <w:i/>
        </w:rPr>
        <w:t xml:space="preserve"> was recorded on 28 September with the code of that date; the committed-subset run (Appendix A, A.21) repeats it with the current code and gives the same figures.</w:t>
      </w:r>
    </w:p>
    <w:bookmarkStart w:id="74" w:name="purpose-and-claim"/>
    <w:p>
      <w:pPr>
        <w:pStyle w:val="Heading2"/>
      </w:pPr>
      <w:bookmarkStart w:id="1058" w:name="sec_5_1"/>
      <w:r>
        <w:t xml:space="preserve">5.1 Purpose and Claim</w:t>
      </w:r>
      <w:bookmarkEnd w:id="1058"/>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 4 is analytic and is not executed here; </w:t>
      </w:r>
      <w:hyperlink w:anchor="sec_5_4" w:history="1">
        <w:r>
          <w:rPr>
            <w:rStyle w:val="Hyperlink"/>
          </w:rPr>
          <w:t xml:space="preserve">Section 5.4</w:t>
        </w:r>
      </w:hyperlink>
      <w:r>
        <w:t xml:space="preserve"> computes the condition of Proposition 3 and </w:t>
      </w:r>
      <w:hyperlink w:anchor="sec_5_5" w:history="1">
        <w:r>
          <w:rPr>
            <w:rStyle w:val="Hyperlink"/>
          </w:rPr>
          <w:t xml:space="preserve">Section 5.5</w:t>
        </w:r>
      </w:hyperlink>
      <w:r>
        <w:t xml:space="preserve"> checks it.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 a number the generator determines (</w:t>
      </w:r>
      <w:hyperlink w:anchor="sec_5_4" w:history="1">
        <w:r>
          <w:rPr>
            <w:rStyle w:val="Hyperlink"/>
          </w:rPr>
          <w:t xml:space="preserve">Section 5.4</w:t>
        </w:r>
      </w:hyperlink>
      <w:r>
        <w:t xml:space="preserve">).</w:t>
      </w:r>
    </w:p>
    <w:bookmarkEnd w:id="74"/>
    <w:bookmarkStart w:id="75" w:name="implementation"/>
    <w:p>
      <w:pPr>
        <w:pStyle w:val="Heading2"/>
      </w:pPr>
      <w:bookmarkStart w:id="1059" w:name="sec_5_2"/>
      <w:r>
        <w:t xml:space="preserve">5.2 Implementation</w:t>
      </w:r>
      <w:bookmarkEnd w:id="1059"/>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TableCaption"/>
      </w:pPr>
      <w:bookmarkStart w:id="1003" w:name="tbl_5_1"/>
      <w:r>
        <w:rPr>
          <w:b/>
          <w:color w:val="1F3864"/>
        </w:rPr>
        <w:t xml:space="preserve">Table 5.1.</w:t>
      </w:r>
      <w:r>
        <w:t xml:space="preserve"> The artefact as published</w:t>
      </w:r>
      <w:bookmarkEnd w:id="100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533</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671</w:t>
            </w:r>
          </w:p>
        </w:tc>
        <w:tc>
          <w:tcPr/>
          <w:p>
            <w:pPr>
              <w:pStyle w:val="Compact"/>
              <w:jc w:val="left"/>
            </w:pPr>
            <w:r>
              <w:rPr>
                <w:sz w:val="20"/>
                <w:szCs w:val="20"/>
              </w:rPr>
              <w:t xml:space="preserve">Six-tab viewer over the artefact;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153</w:t>
            </w:r>
          </w:p>
        </w:tc>
        <w:tc>
          <w:tcPr/>
          <w:p>
            <w:pPr>
              <w:pStyle w:val="Compact"/>
              <w:jc w:val="left"/>
            </w:pPr>
            <w:r>
              <w:rPr>
                <w:sz w:val="20"/>
                <w:szCs w:val="20"/>
              </w:rPr>
              <w:t xml:space="preserve">Optional: bounded SMT check of Propositions 1–3 (needs</w:t>
            </w:r>
            <w:r>
              <w:rPr>
                <w:sz w:val="20"/>
                <w:szCs w:val="20"/>
              </w:rPr>
              <w:t xml:space="preserve"> </w:t>
            </w:r>
            <w:r>
              <w:rPr>
                <w:rStyle w:val="VerbatimChar"/>
                <w:sz w:val="20"/>
                <w:szCs w:val="20"/>
              </w:rPr>
              <w:t xml:space="preserve">z3-solver</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04" w:name="tbl_5_2"/>
      <w:r>
        <w:rPr>
          <w:b/>
          <w:color w:val="1F3864"/>
        </w:rPr>
        <w:t xml:space="preserve">Table 5.2.</w:t>
      </w:r>
      <w:r>
        <w:t xml:space="preserve"> Generation parameters (complete)</w:t>
      </w:r>
      <w:bookmarkEnd w:id="100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 as reported; illustrative)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75"/>
    <w:bookmarkStart w:id="76" w:name="results-under-semantics-i"/>
    <w:p>
      <w:pPr>
        <w:pStyle w:val="Heading2"/>
      </w:pPr>
      <w:bookmarkStart w:id="1060" w:name="sec_5_3"/>
      <w:r>
        <w:t xml:space="preserve">5.3 Results under Semantics I</w:t>
      </w:r>
      <w:bookmarkEnd w:id="1060"/>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05" w:name="tbl_5_3"/>
      <w:r>
        <w:rPr>
          <w:b/>
          <w:color w:val="1F3864"/>
        </w:rPr>
        <w:t xml:space="preserve">Table 5.3.</w:t>
      </w:r>
      <w:r>
        <w:t xml:space="preserve"> Violations under Semantics I (seed 20260915, n = 200)</w:t>
      </w:r>
      <w:bookmarkEnd w:id="100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76"/>
    <w:bookmarkStart w:id="77" w:name="Xa78c7cc063bc28a699e62b8492f8426c0d63645"/>
    <w:p>
      <w:pPr>
        <w:pStyle w:val="Heading2"/>
      </w:pPr>
      <w:bookmarkStart w:id="1061" w:name="sec_5_4"/>
      <w:r>
        <w:t xml:space="preserve">5.4 Corollary 1.2: Infeasibility Without an Erasure Request</w:t>
      </w:r>
      <w:bookmarkEnd w:id="1061"/>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Article 68(12) allows permits of up to ten years; with the remaining duration drawn uniformly over a five-year permit, about one log in ten would fall in the window.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77"/>
    <w:bookmarkStart w:id="78" w:name="independent-cross-check"/>
    <w:p>
      <w:pPr>
        <w:pStyle w:val="Heading2"/>
      </w:pPr>
      <w:bookmarkStart w:id="1062" w:name="sec_5_5"/>
      <w:r>
        <w:t xml:space="preserve">5.5 Independent Cross-Check</w:t>
      </w:r>
      <w:bookmarkEnd w:id="1062"/>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06"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0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checker’s demonstration where a parameter was altered for tractability.</w:t>
      </w:r>
    </w:p>
    <w:p>
      <w:pPr>
        <w:pStyle w:val="BodyText"/>
      </w:pPr>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w:t>
      </w:r>
      <w:hyperlink w:anchor="ch_5" w:history="1">
        <w:r>
          <w:rPr>
            <w:rStyle w:val="Hyperlink"/>
          </w:rPr>
          <w:t xml:space="preserve">Chapter 5</w:t>
        </w:r>
      </w:hyperlink>
      <w:r>
        <w:t xml:space="preserve">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w:t>
      </w:r>
      <w:hyperlink w:anchor="sec_4_4" w:history="1">
        <w:r>
          <w:rPr>
            <w:rStyle w:val="Hyperlink"/>
          </w:rPr>
          <w:t xml:space="preserve">Section 4.4</w:t>
        </w:r>
      </w:hyperlink>
      <w:r>
        <w:t xml:space="preserve">, so it checks that the propositions follow from the constraints as encoded, not that the constraints translate the law, and it is bounded rather than general.</w:t>
      </w:r>
    </w:p>
    <w:bookmarkEnd w:id="78"/>
    <w:bookmarkStart w:id="79" w:name="witness-at-the-extended-response-period"/>
    <w:p>
      <w:pPr>
        <w:pStyle w:val="Heading2"/>
      </w:pPr>
      <w:bookmarkStart w:id="1063" w:name="sec_5_6"/>
      <w:r>
        <w:t xml:space="preserve">5.6 Witness at the Extended Response Period</w:t>
      </w:r>
      <w:bookmarkEnd w:id="1063"/>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07"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0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79"/>
    <w:bookmarkStart w:id="80" w:name="results-under-semantics-ii"/>
    <w:p>
      <w:pPr>
        <w:pStyle w:val="Heading2"/>
      </w:pPr>
      <w:bookmarkStart w:id="1064" w:name="sec_5_7"/>
      <w:r>
        <w:t xml:space="preserve">5.7 Results under Semantics II</w:t>
      </w:r>
      <w:bookmarkEnd w:id="1064"/>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TableCaption"/>
      </w:pPr>
      <w:bookmarkStart w:id="1008" w:name="tbl_5_6"/>
      <w:r>
        <w:rPr>
          <w:b/>
          <w:color w:val="1F3864"/>
        </w:rPr>
        <w:t xml:space="preserve">Table 5.6.</w:t>
      </w:r>
      <w:r>
        <w:t xml:space="preserve"> Results under Semantics II (same 200 records, same seed)</w:t>
      </w:r>
      <w:bookmarkEnd w:id="100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a cross-border record keeps the link through the floor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binding to a specific payload survives in the commitment. The invalidation is itself a logged, grounded, attributed event rather than a silent absence. And the payload is unreadable, at month nineteen as at month sixteen. An auditor examining this record learns what the accountability purpose is argued to require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while the payload is unreadable.</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80"/>
    <w:bookmarkStart w:id="81" w:name="X118c29104845627cee32a0e9a3002454d83401c"/>
    <w:p>
      <w:pPr>
        <w:pStyle w:val="Heading2"/>
      </w:pPr>
      <w:bookmarkStart w:id="1065" w:name="sec_5_8"/>
      <w:r>
        <w:t xml:space="preserve">5.8 What the Demonstration Establishes, and What It Does Not</w:t>
      </w:r>
      <w:bookmarkEnd w:id="1065"/>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and Propositions 1–3 survive a bounded SMT check over every parameter combination within its bounds.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TableCaption"/>
      </w:pPr>
      <w:bookmarkStart w:id="1009" w:name="tbl_5_7"/>
      <w:r>
        <w:rPr>
          <w:b/>
          <w:color w:val="1F3864"/>
        </w:rPr>
        <w:t xml:space="preserve">Table 5.7.</w:t>
      </w:r>
      <w:r>
        <w:t xml:space="preserve"> Constructed against Synthea-generated payloads (same seed, same timings)</w:t>
      </w:r>
      <w:bookmarkEnd w:id="100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1"/>
    <w:bookmarkEnd w:id="82"/>
    <w:bookmarkStart w:id="95" w:name="chapter-6.-discussion"/>
    <w:p>
      <w:pPr>
        <w:pStyle w:val="Heading1"/>
      </w:pPr>
      <w:bookmarkStart w:id="1066" w:name="ch_6"/>
      <w:r>
        <w:t xml:space="preserve">Chapter 6. Discussion</w:t>
      </w:r>
      <w:bookmarkEnd w:id="1066"/>
    </w:p>
    <w:bookmarkStart w:id="83" w:name="what-the-thesis-establishes"/>
    <w:p>
      <w:pPr>
        <w:pStyle w:val="Heading2"/>
      </w:pPr>
      <w:bookmarkStart w:id="1067" w:name="sec_6_1"/>
      <w:r>
        <w:t xml:space="preserve">6.1 What the Thesis Establishes</w:t>
      </w:r>
      <w:bookmarkEnd w:id="1067"/>
    </w:p>
    <w:p>
      <w:pPr>
        <w:pStyle w:val="FirstParagraph"/>
      </w:pPr>
      <w:r>
        <w:t xml:space="preserve">Read one way, three obligations cannot be met together. Read another, they can. 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floor, because the IHE patient-discovery profile requires the patient’s identifying query to be recorded in the audit message.</w:t>
      </w:r>
    </w:p>
    <w:p>
      <w:pPr>
        <w:pStyle w:val="BodyText"/>
      </w:pPr>
      <w:r>
        <w:t xml:space="preserve">A conditional extension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witnesses of this collision in the model; how many depends on the permit lengths the generator draws, and the count is not an estimate of real frequency (</w:t>
      </w:r>
      <w:hyperlink w:anchor="ch_5" w:history="1">
        <w:r>
          <w:rPr>
            <w:rStyle w:val="Hyperlink"/>
          </w:rPr>
          <w:t xml:space="preserve">Chapter 5</w:t>
        </w:r>
      </w:hyperlink>
      <w:r>
        <w:t xml:space="preserve">, </w:t>
      </w:r>
      <w:hyperlink w:anchor="sec_5_4" w:history="1">
        <w:r>
          <w:rPr>
            <w:rStyle w:val="Hyperlink"/>
          </w:rPr>
          <w:t xml:space="preserve">Section 5.4</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or the consistency proofs between successive log roots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3"/>
    <w:bookmarkStart w:id="84" w:name="the-authority-problem"/>
    <w:p>
      <w:pPr>
        <w:pStyle w:val="Heading2"/>
      </w:pPr>
      <w:bookmarkStart w:id="1068" w:name="sec_6_2"/>
      <w:r>
        <w:t xml:space="preserve">6.2 The Authority Problem</w:t>
      </w:r>
      <w:bookmarkEnd w:id="1068"/>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as does the conditional branch of Corollary 2.3, and nothing else in the thesis does. The same request, addressed to the authorities responsible for EHDS incorporation, could reasonably carry this one alongside it.</w:t>
      </w:r>
    </w:p>
    <w:bookmarkEnd w:id="84"/>
    <w:bookmarkStart w:id="85" w:name="Xded207afce20f277dc3fb975fe95ea550887e42"/>
    <w:p>
      <w:pPr>
        <w:pStyle w:val="Heading2"/>
      </w:pPr>
      <w:bookmarkStart w:id="1069" w:name="sec_6_3"/>
      <w:r>
        <w:t xml:space="preserve">6.3 Key Destruction and the Limits of Assurance</w:t>
      </w:r>
      <w:bookmarkEnd w:id="1069"/>
    </w:p>
    <w:p>
      <w:pPr>
        <w:pStyle w:val="FirstParagraph"/>
      </w:pPr>
      <w:r>
        <w:t xml:space="preserve">Nobody can watch a key being destroyed. That is the second objection,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5"/>
    <w:bookmarkStart w:id="86" w:name="the-cost-objection"/>
    <w:p>
      <w:pPr>
        <w:pStyle w:val="Heading2"/>
      </w:pPr>
      <w:bookmarkStart w:id="1070" w:name="sec_6_4"/>
      <w:r>
        <w:t xml:space="preserve">6.4 The Cost Objection</w:t>
      </w:r>
      <w:bookmarkEnd w:id="1070"/>
    </w:p>
    <w:p>
      <w:pPr>
        <w:pStyle w:val="FirstParagraph"/>
      </w:pPr>
      <w:r>
        <w:t xml:space="preserve">Per-record keys cost something, and the question is whether the cost is worth paying. 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86"/>
    <w:bookmarkStart w:id="87" w:name="scalability"/>
    <w:p>
      <w:pPr>
        <w:pStyle w:val="Heading2"/>
      </w:pPr>
      <w:bookmarkStart w:id="1071" w:name="sec_6_5"/>
      <w:r>
        <w:t xml:space="preserve">6.5 Scalability</w:t>
      </w:r>
      <w:bookmarkEnd w:id="1071"/>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87"/>
    <w:bookmarkStart w:id="88" w:name="X44fba077a1d6c8b053ceb66fb0b4946e89febc8"/>
    <w:p>
      <w:pPr>
        <w:pStyle w:val="Heading2"/>
      </w:pPr>
      <w:bookmarkStart w:id="1072" w:name="sec_6_6"/>
      <w:r>
        <w:t xml:space="preserve">6.6 Evaluation Design and the Role of Stakeholder Assessment</w:t>
      </w:r>
      <w:bookmarkEnd w:id="1072"/>
    </w:p>
    <w:p>
      <w:pPr>
        <w:pStyle w:val="FirstParagraph"/>
      </w:pPr>
      <w:r>
        <w:t xml:space="preserve">A model can be right and still be refused by the people who would have to run it. 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88"/>
    <w:bookmarkStart w:id="89" w:name="Xb09e9d760b9049b450198be4ab64b306a64bdc7"/>
    <w:p>
      <w:pPr>
        <w:pStyle w:val="Heading2"/>
      </w:pPr>
      <w:bookmarkStart w:id="1073" w:name="sec_6_7"/>
      <w:r>
        <w:t xml:space="preserve">6.7 Synthetic Data and the Limits of the Demonstration</w:t>
      </w:r>
      <w:bookmarkEnd w:id="1073"/>
    </w:p>
    <w:p>
      <w:pPr>
        <w:pStyle w:val="FirstParagraph"/>
      </w:pPr>
      <w:r>
        <w:t xml:space="preserve">The patients in this thesis do not exist, and no result depends on who they are. 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the exhaustive cross-check and the bounded SMT check reduce the probability that an error in the proofs has gone unnoticed; they do not eliminate it, and none of them can show that the constraints translate the law.</w:t>
      </w:r>
    </w:p>
    <w:bookmarkEnd w:id="89"/>
    <w:bookmarkStart w:id="90" w:name="implications-for-practice-and-policy"/>
    <w:p>
      <w:pPr>
        <w:pStyle w:val="Heading2"/>
      </w:pPr>
      <w:bookmarkStart w:id="1074" w:name="sec_6_8"/>
      <w:r>
        <w:t xml:space="preserve">6.8 Implications for Practice and Policy</w:t>
      </w:r>
      <w:bookmarkEnd w:id="1074"/>
    </w:p>
    <w:p>
      <w:pPr>
        <w:pStyle w:val="FirstParagraph"/>
      </w:pPr>
      <w:r>
        <w:t xml:space="preserve">The provisions that create this collision do not yet apply, and that is the opportunity. 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0"/>
    <w:bookmarkStart w:id="91" w:name="theoretical-implications"/>
    <w:p>
      <w:pPr>
        <w:pStyle w:val="Heading2"/>
      </w:pPr>
      <w:bookmarkStart w:id="1075" w:name="sec_6_9"/>
      <w:r>
        <w:t xml:space="preserve">6.9 Theoretical Implications</w:t>
      </w:r>
      <w:bookmarkEnd w:id="1075"/>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bookmarkEnd w:id="91"/>
    <w:bookmarkStart w:id="92" w:name="Xf98bccb8ca371ce0fd1679988a5911c6b05ad19"/>
    <w:p>
      <w:pPr>
        <w:pStyle w:val="Heading2"/>
      </w:pPr>
      <w:bookmarkStart w:id="1076" w:name="sec_6_10"/>
      <w:r>
        <w:t xml:space="preserve">6.10 Where the Ceiling Is Anchored: a Cross-Sector Test</w:t>
      </w:r>
      <w:bookmarkEnd w:id="1076"/>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2"/>
    <w:bookmarkStart w:id="93" w:name="boundaries-as-contribution"/>
    <w:p>
      <w:pPr>
        <w:pStyle w:val="Heading2"/>
      </w:pPr>
      <w:bookmarkStart w:id="1077" w:name="sec_6_11"/>
      <w:r>
        <w:t xml:space="preserve">6.11 Boundaries as Contribution</w:t>
      </w:r>
      <w:bookmarkEnd w:id="1077"/>
    </w:p>
    <w:p>
      <w:pPr>
        <w:pStyle w:val="FirstParagraph"/>
      </w:pPr>
      <w:r>
        <w:t xml:space="preserve">The limitations that bound the claim are stated once,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None of them was claimed, so none of them reduces what was: a contribution that states its boundaries can be checked at them.</w:t>
      </w:r>
    </w:p>
    <w:bookmarkEnd w:id="93"/>
    <w:bookmarkStart w:id="94" w:name="summary-1"/>
    <w:p>
      <w:pPr>
        <w:pStyle w:val="Heading2"/>
      </w:pPr>
      <w:bookmarkStart w:id="1078" w:name="sec_6_12"/>
      <w:r>
        <w:t xml:space="preserve">6.12 Summary</w:t>
      </w:r>
      <w:bookmarkEnd w:id="1078"/>
    </w:p>
    <w:p>
      <w:pPr>
        <w:pStyle w:val="FirstParagraph"/>
      </w:pPr>
      <w:r>
        <w:t xml:space="preserve">The thesis establishes four things. Audit-retention floors, the right to erasure and the deletion ceiling conflict only under an assumption about verifiability, and not because of the obligations themselves. On the broad reading of Article 68(12) and for logs kept at patient-record granularity, the conflict arises inside the European Health Data Space Regulation with no data subject acting. A ceiling collides with a floor exactly when Proposition 3 says. And relocation escapes the ceiling but not the right (Proposition 4). It exhibits the mechanism that dissolves the conflict and checks Propositions 1 and 2 executably, with a separately written cross-check and a bounded SMT 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94"/>
    <w:bookmarkEnd w:id="95"/>
    <w:bookmarkStart w:id="102" w:name="chapter-7.-conclusion"/>
    <w:p>
      <w:pPr>
        <w:pStyle w:val="Heading1"/>
      </w:pPr>
      <w:bookmarkStart w:id="1079" w:name="ch_7"/>
      <w:r>
        <w:t xml:space="preserve">Chapter 7. Conclusion</w:t>
      </w:r>
      <w:bookmarkEnd w:id="1079"/>
    </w:p>
    <w:bookmarkStart w:id="96" w:name="the-problem-and-the-answer"/>
    <w:p>
      <w:pPr>
        <w:pStyle w:val="Heading2"/>
      </w:pPr>
      <w:bookmarkStart w:id="1080" w:name="sec_7_1"/>
      <w:r>
        <w:t xml:space="preserve">7.1 The Problem and the Answer</w:t>
      </w:r>
      <w:bookmarkEnd w:id="1080"/>
    </w:p>
    <w:p>
      <w:pPr>
        <w:pStyle w:val="FirstParagraph"/>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can collide with a retention floor only if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while cross-border records keep it, for at least the period the person’s right to learn who accessed their data requires and, on the deployment binding, for the rest of the floor.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 that transition, the per-entry nonce, consistency proofs and the accumulator layer are specified, not implemented.</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bookmarkEnd w:id="96"/>
    <w:bookmarkStart w:id="97" w:name="contributions"/>
    <w:p>
      <w:pPr>
        <w:pStyle w:val="Heading2"/>
      </w:pPr>
      <w:bookmarkStart w:id="1081" w:name="sec_7_2"/>
      <w:r>
        <w:t xml:space="preserve">7.2 Contributions</w:t>
      </w:r>
      <w:bookmarkEnd w:id="1081"/>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illustrated on a statute outside health (an instance generated by the thesis’s own code, which checks the code rather than independently confirming the proposition); Proposition 4 shows why relocation answers the ceiling and not the right. Both were checked over two hundred generated records, with violations under the first semantics and none under the second (their number is set by the generator), a separately written exhaustive search confirmed that under the first semantics no assignment of payload accessibility succeeds in the cases it covers, and a bounded SMT check found no counterexample to Propositions 1–3 within its bounds.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97"/>
    <w:bookmarkStart w:id="98" w:name="what-the-thesis-does-not-establish"/>
    <w:p>
      <w:pPr>
        <w:pStyle w:val="Heading2"/>
      </w:pPr>
      <w:bookmarkStart w:id="1082" w:name="sec_7_3"/>
      <w:r>
        <w:t xml:space="preserve">7.3 What the Thesis Does Not Establish</w:t>
      </w:r>
      <w:bookmarkEnd w:id="1082"/>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98"/>
    <w:bookmarkStart w:id="99" w:name="the-two-open-questions-of-authority"/>
    <w:p>
      <w:pPr>
        <w:pStyle w:val="Heading2"/>
      </w:pPr>
      <w:bookmarkStart w:id="1083" w:name="sec_7_4"/>
      <w:r>
        <w:t xml:space="preserve">7.4 The Two Open Questions of Authority</w:t>
      </w:r>
      <w:bookmarkEnd w:id="1083"/>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as does the conditional branch of Corollary 2.3;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99"/>
    <w:bookmarkStart w:id="100" w:name="future-work"/>
    <w:p>
      <w:pPr>
        <w:pStyle w:val="Heading2"/>
      </w:pPr>
      <w:bookmarkStart w:id="1084" w:name="sec_7_5"/>
      <w:r>
        <w:t xml:space="preserve">7.5 Future Work</w:t>
      </w:r>
      <w:bookmarkEnd w:id="1084"/>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would show the auditor the subject’s cross-border care history. The controller keeps the link to those records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problem is disclosing it to a third party in order to prove completeness. Proving completeness of invalidation without revealing the invalidated set is a zero-knowledge problem, and it corresponds to the fourth of the five open problems identified by Aikebaier (2026), composition with zero-knowledge selective disclosure. This is where succinct arguments may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suggests it may be necessary here, though alternatives are not excluded.</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0"/>
    <w:bookmarkStart w:id="101" w:name="closing"/>
    <w:p>
      <w:pPr>
        <w:pStyle w:val="Heading2"/>
      </w:pPr>
      <w:bookmarkStart w:id="1085" w:name="sec_7_6"/>
      <w:r>
        <w:t xml:space="preserve">7.6 Closing</w:t>
      </w:r>
      <w:bookmarkEnd w:id="1085"/>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1"/>
    <w:bookmarkEnd w:id="102"/>
    <w:bookmarkStart w:id="103" w:name="references"/>
    <w:p>
      <w:pPr>
        <w:pStyle w:val="Heading1"/>
      </w:pPr>
      <w:bookmarkStart w:id="1086" w:name="h_References"/>
      <w:r>
        <w:t xml:space="preserve">References</w:t>
      </w:r>
      <w:bookmarkEnd w:id="1086"/>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Ateniese, G., Chou, D. H., de Medeiros, B., &amp; Tsudik, G. (2005). Sanitizable signatures. In S. de Capitani di Vimercati, P. Syverson, &amp; D. Gollmann (Eds.),</w:t>
      </w:r>
      <w:r>
        <w:t xml:space="preserve"> </w:t>
      </w:r>
      <w:r>
        <w:rPr>
          <w:iCs/>
          <w:i/>
        </w:rPr>
        <w:t xml:space="preserve">Computer Security – ESORICS 2005</w:t>
      </w:r>
      <w:r>
        <w:t xml:space="preserve"> </w:t>
      </w:r>
      <w:r>
        <w:t xml:space="preserve">(LNCS 3679, pp. 159–177). Springer. https://doi.org/10.1007/11555827_10</w:t>
      </w:r>
    </w:p>
    <w:p>
      <w:pPr>
        <w:pStyle w:val="Bibliography"/>
      </w:pPr>
      <w:r>
        <w:t xml:space="preserve">Ateniese, G., Magri, B., Venturi, D., &amp; Andrade, E. R. (2017). Redactable blockchain – or – rewriting history in Bitcoin and friends. In</w:t>
      </w:r>
      <w:r>
        <w:t xml:space="preserve"> </w:t>
      </w:r>
      <w:r>
        <w:rPr>
          <w:iCs/>
          <w:i/>
        </w:rPr>
        <w:t xml:space="preserve">2017 IEEE European Symposium on Security and Privacy (EuroS&amp;P)</w:t>
      </w:r>
      <w:r>
        <w:t xml:space="preserve"> </w:t>
      </w:r>
      <w:r>
        <w:t xml:space="preserve">(pp. 111–126). IEEE. https://doi.org/10.1109/EuroSP.2017.37</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Derler, D., Samelin, K., Slamanig, D., &amp; Striecks, C. (2019). Fine-grained and controlled rewriting in blockchains: Chameleon-hashing gone attribute-based. In</w:t>
      </w:r>
      <w:r>
        <w:t xml:space="preserve"> </w:t>
      </w:r>
      <w:r>
        <w:rPr>
          <w:iCs/>
          <w:i/>
        </w:rPr>
        <w:t xml:space="preserve">Network and Distributed System Security Symposium (NDSS 2019)</w:t>
      </w:r>
      <w:r>
        <w:t xml:space="preserve">. Internet Society. https://doi.org/10.14722/ndss.2019.23066</w:t>
      </w:r>
    </w:p>
    <w:p>
      <w:pPr>
        <w:pStyle w:val="Bibliography"/>
      </w:pPr>
      <w:r>
        <w:t xml:space="preserve">Deuber, D., Magri, B., &amp; Thyagarajan, S. A. K. (2019). Redactable blockchain in the permissionless setting. In</w:t>
      </w:r>
      <w:r>
        <w:t xml:space="preserve"> </w:t>
      </w:r>
      <w:r>
        <w:rPr>
          <w:iCs/>
          <w:i/>
        </w:rPr>
        <w:t xml:space="preserve">2019 IEEE Symposium on Security and Privacy (SP)</w:t>
      </w:r>
      <w:r>
        <w:t xml:space="preserve"> </w:t>
      </w:r>
      <w:r>
        <w:t xml:space="preserve">(pp. 124–138). IEEE. https://doi.org/10.1109/SP.2019.00039</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Johnson, R., Molnar, D., Song, D., &amp; Wagner, D. (2002). Homomorphic signature schemes. In B. Preneel (Ed.),</w:t>
      </w:r>
      <w:r>
        <w:t xml:space="preserve"> </w:t>
      </w:r>
      <w:r>
        <w:rPr>
          <w:iCs/>
          <w:i/>
        </w:rPr>
        <w:t xml:space="preserve">Topics in Cryptology – CT-RSA 2002</w:t>
      </w:r>
      <w:r>
        <w:t xml:space="preserve"> </w:t>
      </w:r>
      <w:r>
        <w:t xml:space="preserve">(LNCS 2271, pp. 244–262). Springer. https://doi.org/10.1007/3-540-45760-7_17</w:t>
      </w:r>
    </w:p>
    <w:p>
      <w:pPr>
        <w:pStyle w:val="Bibliography"/>
      </w:pPr>
      <w:r>
        <w:t xml:space="preserve">Krawczyk, H., &amp; Rabin, T. (1998).</w:t>
      </w:r>
      <w:r>
        <w:t xml:space="preserve"> </w:t>
      </w:r>
      <w:r>
        <w:rPr>
          <w:iCs/>
          <w:i/>
        </w:rPr>
        <w:t xml:space="preserve">Chameleon hashing and signatures</w:t>
      </w:r>
      <w:r>
        <w:t xml:space="preserve"> </w:t>
      </w:r>
      <w:r>
        <w:t xml:space="preserve">(Cryptology ePrint Archive, Paper 1998/010; full version of the NDSS 2000 paper). https://eprint.iacr.org/1998/010</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OpenNCP Project. (2017).</w:t>
      </w:r>
      <w:r>
        <w:t xml:space="preserve"> </w:t>
      </w:r>
      <w:r>
        <w:rPr>
          <w:iCs/>
          <w:i/>
        </w:rPr>
        <w:t xml:space="preserve">OpenNCP</w:t>
      </w:r>
      <w:r>
        <w:t xml:space="preserve"> </w:t>
      </w:r>
      <w:r>
        <w:t xml:space="preserve">[Computer software; GitHub mirror of the epSOS/eHDSI source, commit c8a82d8, 21 April 2017]. GitHub. https://github.com/khypponen/openncp</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ibliography"/>
      </w:pPr>
      <w:r>
        <w:t xml:space="preserve">Politou, E., Casino, F., Alepis, E., &amp; Patsakis, C. (2021). Blockchain mutability: Challenges and proposed solutions.</w:t>
      </w:r>
      <w:r>
        <w:t xml:space="preserve"> </w:t>
      </w:r>
      <w:r>
        <w:rPr>
          <w:iCs/>
          <w:i/>
        </w:rPr>
        <w:t xml:space="preserve">IEEE Transactions on Emerging Topics in Computing, 9</w:t>
      </w:r>
      <w:r>
        <w:t xml:space="preserve">(4), 1972–1986. https://doi.org/10.1109/TETC.2019.2949510</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Sundhedsdatastyrelsen. (2026).</w:t>
      </w:r>
      <w:r>
        <w:t xml:space="preserve"> </w:t>
      </w:r>
      <w:r>
        <w:rPr>
          <w:iCs/>
          <w:i/>
        </w:rPr>
        <w:t xml:space="preserve">ehdsi</w:t>
      </w:r>
      <w:r>
        <w:t xml:space="preserve"> </w:t>
      </w:r>
      <w:r>
        <w:t xml:space="preserve">[Computer software; Danish NCPeH deployment of OpenNCP 9.1.0, commit 61094e6, 28 September 2026]. GitHub. https://github.com/Sundhedsdatastyrelsen/ehdsi</w:t>
      </w:r>
    </w:p>
    <w:p>
      <w:pPr>
        <w:pStyle w:val="Bibliography"/>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ibliography"/>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3"/>
    <w:bookmarkStart w:id="130" w:name="Xf671d6a047e29416c79aabf8b10d80280f04f69"/>
    <w:p>
      <w:pPr>
        <w:pStyle w:val="Heading1"/>
      </w:pPr>
      <w:bookmarkStart w:id="1087" w:name="app_A"/>
      <w:r>
        <w:t xml:space="preserve">Appendix A. Code Artefacts and Reproduction Record</w:t>
      </w:r>
      <w:bookmarkEnd w:id="1087"/>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3–4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04"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seven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presents six tabs. Tab 1 runs the thesis configuration, reproduces </w:t>
      </w:r>
      <w:hyperlink w:anchor="tbl_5_3" w:history="1">
        <w:r>
          <w:rPr>
            <w:rStyle w:val="Hyperlink"/>
          </w:rPr>
          <w:t xml:space="preserve">Tables 5.3</w:t>
        </w:r>
      </w:hyperlink>
      <w:r>
        <w:t xml:space="preserve"> and 5.6, and shows the audit-log integrity check and both tamper tests of </w:t>
      </w:r>
      <w:hyperlink w:anchor="sec_5_7" w:history="1">
        <w:r>
          <w:rPr>
            <w:rStyle w:val="Hyperlink"/>
          </w:rPr>
          <w:t xml:space="preserve">Section 5.7</w:t>
        </w:r>
      </w:hyperlink>
      <w:r>
        <w:t xml:space="preserve">. Tab 2 varies population parameters as a teaching aid and is explicitly outside the thesis claims. Tab 3 runs the realism layer and reproduces </w:t>
      </w:r>
      <w:hyperlink w:anchor="tbl_5_7" w:history="1">
        <w:r>
          <w:rPr>
            <w:rStyle w:val="Hyperlink"/>
          </w:rPr>
          <w:t xml:space="preserve">Table 5.7</w:t>
        </w:r>
      </w:hyperlink>
      <w:r>
        <w:t xml:space="preserve">. Tab 4 runs the Norwegian context modules, which are illustrative and report no thesis figure. Tab 5 runs the robustness checks: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 Tab 6 evaluates the condition of Proposition 3 for any floor and ceiling, with Article 68(12) and politiregisterloven § 17 as presets.</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4"/>
    <w:bookmarkStart w:id="105"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533</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Six-tab demonstration viewer over the artefact, never a source of results</w:t>
            </w:r>
          </w:p>
        </w:tc>
        <w:tc>
          <w:tcPr/>
          <w:p>
            <w:pPr>
              <w:pStyle w:val="Compact"/>
              <w:jc w:val="left"/>
            </w:pPr>
            <w:r>
              <w:rPr>
                <w:sz w:val="20"/>
                <w:szCs w:val="20"/>
              </w:rPr>
              <w:t xml:space="preserve">671</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Optional: bounded SMT check of Propositions 1–3 with the Z3 solver; needs the</w:t>
            </w:r>
            <w:r>
              <w:rPr>
                <w:sz w:val="20"/>
                <w:szCs w:val="20"/>
              </w:rPr>
              <w:t xml:space="preserve"> </w:t>
            </w:r>
            <w:r>
              <w:rPr>
                <w:rStyle w:val="VerbatimChar"/>
                <w:sz w:val="20"/>
                <w:szCs w:val="20"/>
              </w:rPr>
              <w:t xml:space="preserve">z3-solver</w:t>
            </w:r>
            <w:r>
              <w:rPr>
                <w:sz w:val="20"/>
                <w:szCs w:val="20"/>
              </w:rPr>
              <w:t xml:space="preserve"> </w:t>
            </w:r>
            <w:r>
              <w:rPr>
                <w:sz w:val="20"/>
                <w:szCs w:val="20"/>
              </w:rPr>
              <w:t xml:space="preserve">package</w:t>
            </w:r>
          </w:p>
        </w:tc>
        <w:tc>
          <w:tcPr/>
          <w:p>
            <w:pPr>
              <w:pStyle w:val="Compact"/>
              <w:jc w:val="left"/>
            </w:pPr>
            <w:r>
              <w:rPr>
                <w:sz w:val="20"/>
                <w:szCs w:val="20"/>
              </w:rPr>
              <w:t xml:space="preserve">153</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streamlit&gt;=1.30</w:t>
            </w:r>
            <w:r>
              <w:rPr>
                <w:sz w:val="20"/>
                <w:szCs w:val="20"/>
              </w:rPr>
              <w:t xml:space="preserve">; the checker itself needs nothing</w:t>
            </w:r>
          </w:p>
        </w:tc>
        <w:tc>
          <w:tcPr/>
          <w:p>
            <w:pPr>
              <w:pStyle w:val="Compact"/>
              <w:jc w:val="left"/>
            </w:pPr>
            <w:r>
              <w:rPr>
                <w:sz w:val="20"/>
                <w:szCs w:val="20"/>
              </w:rPr>
              <w:t xml:space="preserve">1</w:t>
            </w:r>
          </w:p>
        </w:tc>
      </w:tr>
      <w:tr>
        <w:trPr>
          <w:cantSplit/>
        </w:trPr>
        <w:tc>
          <w:tcPr/>
          <w:p>
            <w:pPr>
              <w:pStyle w:val="Compact"/>
              <w:jc w:val="left"/>
            </w:pPr>
            <w:r>
              <w:rPr>
                <w:rStyle w:val="VerbatimChar"/>
                <w:sz w:val="20"/>
                <w:szCs w:val="20"/>
              </w:rPr>
              <w:t xml:space="preserve">build_substrate_patch1.py</w:t>
            </w:r>
            <w:r>
              <w:rPr>
                <w:sz w:val="20"/>
                <w:szCs w:val="20"/>
              </w:rPr>
              <w:t xml:space="preserve">,</w:t>
            </w:r>
            <w:r>
              <w:rPr>
                <w:sz w:val="20"/>
                <w:szCs w:val="20"/>
              </w:rPr>
              <w:t xml:space="preserve"> </w:t>
            </w:r>
            <w:r>
              <w:rPr>
                <w:rStyle w:val="VerbatimChar"/>
                <w:sz w:val="20"/>
                <w:szCs w:val="20"/>
              </w:rPr>
              <w:t xml:space="preserve">build_substrate_patch2.py</w:t>
            </w:r>
          </w:p>
        </w:tc>
        <w:tc>
          <w:tcPr/>
          <w:p>
            <w:pPr>
              <w:pStyle w:val="Compact"/>
              <w:jc w:val="left"/>
            </w:pPr>
            <w:r>
              <w:rPr>
                <w:sz w:val="20"/>
                <w:szCs w:val="20"/>
              </w:rPr>
              <w:t xml:space="preserve">Generators for the research-substrate patch workbooks; no thesis result depends on them</w:t>
            </w:r>
          </w:p>
        </w:tc>
        <w:tc>
          <w:tcPr/>
          <w:p>
            <w:pPr>
              <w:pStyle w:val="Compact"/>
              <w:jc w:val="left"/>
            </w:pPr>
            <w:r>
              <w:rPr>
                <w:sz w:val="20"/>
                <w:szCs w:val="20"/>
              </w:rPr>
              <w:t xml:space="preserve">—</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05"/>
    <w:bookmarkStart w:id="106"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06"/>
    <w:bookmarkStart w:id="107"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07"/>
    <w:bookmarkStart w:id="108"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bookmarkEnd w:id="108"/>
    <w:bookmarkStart w:id="111" w:name="a.6-what-the-code-does"/>
    <w:p>
      <w:pPr>
        <w:pStyle w:val="Heading2"/>
      </w:pPr>
      <w:r>
        <w:t xml:space="preserve">A.6 What the code does</w:t>
      </w:r>
    </w:p>
    <w:bookmarkStart w:id="109"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09"/>
    <w:bookmarkStart w:id="110"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bookmarkEnd w:id="110"/>
    <w:bookmarkEnd w:id="111"/>
    <w:bookmarkStart w:id="112"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2"/>
    <w:bookmarkStart w:id="113"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both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3"/>
    <w:bookmarkStart w:id="114"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14"/>
    <w:bookmarkStart w:id="115"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5"/>
    <w:bookmarkStart w:id="116"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6"/>
    <w:bookmarkStart w:id="117"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17"/>
    <w:bookmarkStart w:id="118"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8"/>
    <w:bookmarkStart w:id="119" w:name="a.14-source-listing-app.py"/>
    <w:p>
      <w:pPr>
        <w:pStyle w:val="Heading2"/>
      </w:pPr>
      <w:r>
        <w:t xml:space="preserve">A.14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5.7.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"with an explorer for Proposition 3.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tab6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     </w:t>
      </w:r>
      <w:r>
        <w:rPr>
          <w:rStyle w:val="StringTok"/>
        </w:rPr>
        <w:t xml:space="preserve">"Where the ceiling is anchored"</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5.3 and 5.6, "</w:t>
      </w:r>
      <w:r>
        <w:br/>
      </w:r>
      <w:r>
        <w:rPr>
          <w:rStyle w:val="NormalTok"/>
        </w:rPr>
        <w:t xml:space="preserve">        </w:t>
      </w:r>
      <w:r>
        <w:rPr>
          <w:rStyle w:val="StringTok"/>
        </w:rPr>
        <w:t xml:space="preserve">"and the audit-log integrity check of Section 5.7.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5.3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on the broad reading of "</w:t>
      </w:r>
      <w:r>
        <w:br/>
      </w:r>
      <w:r>
        <w:rPr>
          <w:rStyle w:val="NormalTok"/>
        </w:rPr>
        <w:t xml:space="preserve">            </w:t>
      </w:r>
      <w:r>
        <w:rPr>
          <w:rStyle w:val="StringTok"/>
        </w:rPr>
        <w:t xml:space="preserve">"Article 68(12) and for logs kept at patient-record granularity "</w:t>
      </w:r>
      <w:r>
        <w:br/>
      </w:r>
      <w:r>
        <w:rPr>
          <w:rStyle w:val="NormalTok"/>
        </w:rPr>
        <w:t xml:space="preserve">            </w:t>
      </w:r>
      <w:r>
        <w:rPr>
          <w:rStyle w:val="StringTok"/>
        </w:rPr>
        <w:t xml:space="preserve">"(Chapter 4, Section 4.6). On the narrow reading these witnesses lapse."</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5.6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st.markdown(</w:t>
      </w:r>
      <w:r>
        <w:rPr>
          <w:rStyle w:val="StringTok"/>
        </w:rPr>
        <w:t xml:space="preserve">"**Audit-log integrity — Chapter 5, Section 5.7**"</w:t>
      </w:r>
      <w:r>
        <w:rPr>
          <w:rStyle w:val="NormalTok"/>
        </w:rPr>
        <w:t xml:space="preserve">)</w:t>
      </w:r>
      <w:r>
        <w:br/>
      </w:r>
      <w:r>
        <w:rPr>
          <w:rStyle w:val="NormalTok"/>
        </w:rPr>
        <w:t xml:space="preserve">        st.write(</w:t>
      </w:r>
      <w:r>
        <w:br/>
      </w:r>
      <w:r>
        <w:rPr>
          <w:rStyle w:val="NormalTok"/>
        </w:rPr>
        <w:t xml:space="preserve">            </w:t>
      </w:r>
      <w:r>
        <w:rPr>
          <w:rStyle w:val="StringTok"/>
        </w:rPr>
        <w:t xml:space="preserve">"Every access, invalidation and subject-link removal is a leaf of an "</w:t>
      </w:r>
      <w:r>
        <w:br/>
      </w:r>
      <w:r>
        <w:rPr>
          <w:rStyle w:val="NormalTok"/>
        </w:rPr>
        <w:t xml:space="preserve">            </w:t>
      </w:r>
      <w:r>
        <w:rPr>
          <w:rStyle w:val="StringTok"/>
        </w:rPr>
        <w:t xml:space="preserve">"append-only Merkle log (RFC 6962 hashing). A record counts as verifiable "</w:t>
      </w:r>
      <w:r>
        <w:br/>
      </w:r>
      <w:r>
        <w:rPr>
          <w:rStyle w:val="NormalTok"/>
        </w:rPr>
        <w:t xml:space="preserve">            </w:t>
      </w:r>
      <w:r>
        <w:rPr>
          <w:rStyle w:val="StringTok"/>
        </w:rPr>
        <w:t xml:space="preserve">"under Semantics II only if each of its entries passes an inclusion proof "</w:t>
      </w:r>
      <w:r>
        <w:br/>
      </w:r>
      <w:r>
        <w:rPr>
          <w:rStyle w:val="NormalTok"/>
        </w:rPr>
        <w:t xml:space="preserve">            </w:t>
      </w:r>
      <w:r>
        <w:rPr>
          <w:rStyle w:val="StringTok"/>
        </w:rPr>
        <w:t xml:space="preserve">"against the log root. Leaves hold the accessor fields and the commitment, "</w:t>
      </w:r>
      <w:r>
        <w:br/>
      </w:r>
      <w:r>
        <w:rPr>
          <w:rStyle w:val="NormalTok"/>
        </w:rPr>
        <w:t xml:space="preserve">            </w:t>
      </w:r>
      <w:r>
        <w:rPr>
          <w:rStyle w:val="StringTok"/>
        </w:rPr>
        <w:t xml:space="preserve">"never the payload or the patient link, so the log never needs erasing."</w:t>
      </w:r>
      <w:r>
        <w:br/>
      </w:r>
      <w:r>
        <w:rPr>
          <w:rStyle w:val="NormalTok"/>
        </w:rPr>
        <w:t xml:space="preserve">        )</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trf.integrity(r)[</w:t>
      </w:r>
      <w:r>
        <w:rPr>
          <w:rStyle w:val="DecValTok"/>
        </w:rPr>
        <w:t xml:space="preserve">0</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br/>
      </w:r>
      <w:r>
        <w:rPr>
          <w:rStyle w:val="NormalTok"/>
        </w:rPr>
        <w:t xml:space="preserve">        ok_t, why_t </w:t>
      </w:r>
      <w:r>
        <w:rPr>
          <w:rStyle w:val="OperatorTok"/>
        </w:rPr>
        <w:t xml:space="preserve">=</w:t>
      </w:r>
      <w:r>
        <w:rPr>
          <w:rStyle w:val="NormalTok"/>
        </w:rPr>
        <w:t xml:space="preserve"> trf.V_II(demo,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br/>
      </w:r>
      <w:r>
        <w:rPr>
          <w:rStyle w:val="NormalTok"/>
        </w:rPr>
        <w:t xml:space="preserve">        ok_g, why_g </w:t>
      </w:r>
      <w:r>
        <w:rPr>
          <w:rStyle w:val="OperatorTok"/>
        </w:rPr>
        <w:t xml:space="preserve">=</w:t>
      </w:r>
      <w:r>
        <w:rPr>
          <w:rStyle w:val="NormalTok"/>
        </w:rPr>
        <w:t xml:space="preserve"> trf.V_II(demo,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ok_r </w:t>
      </w:r>
      <w:r>
        <w:rPr>
          <w:rStyle w:val="OperatorTok"/>
        </w:rPr>
        <w:t xml:space="preserve">=</w:t>
      </w:r>
      <w:r>
        <w:rPr>
          <w:rStyle w:val="NormalTok"/>
        </w:rPr>
        <w:t xml:space="preserve"> trf.V_II(demo, demo.t_a)[</w:t>
      </w:r>
      <w:r>
        <w:rPr>
          <w:rStyle w:val="DecValTok"/>
        </w:rPr>
        <w:t xml:space="preserve">0</w:t>
      </w:r>
      <w:r>
        <w:rPr>
          <w:rStyle w:val="NormalTok"/>
        </w:rPr>
        <w:t xml:space="preserve">]</w:t>
      </w:r>
      <w:r>
        <w:br/>
      </w:r>
      <w:r>
        <w:rPr>
          <w:rStyle w:val="NormalTok"/>
        </w:rPr>
        <w:t xml:space="preserve">        i1, i2, i3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i1.metric(</w:t>
      </w:r>
      <w:r>
        <w:rPr>
          <w:rStyle w:val="StringTok"/>
        </w:rPr>
        <w:t xml:space="preserve">"Records verifying"</w:t>
      </w:r>
      <w:r>
        <w:rPr>
          <w:rStyle w:val="NormalTok"/>
        </w:rPr>
        <w:t xml:space="preserve">, </w:t>
      </w:r>
      <w:r>
        <w:rPr>
          <w:rStyle w:val="SpecialStringTok"/>
        </w:rPr>
        <w:t xml:space="preserve">f"</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i2.metric(</w:t>
      </w:r>
      <w:r>
        <w:rPr>
          <w:rStyle w:val="StringTok"/>
        </w:rPr>
        <w:t xml:space="preserve">"Tamper: actor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ok_t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i3.metric(</w:t>
      </w:r>
      <w:r>
        <w:rPr>
          <w:rStyle w:val="StringTok"/>
        </w:rPr>
        <w:t xml:space="preserve">"Tamper: ground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ok_g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st.code(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R-008 -&gt; R-999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-&gt; 'none'    :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f"after restoring both          : V_II=</w:t>
      </w:r>
      <w:r>
        <w:rPr>
          <w:rStyle w:val="SpecialCharTok"/>
        </w:rPr>
        <w:t xml:space="preserve">{</w:t>
      </w:r>
      <w:r>
        <w:rPr>
          <w:rStyle w:val="NormalTok"/>
        </w:rPr>
        <w:t xml:space="preserve">ok_r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br/>
      </w:r>
      <w:r>
        <w:rPr>
          <w:rStyle w:val="NormalTok"/>
        </w:rPr>
        <w:t xml:space="preserve">                </w:t>
      </w:r>
      <w:r>
        <w:rPr>
          <w:rStyle w:val="KeywordTok"/>
        </w:rPr>
        <w:t xml:space="preserve">and</w:t>
      </w:r>
      <w:r>
        <w:rPr>
          <w:rStyle w:val="NormalTok"/>
        </w:rPr>
        <w:t xml:space="preserve"> n_ok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w:t>
      </w:r>
      <w:r>
        <w:rPr>
          <w:rStyle w:val="KeywordTok"/>
        </w:rPr>
        <w:t xml:space="preserve">not</w:t>
      </w:r>
      <w:r>
        <w:rPr>
          <w:rStyle w:val="NormalTok"/>
        </w:rPr>
        <w:t xml:space="preserve"> ok_t </w:t>
      </w:r>
      <w:r>
        <w:rPr>
          <w:rStyle w:val="KeywordTok"/>
        </w:rPr>
        <w:t xml:space="preserve">and</w:t>
      </w:r>
      <w:r>
        <w:rPr>
          <w:rStyle w:val="NormalTok"/>
        </w:rPr>
        <w:t xml:space="preserve"> </w:t>
      </w:r>
      <w:r>
        <w:rPr>
          <w:rStyle w:val="KeywordTok"/>
        </w:rPr>
        <w:t xml:space="preserve">not</w:t>
      </w:r>
      <w:r>
        <w:rPr>
          <w:rStyle w:val="NormalTok"/>
        </w:rPr>
        <w:t xml:space="preserve"> ok_g </w:t>
      </w:r>
      <w:r>
        <w:rPr>
          <w:rStyle w:val="KeywordTok"/>
        </w:rPr>
        <w:t xml:space="preserve">and</w:t>
      </w:r>
      <w:r>
        <w:rPr>
          <w:rStyle w:val="NormalTok"/>
        </w:rPr>
        <w:t xml:space="preserve"> ok_r):</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 200/200 records verifying, both tamper tests failing."</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5.7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§5.5, §5.6 and §5.8)</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§5.5**"</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§5.6**"</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§5.6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"**Real envelope encryption — optional module, Chapter 5 §5.8**"</w:t>
      </w:r>
      <w:r>
        <w:rPr>
          <w:rStyle w:val="NormalTok"/>
        </w:rPr>
        <w:t xml:space="preserve">)</w:t>
      </w:r>
      <w:r>
        <w:br/>
      </w:r>
      <w:r>
        <w:rPr>
          <w:rStyle w:val="NormalTok"/>
        </w:rPr>
        <w:t xml:space="preserve">    st.write(</w:t>
      </w:r>
      <w:r>
        <w:br/>
      </w:r>
      <w:r>
        <w:rPr>
          <w:rStyle w:val="NormalTok"/>
        </w:rPr>
        <w:t xml:space="preserve">        </w:t>
      </w:r>
      <w:r>
        <w:rPr>
          <w:rStyle w:val="StringTok"/>
        </w:rPr>
        <w:t xml:space="preserve">"The checker models key destruction as removing a reference. This module "</w:t>
      </w:r>
      <w:r>
        <w:br/>
      </w:r>
      <w:r>
        <w:rPr>
          <w:rStyle w:val="NormalTok"/>
        </w:rPr>
        <w:t xml:space="preserve">        </w:t>
      </w:r>
      <w:r>
        <w:rPr>
          <w:rStyle w:val="StringTok"/>
        </w:rPr>
        <w:t xml:space="preserve">"repeats the lifecycle with real AES-256-GCM: each record under its own data "</w:t>
      </w:r>
      <w:r>
        <w:br/>
      </w:r>
      <w:r>
        <w:rPr>
          <w:rStyle w:val="NormalTok"/>
        </w:rPr>
        <w:t xml:space="preserve">        </w:t>
      </w:r>
      <w:r>
        <w:rPr>
          <w:rStyle w:val="StringTok"/>
        </w:rPr>
        <w:t xml:space="preserve">"key, each data key wrapped under a key-encrypting key, and the wrapped key "</w:t>
      </w:r>
      <w:r>
        <w:br/>
      </w:r>
      <w:r>
        <w:rPr>
          <w:rStyle w:val="NormalTok"/>
        </w:rPr>
        <w:t xml:space="preserve">        </w:t>
      </w:r>
      <w:r>
        <w:rPr>
          <w:rStyle w:val="StringTok"/>
        </w:rPr>
        <w:t xml:space="preserve">"destroyed at the record's invalidation month. Keys are random on every run; "</w:t>
      </w:r>
      <w:r>
        <w:br/>
      </w:r>
      <w:r>
        <w:rPr>
          <w:rStyle w:val="NormalTok"/>
        </w:rPr>
        <w:t xml:space="preserve">        </w:t>
      </w:r>
      <w:r>
        <w:rPr>
          <w:rStyle w:val="StringTok"/>
        </w:rPr>
        <w:t xml:space="preserve">"the counts are not."</w:t>
      </w:r>
      <w:r>
        <w:br/>
      </w:r>
      <w:r>
        <w:rPr>
          <w:rStyle w:val="NormalTok"/>
        </w:rPr>
        <w:t xml:space="preserve">    )</w:t>
      </w:r>
      <w:r>
        <w:br/>
      </w:r>
      <w:r>
        <w:rPr>
          <w:rStyle w:val="NormalTok"/>
        </w:rPr>
        <w:t xml:space="preserve">    </w:t>
      </w:r>
      <w:r>
        <w:rPr>
          <w:rStyle w:val="ControlFlowTok"/>
        </w:rPr>
        <w:t xml:space="preserve">if</w:t>
      </w:r>
      <w:r>
        <w:rPr>
          <w:rStyle w:val="NormalTok"/>
        </w:rPr>
        <w:t xml:space="preserve"> st.button(</w:t>
      </w:r>
      <w:r>
        <w:rPr>
          <w:rStyle w:val="StringTok"/>
        </w:rPr>
        <w:t xml:space="preserve">"Run envelope encryption"</w:t>
      </w:r>
      <w:r>
        <w:rPr>
          <w:rStyle w:val="NormalTok"/>
        </w:rPr>
        <w:t xml:space="preserve">, key</w:t>
      </w:r>
      <w:r>
        <w:rPr>
          <w:rStyle w:val="OperatorTok"/>
        </w:rPr>
        <w:t xml:space="preserve">=</w:t>
      </w:r>
      <w:r>
        <w:rPr>
          <w:rStyle w:val="StringTok"/>
        </w:rPr>
        <w:t xml:space="preserve">"run_crypto"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crypto_envelope </w:t>
      </w:r>
      <w:r>
        <w:rPr>
          <w:rStyle w:val="ImportTok"/>
        </w:rPr>
        <w:t xml:space="preserve">as</w:t>
      </w:r>
      <w:r>
        <w:rPr>
          <w:rStyle w:val="NormalTok"/>
        </w:rPr>
        <w:t xml:space="preserve"> ce</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"Encrypting 200 records, destroying keys, decrypting ..."</w:t>
      </w:r>
      <w:r>
        <w:rPr>
          <w:rStyle w:val="NormalTok"/>
        </w:rPr>
        <w:t xml:space="preserve">):</w:t>
      </w:r>
      <w:r>
        <w:br/>
      </w:r>
      <w:r>
        <w:rPr>
          <w:rStyle w:val="NormalTok"/>
        </w:rPr>
        <w:t xml:space="preserve">                recs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ce.Custody()</w:t>
      </w:r>
      <w:r>
        <w:br/>
      </w:r>
      <w:r>
        <w:rPr>
          <w:rStyle w:val="NormalTok"/>
        </w:rPr>
        <w:t xml:space="preserve">                store </w:t>
      </w:r>
      <w:r>
        <w:rPr>
          <w:rStyle w:val="OperatorTok"/>
        </w:rPr>
        <w:t xml:space="preserve">=</w:t>
      </w:r>
      <w:r>
        <w:rPr>
          <w:rStyle w:val="NormalTok"/>
        </w:rPr>
        <w:t xml:space="preserve"> {r.rid: ce.encrypt(custody,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inval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w:t>
      </w:r>
      <w:r>
        <w:br/>
      </w:r>
      <w:r>
        <w:rPr>
          <w:rStyle w:val="NormalTok"/>
        </w:rPr>
        <w:t xml:space="preserve">                    custody.destroy(r.rid)</w:t>
      </w:r>
      <w:r>
        <w:br/>
      </w:r>
      <w:r>
        <w:rPr>
          <w:rStyle w:val="NormalTok"/>
        </w:rPr>
        <w:t xml:space="preserve">                readable </w:t>
      </w:r>
      <w:r>
        <w:rPr>
          <w:rStyle w:val="OperatorTok"/>
        </w:rPr>
        <w:t xml:space="preserve">=</w:t>
      </w:r>
      <w:r>
        <w:rPr>
          <w:rStyle w:val="NormalTok"/>
        </w:rPr>
        <w:t xml:space="preserve"> refused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try</w:t>
      </w:r>
      <w:r>
        <w:rPr>
          <w:rStyle w:val="NormalTok"/>
        </w:rPr>
        <w:t xml:space="preserve">:</w:t>
      </w:r>
      <w:r>
        <w:br/>
      </w:r>
      <w:r>
        <w:rPr>
          <w:rStyle w:val="NormalTok"/>
        </w:rPr>
        <w:t xml:space="preserve">                        ce.decrypt(custody,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e1, e2, e3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e1.metric(</w:t>
      </w:r>
      <w:r>
        <w:rPr>
          <w:rStyle w:val="StringTok"/>
        </w:rPr>
        <w:t xml:space="preserve">"Records encrypted"</w:t>
      </w:r>
      <w:r>
        <w:rPr>
          <w:rStyle w:val="NormalTok"/>
        </w:rPr>
        <w:t xml:space="preserve">, </w:t>
      </w:r>
      <w:r>
        <w:rPr>
          <w:rStyle w:val="BuiltInTok"/>
        </w:rPr>
        <w:t xml:space="preserve">len</w:t>
      </w:r>
      <w:r>
        <w:rPr>
          <w:rStyle w:val="NormalTok"/>
        </w:rPr>
        <w:t xml:space="preserve">(recs))</w:t>
      </w:r>
      <w:r>
        <w:br/>
      </w:r>
      <w:r>
        <w:rPr>
          <w:rStyle w:val="NormalTok"/>
        </w:rPr>
        <w:t xml:space="preserve">            e2.metric(</w:t>
      </w:r>
      <w:r>
        <w:rPr>
          <w:rStyle w:val="StringTok"/>
        </w:rPr>
        <w:t xml:space="preserve">"Refused after key destruction"</w:t>
      </w:r>
      <w:r>
        <w:rPr>
          <w:rStyle w:val="NormalTok"/>
        </w:rPr>
        <w:t xml:space="preserve">, refused)</w:t>
      </w:r>
      <w:r>
        <w:br/>
      </w:r>
      <w:r>
        <w:rPr>
          <w:rStyle w:val="NormalTok"/>
        </w:rPr>
        <w:t xml:space="preserve">            e3.metric(</w:t>
      </w:r>
      <w:r>
        <w:rPr>
          <w:rStyle w:val="StringTok"/>
        </w:rPr>
        <w:t xml:space="preserve">"Still readable"</w:t>
      </w:r>
      <w:r>
        <w:rPr>
          <w:rStyle w:val="NormalTok"/>
        </w:rPr>
        <w:t xml:space="preserve">, readable)</w:t>
      </w:r>
      <w:r>
        <w:br/>
      </w:r>
      <w:r>
        <w:rPr>
          <w:rStyle w:val="NormalTok"/>
        </w:rPr>
        <w:t xml:space="preserve">            </w:t>
      </w:r>
      <w:r>
        <w:rPr>
          <w:rStyle w:val="ControlFlowTok"/>
        </w:rPr>
        <w:t xml:space="preserve">if</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 </w:t>
      </w:r>
      <w:r>
        <w:rPr>
          <w:rStyle w:val="OperatorTok"/>
        </w:rPr>
        <w:t xml:space="preserve">==</w:t>
      </w:r>
      <w:r>
        <w:rPr>
          <w:rStyle w:val="NormalTok"/>
        </w:rPr>
        <w:t xml:space="preserve"> </w:t>
      </w:r>
      <w:r>
        <w:rPr>
          <w:rStyle w:val="DecValTok"/>
        </w:rPr>
        <w:t xml:space="preserve">138</w:t>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DecValTok"/>
        </w:rPr>
        <w:t xml:space="preserve">62</w:t>
      </w:r>
      <w:r>
        <w:rPr>
          <w:rStyle w:val="NormalTok"/>
        </w:rPr>
        <w:t xml:space="preserve">:</w:t>
      </w:r>
      <w:r>
        <w:br/>
      </w:r>
      <w:r>
        <w:rPr>
          <w:rStyle w:val="NormalTok"/>
        </w:rPr>
        <w:t xml:space="preserve">                st.success(</w:t>
      </w:r>
      <w:r>
        <w:br/>
      </w:r>
      <w:r>
        <w:rPr>
          <w:rStyle w:val="NormalTok"/>
        </w:rPr>
        <w:t xml:space="preserve">                    </w:t>
      </w:r>
      <w:r>
        <w:rPr>
          <w:rStyle w:val="StringTok"/>
        </w:rPr>
        <w:t xml:space="preserve">"Exactly the 138 invalidated records refuse to decrypt and the "</w:t>
      </w:r>
      <w:r>
        <w:br/>
      </w:r>
      <w:r>
        <w:rPr>
          <w:rStyle w:val="NormalTok"/>
        </w:rPr>
        <w:t xml:space="preserve">                    </w:t>
      </w:r>
      <w:r>
        <w:rPr>
          <w:rStyle w:val="StringTok"/>
        </w:rPr>
        <w:t xml:space="preserve">"other 62 read, as Appendix A.22 records. Unreadability follows "</w:t>
      </w:r>
      <w:r>
        <w:br/>
      </w:r>
      <w:r>
        <w:rPr>
          <w:rStyle w:val="NormalTok"/>
        </w:rPr>
        <w:t xml:space="preserve">                    </w:t>
      </w:r>
      <w:r>
        <w:rPr>
          <w:rStyle w:val="StringTok"/>
        </w:rPr>
        <w:t xml:space="preserve">"from destruction; that destruction happened in hardware is still "</w:t>
      </w:r>
      <w:r>
        <w:br/>
      </w:r>
      <w:r>
        <w:rPr>
          <w:rStyle w:val="NormalTok"/>
        </w:rPr>
        <w:t xml:space="preserve">                    </w:t>
      </w:r>
      <w:r>
        <w:rPr>
          <w:rStyle w:val="StringTok"/>
        </w:rPr>
        <w:t xml:space="preserve">"an attestation (Chapter 6, Section 6.3)."</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tringTok"/>
        </w:rPr>
        <w:t xml:space="preserve">"Counts differ from Appendix A.22. Investigate before citing."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st.info(</w:t>
      </w:r>
      <w:r>
        <w:rPr>
          <w:rStyle w:val="StringTok"/>
        </w:rPr>
        <w:t xml:space="preserve">"The `cryptography` package is not installed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and it does not implement the terminal "</w:t>
      </w:r>
      <w:r>
        <w:br/>
      </w:r>
      <w:r>
        <w:rPr>
          <w:rStyle w:val="NormalTok"/>
        </w:rPr>
        <w:t xml:space="preserve">        </w:t>
      </w:r>
      <w:r>
        <w:rPr>
          <w:rStyle w:val="StringTok"/>
        </w:rPr>
        <w:t xml:space="preserve">"transition at floor expiry. Key destruction is simulated by removing a "</w:t>
      </w:r>
      <w:r>
        <w:br/>
      </w:r>
      <w:r>
        <w:rPr>
          <w:rStyle w:val="NormalTok"/>
        </w:rPr>
        <w:t xml:space="preserve">        </w:t>
      </w:r>
      <w:r>
        <w:rPr>
          <w:rStyle w:val="StringTok"/>
        </w:rPr>
        <w:t xml:space="preserve">"reference in program state, or in the optional module by discarding a "</w:t>
      </w:r>
      <w:r>
        <w:br/>
      </w:r>
      <w:r>
        <w:rPr>
          <w:rStyle w:val="NormalTok"/>
        </w:rPr>
        <w:t xml:space="preserve">        </w:t>
      </w:r>
      <w:r>
        <w:rPr>
          <w:rStyle w:val="StringTok"/>
        </w:rPr>
        <w:t xml:space="preserve">"wrapped key in memory: either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§5.8 and Chapter 6 state these limits in full."</w:t>
      </w:r>
      <w:r>
        <w:br/>
      </w:r>
      <w:r>
        <w:rPr>
          <w:rStyle w:val="NormalTok"/>
        </w:rPr>
        <w:t xml:space="preserve">    )</w:t>
      </w:r>
      <w:r>
        <w:br/>
      </w:r>
      <w:r>
        <w:br/>
      </w:r>
      <w:r>
        <w:br/>
      </w:r>
      <w:r>
        <w:br/>
      </w:r>
      <w:r>
        <w:rPr>
          <w:rStyle w:val="CommentTok"/>
        </w:rPr>
        <w:t xml:space="preserve"># ----------------------------------------------------------------------</w:t>
      </w:r>
      <w:r>
        <w:br/>
      </w:r>
      <w:r>
        <w:rPr>
          <w:rStyle w:val="CommentTok"/>
        </w:rPr>
        <w:t xml:space="preserve"># Tab 6 — Proposition 3: where the ceiling is anchored (Chapter 4, Section 4.6)</w:t>
      </w:r>
      <w:r>
        <w:br/>
      </w:r>
      <w:r>
        <w:rPr>
          <w:rStyle w:val="CommentTok"/>
        </w:rPr>
        <w:t xml:space="preserve"># ----------------------------------------------------------------------</w:t>
      </w:r>
      <w:r>
        <w:br/>
      </w:r>
      <w:r>
        <w:br/>
      </w:r>
      <w:r>
        <w:rPr>
          <w:rStyle w:val="ControlFlowTok"/>
        </w:rPr>
        <w:t xml:space="preserve">with</w:t>
      </w:r>
      <w:r>
        <w:rPr>
          <w:rStyle w:val="NormalTok"/>
        </w:rPr>
        <w:t xml:space="preserve"> tab6:</w:t>
      </w:r>
      <w:r>
        <w:br/>
      </w:r>
      <w:r>
        <w:rPr>
          <w:rStyle w:val="NormalTok"/>
        </w:rPr>
        <w:t xml:space="preserve">    st.subheader(</w:t>
      </w:r>
      <w:r>
        <w:rPr>
          <w:rStyle w:val="StringTok"/>
        </w:rPr>
        <w:t xml:space="preserve">"Where the ceiling is anchored — Proposition 3"</w:t>
      </w:r>
      <w:r>
        <w:rPr>
          <w:rStyle w:val="NormalTok"/>
        </w:rPr>
        <w:t xml:space="preserve">)</w:t>
      </w:r>
      <w:r>
        <w:br/>
      </w:r>
      <w:r>
        <w:rPr>
          <w:rStyle w:val="NormalTok"/>
        </w:rPr>
        <w:t xml:space="preserve">    st.write(</w:t>
      </w:r>
      <w:r>
        <w:br/>
      </w:r>
      <w:r>
        <w:rPr>
          <w:rStyle w:val="NormalTok"/>
        </w:rPr>
        <w:t xml:space="preserve">        </w:t>
      </w:r>
      <w:r>
        <w:rPr>
          <w:rStyle w:val="StringTok"/>
        </w:rPr>
        <w:t xml:space="preserve">"A retention floor of F months runs from the record's creation t(a). A deletion "</w:t>
      </w:r>
      <w:r>
        <w:br/>
      </w:r>
      <w:r>
        <w:rPr>
          <w:rStyle w:val="NormalTok"/>
        </w:rPr>
        <w:t xml:space="preserve">        </w:t>
      </w:r>
      <w:r>
        <w:rPr>
          <w:rStyle w:val="StringTok"/>
        </w:rPr>
        <w:t xml:space="preserve">"ceiling of L months runs from an event e(a) at or after creation. Under plaintext "</w:t>
      </w:r>
      <w:r>
        <w:br/>
      </w:r>
      <w:r>
        <w:rPr>
          <w:rStyle w:val="NormalTok"/>
        </w:rPr>
        <w:t xml:space="preserve">        </w:t>
      </w:r>
      <w:r>
        <w:rPr>
          <w:rStyle w:val="StringTok"/>
        </w:rPr>
        <w:t xml:space="preserve">"verifiability the two collide for a record exactly when e(a) + L &lt;= t(a) + F. "</w:t>
      </w:r>
      <w:r>
        <w:br/>
      </w:r>
      <w:r>
        <w:rPr>
          <w:rStyle w:val="NormalTok"/>
        </w:rPr>
        <w:t xml:space="preserve">        </w:t>
      </w:r>
      <w:r>
        <w:rPr>
          <w:rStyle w:val="StringTok"/>
        </w:rPr>
        <w:t xml:space="preserve">"A collision therefore needs L &lt;= F; where the ceiling is anchored decides "</w:t>
      </w:r>
      <w:r>
        <w:br/>
      </w:r>
      <w:r>
        <w:rPr>
          <w:rStyle w:val="NormalTok"/>
        </w:rPr>
        <w:t xml:space="preserve">        </w:t>
      </w:r>
      <w:r>
        <w:rPr>
          <w:rStyle w:val="StringTok"/>
        </w:rPr>
        <w:t xml:space="preserve">"whether the collision can be read from the text or only from each record's history."</w:t>
      </w:r>
      <w:r>
        <w:br/>
      </w:r>
      <w:r>
        <w:rPr>
          <w:rStyle w:val="NormalTok"/>
        </w:rPr>
        <w:t xml:space="preserve">    )</w:t>
      </w:r>
      <w:r>
        <w:br/>
      </w:r>
      <w:r>
        <w:rPr>
          <w:rStyle w:val="NormalTok"/>
        </w:rPr>
        <w:t xml:space="preserve">    preset </w:t>
      </w:r>
      <w:r>
        <w:rPr>
          <w:rStyle w:val="OperatorTok"/>
        </w:rPr>
        <w:t xml:space="preserve">=</w:t>
      </w:r>
      <w:r>
        <w:rPr>
          <w:rStyle w:val="NormalTok"/>
        </w:rPr>
        <w:t xml:space="preserve"> st.radio(</w:t>
      </w:r>
      <w:r>
        <w:br/>
      </w:r>
      <w:r>
        <w:rPr>
          <w:rStyle w:val="NormalTok"/>
        </w:rPr>
        <w:t xml:space="preserve">        </w:t>
      </w:r>
      <w:r>
        <w:rPr>
          <w:rStyle w:val="StringTok"/>
        </w:rPr>
        <w:t xml:space="preserve">"Preset"</w:t>
      </w:r>
      <w:r>
        <w:rPr>
          <w:rStyle w:val="NormalTok"/>
        </w:rPr>
        <w:t xml:space="preserve">,</w:t>
      </w:r>
      <w:r>
        <w:br/>
      </w:r>
      <w:r>
        <w:rPr>
          <w:rStyle w:val="NormalTok"/>
        </w:rPr>
        <w:t xml:space="preserve">        [</w:t>
      </w:r>
      <w:r>
        <w:rPr>
          <w:rStyle w:val="StringTok"/>
        </w:rPr>
        <w:t xml:space="preserve">"EHDS Art 73(1)(e) floor, Art 68(12) ceiling"</w:t>
      </w:r>
      <w:r>
        <w:rPr>
          <w:rStyle w:val="NormalTok"/>
        </w:rPr>
        <w:t xml:space="preserve">, </w:t>
      </w:r>
      <w:r>
        <w:rPr>
          <w:rStyle w:val="StringTok"/>
        </w:rPr>
        <w:t xml:space="preserve">"politiregisterloven § 17"</w:t>
      </w:r>
      <w:r>
        <w:rPr>
          <w:rStyle w:val="NormalTok"/>
        </w:rPr>
        <w:t xml:space="preserve">,</w:t>
      </w:r>
      <w:r>
        <w:br/>
      </w:r>
      <w:r>
        <w:rPr>
          <w:rStyle w:val="NormalTok"/>
        </w:rPr>
        <w:t xml:space="preserve">         </w:t>
      </w:r>
      <w:r>
        <w:rPr>
          <w:rStyle w:val="StringTok"/>
        </w:rPr>
        <w:t xml:space="preserve">"Free"</w:t>
      </w:r>
      <w:r>
        <w:rPr>
          <w:rStyle w:val="NormalTok"/>
        </w:rPr>
        <w:t xml:space="preserve">], horizontal</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preset.startswith(</w:t>
      </w:r>
      <w:r>
        <w:rPr>
          <w:rStyle w:val="StringTok"/>
        </w:rPr>
        <w:t xml:space="preserve">"EHDS"</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 </w:t>
      </w:r>
      <w:r>
        <w:rPr>
          <w:rStyle w:val="VariableTok"/>
        </w:rPr>
        <w:t xml:space="preserve">False</w:t>
      </w:r>
      <w:r>
        <w:br/>
      </w:r>
      <w:r>
        <w:rPr>
          <w:rStyle w:val="NormalTok"/>
        </w:rPr>
        <w:t xml:space="preserve">    </w:t>
      </w:r>
      <w:r>
        <w:rPr>
          <w:rStyle w:val="ControlFlowTok"/>
        </w:rPr>
        <w:t xml:space="preserve">elif</w:t>
      </w:r>
      <w:r>
        <w:rPr>
          <w:rStyle w:val="NormalTok"/>
        </w:rPr>
        <w:t xml:space="preserve"> preset.startswith(</w:t>
      </w:r>
      <w:r>
        <w:rPr>
          <w:rStyle w:val="StringTok"/>
        </w:rPr>
        <w:t xml:space="preserve">"politi"</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36</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12</w:t>
      </w:r>
      <w:r>
        <w:rPr>
          <w:rStyle w:val="NormalTok"/>
        </w:rPr>
        <w:t xml:space="preserve">, </w:t>
      </w:r>
      <w:r>
        <w:rPr>
          <w:rStyle w:val="VariableTok"/>
        </w:rPr>
        <w:t xml:space="preserve">False</w:t>
      </w:r>
      <w:r>
        <w:br/>
      </w:r>
      <w:r>
        <w:rPr>
          <w:rStyle w:val="NormalTok"/>
        </w:rPr>
        <w:t xml:space="preserve">    F </w:t>
      </w:r>
      <w:r>
        <w:rPr>
          <w:rStyle w:val="OperatorTok"/>
        </w:rPr>
        <w:t xml:space="preserve">=</w:t>
      </w:r>
      <w:r>
        <w:rPr>
          <w:rStyle w:val="NormalTok"/>
        </w:rPr>
        <w:t xml:space="preserve"> st.slider(</w:t>
      </w:r>
      <w:r>
        <w:rPr>
          <w:rStyle w:val="StringTok"/>
        </w:rPr>
        <w:t xml:space="preserve">"Floor F (months, from creation)"</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F0, key</w:t>
      </w:r>
      <w:r>
        <w:rPr>
          <w:rStyle w:val="OperatorTok"/>
        </w:rPr>
        <w:t xml:space="preserve">=</w:t>
      </w:r>
      <w:r>
        <w:rPr>
          <w:rStyle w:val="SpecialStringTok"/>
        </w:rPr>
        <w:t xml:space="preserve">f"F_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L </w:t>
      </w:r>
      <w:r>
        <w:rPr>
          <w:rStyle w:val="OperatorTok"/>
        </w:rPr>
        <w:t xml:space="preserve">=</w:t>
      </w:r>
      <w:r>
        <w:rPr>
          <w:rStyle w:val="NormalTok"/>
        </w:rPr>
        <w:t xml:space="preserve"> st.slider(</w:t>
      </w:r>
      <w:r>
        <w:rPr>
          <w:rStyle w:val="StringTok"/>
        </w:rPr>
        <w:t xml:space="preserve">"Ceiling L (months, from its anchor)"</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L0, key</w:t>
      </w:r>
      <w:r>
        <w:rPr>
          <w:rStyle w:val="OperatorTok"/>
        </w:rPr>
        <w:t xml:space="preserve">=</w:t>
      </w:r>
      <w:r>
        <w:rPr>
          <w:rStyle w:val="SpecialStringTok"/>
        </w:rPr>
        <w:t xml:space="preserve">f"L_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same </w:t>
      </w:r>
      <w:r>
        <w:rPr>
          <w:rStyle w:val="OperatorTok"/>
        </w:rPr>
        <w:t xml:space="preserve">=</w:t>
      </w:r>
      <w:r>
        <w:rPr>
          <w:rStyle w:val="NormalTok"/>
        </w:rPr>
        <w:t xml:space="preserve"> st.checkbox(</w:t>
      </w:r>
      <w:r>
        <w:rPr>
          <w:rStyle w:val="StringTok"/>
        </w:rPr>
        <w:t xml:space="preserve">"Ceiling anchored to creation, the same event as the floor"</w:t>
      </w:r>
      <w:r>
        <w:rPr>
          <w:rStyle w:val="NormalTok"/>
        </w:rPr>
        <w:t xml:space="preserve">,</w:t>
      </w:r>
      <w:r>
        <w:br/>
      </w:r>
      <w:r>
        <w:rPr>
          <w:rStyle w:val="NormalTok"/>
        </w:rPr>
        <w:t xml:space="preserve">                       value</w:t>
      </w:r>
      <w:r>
        <w:rPr>
          <w:rStyle w:val="OperatorTok"/>
        </w:rPr>
        <w:t xml:space="preserve">=</w:t>
      </w:r>
      <w:r>
        <w:rPr>
          <w:rStyle w:val="NormalTok"/>
        </w:rPr>
        <w:t xml:space="preserve">same0, key</w:t>
      </w:r>
      <w:r>
        <w:rPr>
          <w:rStyle w:val="OperatorTok"/>
        </w:rPr>
        <w:t xml:space="preserve">=</w:t>
      </w:r>
      <w:r>
        <w:rPr>
          <w:rStyle w:val="SpecialStringTok"/>
        </w:rPr>
        <w:t xml:space="preserve">f"same_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same: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The two limits bound one "</w:t>
      </w:r>
      <w:r>
        <w:br/>
      </w:r>
      <w:r>
        <w:rPr>
          <w:rStyle w:val="NormalTok"/>
        </w:rPr>
        <w:t xml:space="preserve">                       </w:t>
      </w:r>
      <w:r>
        <w:rPr>
          <w:rStyle w:val="StringTok"/>
        </w:rPr>
        <w:t xml:space="preserve">"retention window, readable from the text alone."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every record collides, and the text "</w:t>
      </w:r>
      <w:r>
        <w:br/>
      </w:r>
      <w:r>
        <w:rPr>
          <w:rStyle w:val="NormalTok"/>
        </w:rPr>
        <w:t xml:space="preserve">                     </w:t>
      </w:r>
      <w:r>
        <w:rPr>
          <w:rStyle w:val="StringTok"/>
        </w:rPr>
        <w:t xml:space="preserve">"contradicts itself on its face."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wherever its anchor "</w:t>
      </w:r>
      <w:r>
        <w:br/>
      </w:r>
      <w:r>
        <w:rPr>
          <w:rStyle w:val="NormalTok"/>
        </w:rPr>
        <w:t xml:space="preserve">                       </w:t>
      </w:r>
      <w:r>
        <w:rPr>
          <w:rStyle w:val="StringTok"/>
        </w:rPr>
        <w:t xml:space="preserve">"event falls."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gap </w:t>
      </w:r>
      <w:r>
        <w:rPr>
          <w:rStyle w:val="OperatorTok"/>
        </w:rPr>
        <w:t xml:space="preserve">=</w:t>
      </w:r>
      <w:r>
        <w:rPr>
          <w:rStyle w:val="NormalTok"/>
        </w:rPr>
        <w:t xml:space="preserve"> F </w:t>
      </w:r>
      <w:r>
        <w:rPr>
          <w:rStyle w:val="OperatorTok"/>
        </w:rPr>
        <w:t xml:space="preserve">-</w:t>
      </w:r>
      <w:r>
        <w:rPr>
          <w:rStyle w:val="NormalTok"/>
        </w:rPr>
        <w:t xml:space="preserve"> L</w:t>
      </w:r>
      <w:r>
        <w:br/>
      </w:r>
      <w:r>
        <w:rPr>
          <w:rStyle w:val="NormalTok"/>
        </w:rPr>
        <w:t xml:space="preserve">            st.warning(</w:t>
      </w:r>
      <w:r>
        <w:br/>
      </w:r>
      <w:r>
        <w:rPr>
          <w:rStyle w:val="NormalTok"/>
        </w:rPr>
        <w:t xml:space="preserve">                </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a record collides exactly when its anchor event "</w:t>
      </w:r>
      <w:r>
        <w:br/>
      </w:r>
      <w:r>
        <w:rPr>
          <w:rStyle w:val="NormalTok"/>
        </w:rPr>
        <w:t xml:space="preserve">                </w:t>
      </w:r>
      <w:r>
        <w:rPr>
          <w:rStyle w:val="SpecialStringTok"/>
        </w:rPr>
        <w:t xml:space="preserve">f"falls within </w:t>
      </w:r>
      <w:r>
        <w:rPr>
          <w:rStyle w:val="SpecialCharTok"/>
        </w:rPr>
        <w:t xml:space="preserve">{</w:t>
      </w:r>
      <w:r>
        <w:rPr>
          <w:rStyle w:val="NormalTok"/>
        </w:rPr>
        <w:t xml:space="preserve">gap</w:t>
      </w:r>
      <w:r>
        <w:rPr>
          <w:rStyle w:val="SpecialCharTok"/>
        </w:rPr>
        <w:t xml:space="preserve">}</w:t>
      </w:r>
      <w:r>
        <w:rPr>
          <w:rStyle w:val="SpecialStringTok"/>
        </w:rPr>
        <w:t xml:space="preserve"> month(s) of creation (e(a) - t(a) &lt;= </w:t>
      </w:r>
      <w:r>
        <w:rPr>
          <w:rStyle w:val="SpecialCharTok"/>
        </w:rPr>
        <w:t xml:space="preserve">{</w:t>
      </w:r>
      <w:r>
        <w:rPr>
          <w:rStyle w:val="NormalTok"/>
        </w:rPr>
        <w:t xml:space="preserve">gap</w:t>
      </w:r>
      <w:r>
        <w:rPr>
          <w:rStyle w:val="SpecialCharTok"/>
        </w:rPr>
        <w:t xml:space="preserve">}</w:t>
      </w:r>
      <w:r>
        <w:rPr>
          <w:rStyle w:val="SpecialStringTok"/>
        </w:rPr>
        <w:t xml:space="preserve">). "</w:t>
      </w:r>
      <w:r>
        <w:br/>
      </w:r>
      <w:r>
        <w:rPr>
          <w:rStyle w:val="NormalTok"/>
        </w:rPr>
        <w:t xml:space="preserve">                </w:t>
      </w:r>
      <w:r>
        <w:rPr>
          <w:rStyle w:val="StringTok"/>
        </w:rPr>
        <w:t xml:space="preserve">"Nothing in the text says which records those are; each record's "</w:t>
      </w:r>
      <w:r>
        <w:br/>
      </w:r>
      <w:r>
        <w:rPr>
          <w:rStyle w:val="NormalTok"/>
        </w:rPr>
        <w:t xml:space="preserve">                </w:t>
      </w:r>
      <w:r>
        <w:rPr>
          <w:rStyle w:val="StringTok"/>
        </w:rPr>
        <w:t xml:space="preserve">"history does."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offsets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st.bar_chart(</w:t>
      </w:r>
      <w:r>
        <w:br/>
      </w:r>
      <w:r>
        <w:rPr>
          <w:rStyle w:val="NormalTok"/>
        </w:rPr>
        <w:t xml:space="preserve">                {</w:t>
      </w:r>
      <w:r>
        <w:rPr>
          <w:rStyle w:val="StringTok"/>
        </w:rPr>
        <w:t xml:space="preserve">"months of collision"</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(t0 </w:t>
      </w:r>
      <w:r>
        <w:rPr>
          <w:rStyle w:val="OperatorTok"/>
        </w:rPr>
        <w:t xml:space="preserve">+</w:t>
      </w:r>
      <w:r>
        <w:rPr>
          <w:rStyle w:val="NormalTok"/>
        </w:rPr>
        <w:t xml:space="preserve"> F) </w:t>
      </w:r>
      <w:r>
        <w:rPr>
          <w:rStyle w:val="OperatorTok"/>
        </w:rPr>
        <w:t xml:space="preserve">-</w:t>
      </w:r>
      <w:r>
        <w:rPr>
          <w:rStyle w:val="NormalTok"/>
        </w:rPr>
        <w:t xml:space="preserve"> (t0 </w:t>
      </w:r>
      <w:r>
        <w:rPr>
          <w:rStyle w:val="OperatorTok"/>
        </w:rPr>
        <w:t xml:space="preserve">+</w:t>
      </w:r>
      <w:r>
        <w:rPr>
          <w:rStyle w:val="NormalTok"/>
        </w:rPr>
        <w:t xml:space="preserve"> d </w:t>
      </w:r>
      <w:r>
        <w:rPr>
          <w:rStyle w:val="OperatorTok"/>
        </w:rPr>
        <w:t xml:space="preserve">+</w:t>
      </w:r>
      <w:r>
        <w:rPr>
          <w:rStyle w:val="NormalTok"/>
        </w:rPr>
        <w:t xml:space="preserve"> 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t0, d </w:t>
      </w:r>
      <w:r>
        <w:rPr>
          <w:rStyle w:val="KeywordTok"/>
        </w:rPr>
        <w:t xml:space="preserve">in</w:t>
      </w:r>
      <w:r>
        <w:rPr>
          <w:rStyle w:val="NormalTok"/>
        </w:rPr>
        <w:t xml:space="preserve"> [(</w:t>
      </w:r>
      <w:r>
        <w:rPr>
          <w:rStyle w:val="DecValTok"/>
        </w:rPr>
        <w:t xml:space="preserve">0</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offsets]]},</w:t>
      </w:r>
      <w:r>
        <w:br/>
      </w:r>
      <w:r>
        <w:rPr>
          <w:rStyle w:val="NormalTok"/>
        </w:rPr>
        <w:t xml:space="preserve">                x_label</w:t>
      </w:r>
      <w:r>
        <w:rPr>
          <w:rStyle w:val="OperatorTok"/>
        </w:rPr>
        <w:t xml:space="preserve">=</w:t>
      </w:r>
      <w:r>
        <w:rPr>
          <w:rStyle w:val="StringTok"/>
        </w:rPr>
        <w:t xml:space="preserve">"anchor event, months after creation"</w:t>
      </w:r>
      <w:r>
        <w:rPr>
          <w:rStyle w:val="NormalTok"/>
        </w:rPr>
        <w:t xml:space="preserve">,</w:t>
      </w:r>
      <w:r>
        <w:br/>
      </w:r>
      <w:r>
        <w:rPr>
          <w:rStyle w:val="NormalTok"/>
        </w:rPr>
        <w:t xml:space="preserve">                y_label</w:t>
      </w:r>
      <w:r>
        <w:rPr>
          <w:rStyle w:val="OperatorTok"/>
        </w:rPr>
        <w:t xml:space="preserve">=</w:t>
      </w:r>
      <w:r>
        <w:rPr>
          <w:rStyle w:val="StringTok"/>
        </w:rPr>
        <w:t xml:space="preserve">"months in which both apply"</w:t>
      </w:r>
      <w:r>
        <w:rPr>
          <w:rStyle w:val="NormalTok"/>
        </w:rPr>
        <w:t xml:space="preserve">)</w:t>
      </w:r>
      <w:r>
        <w:br/>
      </w:r>
      <w:r>
        <w:rPr>
          <w:rStyle w:val="NormalTok"/>
        </w:rPr>
        <w:t xml:space="preserve">    st.caption(</w:t>
      </w:r>
      <w:r>
        <w:br/>
      </w:r>
      <w:r>
        <w:rPr>
          <w:rStyle w:val="NormalTok"/>
        </w:rPr>
        <w:t xml:space="preserve">        </w:t>
      </w:r>
      <w:r>
        <w:rPr>
          <w:rStyle w:val="StringTok"/>
        </w:rPr>
        <w:t xml:space="preserve">"Article 68(12) is of the external-anchor kind: six months from permit expiry "</w:t>
      </w:r>
      <w:r>
        <w:br/>
      </w:r>
      <w:r>
        <w:rPr>
          <w:rStyle w:val="NormalTok"/>
        </w:rPr>
        <w:t xml:space="preserve">        </w:t>
      </w:r>
      <w:r>
        <w:rPr>
          <w:rStyle w:val="StringTok"/>
        </w:rPr>
        <w:t xml:space="preserve">"against twelve from the log entry, so logs whose permit expires within six "</w:t>
      </w:r>
      <w:r>
        <w:br/>
      </w:r>
      <w:r>
        <w:rPr>
          <w:rStyle w:val="NormalTok"/>
        </w:rPr>
        <w:t xml:space="preserve">        </w:t>
      </w:r>
      <w:r>
        <w:rPr>
          <w:rStyle w:val="StringTok"/>
        </w:rPr>
        <w:t xml:space="preserve">"months of the entry collide (Corollary 1.2). Section 17 of politiregisterloven "</w:t>
      </w:r>
      <w:r>
        <w:br/>
      </w:r>
      <w:r>
        <w:rPr>
          <w:rStyle w:val="NormalTok"/>
        </w:rPr>
        <w:t xml:space="preserve">        </w:t>
      </w:r>
      <w:r>
        <w:rPr>
          <w:rStyle w:val="StringTok"/>
        </w:rPr>
        <w:t xml:space="preserve">"measures both limbs from the log entry with the ceiling longer, so it bounds a "</w:t>
      </w:r>
      <w:r>
        <w:br/>
      </w:r>
      <w:r>
        <w:rPr>
          <w:rStyle w:val="NormalTok"/>
        </w:rPr>
        <w:t xml:space="preserve">        </w:t>
      </w:r>
      <w:r>
        <w:rPr>
          <w:rStyle w:val="StringTok"/>
        </w:rPr>
        <w:t xml:space="preserve">"window instead (Chapter 6, Section 6.10)."</w:t>
      </w:r>
      <w:r>
        <w:rPr>
          <w:rStyle w:val="NormalTok"/>
        </w:rPr>
        <w:t xml:space="preserve">)</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Tab 4 is illustrative of the "</w:t>
      </w:r>
      <w:r>
        <w:br/>
      </w:r>
      <w:r>
        <w:rPr>
          <w:rStyle w:val="NormalTok"/>
        </w:rPr>
        <w:t xml:space="preserve">    </w:t>
      </w:r>
      <w:r>
        <w:rPr>
          <w:rStyle w:val="StringTok"/>
        </w:rPr>
        <w:t xml:space="preserve">"Norwegian setting and not a thesis claim either, and Tab 6 evaluates the "</w:t>
      </w:r>
      <w:r>
        <w:br/>
      </w:r>
      <w:r>
        <w:rPr>
          <w:rStyle w:val="NormalTok"/>
        </w:rPr>
        <w:t xml:space="preserve">    </w:t>
      </w:r>
      <w:r>
        <w:rPr>
          <w:rStyle w:val="StringTok"/>
        </w:rPr>
        <w:t xml:space="preserve">"condition of Proposition 3 for any floor and ceiling you set.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bookmarkEnd w:id="119"/>
    <w:bookmarkStart w:id="120"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1"/>
    <w:bookmarkStart w:id="122"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Verbatim output of</w:t>
      </w:r>
      <w:r>
        <w:t xml:space="preserve"> </w:t>
      </w:r>
      <w:r>
        <w:rPr>
          <w:rStyle w:val="VerbatimChar"/>
        </w:rPr>
        <w:t xml:space="preserve">python3 synthea_layer.py</w:t>
      </w:r>
      <w:r>
        <w:t xml:space="preserve"> </w:t>
      </w:r>
      <w:r>
        <w:t xml:space="preserve">against the full 98-bundle cohort,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which </w:t>
      </w:r>
      <w:hyperlink w:anchor="sec_5_8" w:history="1">
        <w:r>
          <w:rPr>
            <w:rStyle w:val="Hyperlink"/>
          </w:rPr>
          <w:t xml:space="preserve">Section 5.8</w:t>
        </w:r>
      </w:hyperlink>
      <w:r>
        <w:t xml:space="preserve">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2"/>
    <w:bookmarkStart w:id="123"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3"/>
    <w:bookmarkStart w:id="124"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24"/>
    <w:bookmarkStart w:id="125"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25"/>
    <w:bookmarkStart w:id="126"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6"/>
    <w:bookmarkStart w:id="127"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27"/>
    <w:bookmarkStart w:id="128" w:name="a.23-source-listing-z3_check.py"/>
    <w:p>
      <w:pPr>
        <w:pStyle w:val="Heading2"/>
      </w:pPr>
      <w:r>
        <w:t xml:space="preserve">A.23 Source listing:</w:t>
      </w:r>
      <w:r>
        <w:t xml:space="preserve"> </w:t>
      </w:r>
      <w:r>
        <w:rPr>
          <w:rStyle w:val="VerbatimChar"/>
        </w:rPr>
        <w:t xml:space="preserve">z3_check.py</w:t>
      </w:r>
    </w:p>
    <w:p>
      <w:pPr>
        <w:pStyle w:val="FirstParagraph"/>
      </w:pPr>
      <w:r>
        <w:t xml:space="preserve">Optional module. It poses each of Propositions 1–3 to the Z3 SMT solver as a request for a counterexample within stated bounds, and checks that deliberately wrong versions of Proposition 3 are refuted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It reports no thesis figure from the generated population.</w:t>
      </w:r>
    </w:p>
    <w:p>
      <w:pPr>
        <w:pStyle w:val="SourceCode"/>
      </w:pPr>
      <w:r>
        <w:rPr>
          <w:rStyle w:val="CommentTok"/>
        </w:rPr>
        <w:t xml:space="preserve">"""</w:t>
      </w:r>
      <w:r>
        <w:br/>
      </w:r>
      <w:r>
        <w:rPr>
          <w:rStyle w:val="CommentTok"/>
        </w:rPr>
        <w:t xml:space="preserve">Bounded SMT check of Propositions 1-3 (optional module)</w:t>
      </w:r>
      <w:r>
        <w:br/>
      </w:r>
      <w:r>
        <w:rPr>
          <w:rStyle w:val="CommentTok"/>
        </w:rPr>
        <w:t xml:space="preserve">========================================================</w:t>
      </w:r>
      <w:r>
        <w:br/>
      </w:r>
      <w:r>
        <w:rPr>
          <w:rStyle w:val="CommentTok"/>
        </w:rPr>
        <w:t xml:space="preserve">An independent check of the TRF Model's propositions in a different formalism from the</w:t>
      </w:r>
      <w:r>
        <w:br/>
      </w:r>
      <w:r>
        <w:rPr>
          <w:rStyle w:val="CommentTok"/>
        </w:rPr>
        <w:t xml:space="preserve">checker. trf_checker.py evaluates 200 generated records; this module asks the Z3 SMT solver</w:t>
      </w:r>
      <w:r>
        <w:br/>
      </w:r>
      <w:r>
        <w:rPr>
          <w:rStyle w:val="CommentTok"/>
        </w:rPr>
        <w:t xml:space="preserve">whether ANY record, with ANY parameter values inside the stated bounds, contradicts a</w:t>
      </w:r>
      <w:r>
        <w:br/>
      </w:r>
      <w:r>
        <w:rPr>
          <w:rStyle w:val="CommentTok"/>
        </w:rPr>
        <w:t xml:space="preserve">proposition. Every check is posed as "find a counterexample"; the expected answer is</w:t>
      </w:r>
      <w:r>
        <w:br/>
      </w:r>
      <w:r>
        <w:rPr>
          <w:rStyle w:val="CommentTok"/>
        </w:rPr>
        <w:t xml:space="preserve">"unsat" (no counterexample exists within the bounds).</w:t>
      </w:r>
      <w:r>
        <w:br/>
      </w:r>
      <w:r>
        <w:br/>
      </w:r>
      <w:r>
        <w:rPr>
          <w:rStyle w:val="CommentTok"/>
        </w:rPr>
        <w:t xml:space="preserve">Model (Chapter 4, Sections 4.3-4.6), one record, months t = 0..H:</w:t>
      </w:r>
      <w:r>
        <w:br/>
      </w:r>
      <w:r>
        <w:rPr>
          <w:rStyle w:val="CommentTok"/>
        </w:rPr>
        <w:t xml:space="preserve">  alpha_t        payload accessible at month t (free Boolean per month)</w:t>
      </w:r>
      <w:r>
        <w:br/>
      </w:r>
      <w:r>
        <w:rPr>
          <w:rStyle w:val="CommentTok"/>
        </w:rPr>
        <w:t xml:space="preserve">  C1 floor       alpha_t for t in [t_a, t_a + F]                       (Semantics I: V = alpha)</w:t>
      </w:r>
      <w:r>
        <w:br/>
      </w:r>
      <w:r>
        <w:rPr>
          <w:rStyle w:val="CommentTok"/>
        </w:rPr>
        <w:t xml:space="preserve">  C2 right       not alpha_t for t &gt;= t_r + delta, if a request arrives</w:t>
      </w:r>
      <w:r>
        <w:br/>
      </w:r>
      <w:r>
        <w:rPr>
          <w:rStyle w:val="CommentTok"/>
        </w:rPr>
        <w:t xml:space="preserve">  C3 ceiling     not alpha_t for t &gt;= e + L, if a ceiling applies (e: its anchor event)</w:t>
      </w:r>
      <w:r>
        <w:br/>
      </w:r>
      <w:r>
        <w:rPr>
          <w:rStyle w:val="CommentTok"/>
        </w:rPr>
        <w:t xml:space="preserve">Semantics II (Proposition 2) adds the accountability state per month: m_acc kept, c kept,</w:t>
      </w:r>
      <w:r>
        <w:br/>
      </w:r>
      <w:r>
        <w:rPr>
          <w:rStyle w:val="CommentTok"/>
        </w:rPr>
        <w:t xml:space="preserve">an invalidation entry iota present, the subject link beta readable, and a subject-link</w:t>
      </w:r>
      <w:r>
        <w:br/>
      </w:r>
      <w:r>
        <w:rPr>
          <w:rStyle w:val="CommentTok"/>
        </w:rPr>
        <w:t xml:space="preserve">entry iota_subj present. V_II = m_acc and c and (alpha or iota) and (beta or iota_subj),</w:t>
      </w:r>
      <w:r>
        <w:br/>
      </w:r>
      <w:r>
        <w:rPr>
          <w:rStyle w:val="CommentTok"/>
        </w:rPr>
        <w:t xml:space="preserve">and C3 also requires beta = 0 from the ceiling where it reaches the subject fields.</w:t>
      </w:r>
      <w:r>
        <w:br/>
      </w:r>
      <w:r>
        <w:br/>
      </w:r>
      <w:r>
        <w:rPr>
          <w:rStyle w:val="CommentTok"/>
        </w:rPr>
        <w:t xml:space="preserve">Bounds: t_a in [0, 12], F in [1, 120] (so the 120-month cross-border floor is covered),</w:t>
      </w:r>
      <w:r>
        <w:br/>
      </w:r>
      <w:r>
        <w:rPr>
          <w:rStyle w:val="CommentTok"/>
        </w:rPr>
        <w:t xml:space="preserve">delta in [1, 3], request month and anchor event in [t_a, H], L in [1, 120], H = 140.</w:t>
      </w:r>
      <w:r>
        <w:br/>
      </w:r>
      <w:r>
        <w:rPr>
          <w:rStyle w:val="CommentTok"/>
        </w:rPr>
        <w:t xml:space="preserve">This is a bounded check: it covers every combination within the bounds, not all integers.</w:t>
      </w:r>
      <w:r>
        <w:br/>
      </w:r>
      <w:r>
        <w:rPr>
          <w:rStyle w:val="CommentTok"/>
        </w:rPr>
        <w:t xml:space="preserve">It checks that the propositions follow from the constraints as encoded here; like the</w:t>
      </w:r>
      <w:r>
        <w:br/>
      </w:r>
      <w:r>
        <w:rPr>
          <w:rStyle w:val="CommentTok"/>
        </w:rPr>
        <w:t xml:space="preserve">checker, it does not check that the constraints translate the law (Section 4.2 does that).</w:t>
      </w:r>
      <w:r>
        <w:br/>
      </w:r>
      <w:r>
        <w:br/>
      </w:r>
      <w:r>
        <w:rPr>
          <w:rStyle w:val="CommentTok"/>
        </w:rPr>
        <w:t xml:space="preserve">Run:  pip install z3-solver   then   python3 z3_check.py</w:t>
      </w:r>
      <w:r>
        <w:br/>
      </w:r>
      <w:r>
        <w:rPr>
          <w:rStyle w:val="CommentTok"/>
        </w:rPr>
        <w:t xml:space="preserve">"""</w:t>
      </w:r>
      <w:r>
        <w:br/>
      </w:r>
      <w:r>
        <w:br/>
      </w:r>
      <w:r>
        <w:rPr>
          <w:rStyle w:val="ImportTok"/>
        </w:rPr>
        <w:t xml:space="preserve">from</w:t>
      </w:r>
      <w:r>
        <w:rPr>
          <w:rStyle w:val="NormalTok"/>
        </w:rPr>
        <w:t xml:space="preserve"> z3 </w:t>
      </w:r>
      <w:r>
        <w:rPr>
          <w:rStyle w:val="ImportTok"/>
        </w:rPr>
        <w:t xml:space="preserve">import</w:t>
      </w:r>
      <w:r>
        <w:rPr>
          <w:rStyle w:val="NormalTok"/>
        </w:rPr>
        <w:t xml:space="preserve"> And, Bool, If, Implies, Int, Not, Or, Solver, sat, unsat</w:t>
      </w:r>
      <w:r>
        <w:br/>
      </w:r>
      <w:r>
        <w:br/>
      </w:r>
      <w:r>
        <w:rPr>
          <w:rStyle w:val="NormalTok"/>
        </w:rPr>
        <w:t xml:space="preserve">H </w:t>
      </w:r>
      <w:r>
        <w:rPr>
          <w:rStyle w:val="OperatorTok"/>
        </w:rPr>
        <w:t xml:space="preserve">=</w:t>
      </w:r>
      <w:r>
        <w:rPr>
          <w:rStyle w:val="NormalTok"/>
        </w:rPr>
        <w:t xml:space="preserve"> </w:t>
      </w:r>
      <w:r>
        <w:rPr>
          <w:rStyle w:val="DecValTok"/>
        </w:rPr>
        <w:t xml:space="preserve">140</w:t>
      </w:r>
      <w:r>
        <w:br/>
      </w:r>
      <w:r>
        <w:rPr>
          <w:rStyle w:val="NormalTok"/>
        </w:rPr>
        <w:t xml:space="preserve">T </w:t>
      </w:r>
      <w:r>
        <w:rPr>
          <w:rStyle w:val="OperatorTok"/>
        </w:rPr>
        <w:t xml:space="preserve">=</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record():</w:t>
      </w:r>
      <w:r>
        <w:br/>
      </w:r>
      <w:r>
        <w:rPr>
          <w:rStyle w:val="NormalTok"/>
        </w:rPr>
        <w:t xml:space="preserve">    </w:t>
      </w:r>
      <w:r>
        <w:rPr>
          <w:rStyle w:val="CommentTok"/>
        </w:rPr>
        <w:t xml:space="preserve">"""Symbolic parameters and constraints common to every check."""</w:t>
      </w:r>
      <w:r>
        <w:br/>
      </w:r>
      <w:r>
        <w:rPr>
          <w:rStyle w:val="NormalTok"/>
        </w:rPr>
        <w:t xml:space="preserve">    ta, F, d </w:t>
      </w:r>
      <w:r>
        <w:rPr>
          <w:rStyle w:val="OperatorTok"/>
        </w:rPr>
        <w:t xml:space="preserve">=</w:t>
      </w:r>
      <w:r>
        <w:rPr>
          <w:rStyle w:val="NormalTok"/>
        </w:rPr>
        <w:t xml:space="preserve"> Int(</w:t>
      </w:r>
      <w:r>
        <w:rPr>
          <w:rStyle w:val="StringTok"/>
        </w:rPr>
        <w:t xml:space="preserve">"t_a"</w:t>
      </w:r>
      <w:r>
        <w:rPr>
          <w:rStyle w:val="NormalTok"/>
        </w:rPr>
        <w:t xml:space="preserve">), Int(</w:t>
      </w:r>
      <w:r>
        <w:rPr>
          <w:rStyle w:val="StringTok"/>
        </w:rPr>
        <w:t xml:space="preserve">"F"</w:t>
      </w:r>
      <w:r>
        <w:rPr>
          <w:rStyle w:val="NormalTok"/>
        </w:rPr>
        <w:t xml:space="preserve">), Int(</w:t>
      </w:r>
      <w:r>
        <w:rPr>
          <w:rStyle w:val="StringTok"/>
        </w:rPr>
        <w:t xml:space="preserve">"delta"</w:t>
      </w:r>
      <w:r>
        <w:rPr>
          <w:rStyle w:val="NormalTok"/>
        </w:rPr>
        <w:t xml:space="preserve">)</w:t>
      </w:r>
      <w:r>
        <w:br/>
      </w:r>
      <w:r>
        <w:rPr>
          <w:rStyle w:val="NormalTok"/>
        </w:rPr>
        <w:t xml:space="preserve">    tr, e, L </w:t>
      </w:r>
      <w:r>
        <w:rPr>
          <w:rStyle w:val="OperatorTok"/>
        </w:rPr>
        <w:t xml:space="preserve">=</w:t>
      </w:r>
      <w:r>
        <w:rPr>
          <w:rStyle w:val="NormalTok"/>
        </w:rPr>
        <w:t xml:space="preserve"> Int(</w:t>
      </w:r>
      <w:r>
        <w:rPr>
          <w:rStyle w:val="StringTok"/>
        </w:rPr>
        <w:t xml:space="preserve">"t_r"</w:t>
      </w:r>
      <w:r>
        <w:rPr>
          <w:rStyle w:val="NormalTok"/>
        </w:rPr>
        <w:t xml:space="preserve">), Int(</w:t>
      </w:r>
      <w:r>
        <w:rPr>
          <w:rStyle w:val="StringTok"/>
        </w:rPr>
        <w:t xml:space="preserve">"e"</w:t>
      </w:r>
      <w:r>
        <w:rPr>
          <w:rStyle w:val="NormalTok"/>
        </w:rPr>
        <w:t xml:space="preserve">), Int(</w:t>
      </w:r>
      <w:r>
        <w:rPr>
          <w:rStyle w:val="StringTok"/>
        </w:rPr>
        <w:t xml:space="preserve">"L"</w:t>
      </w:r>
      <w:r>
        <w:rPr>
          <w:rStyle w:val="NormalTok"/>
        </w:rPr>
        <w:t xml:space="preserve">)</w:t>
      </w:r>
      <w:r>
        <w:br/>
      </w:r>
      <w:r>
        <w:rPr>
          <w:rStyle w:val="NormalTok"/>
        </w:rPr>
        <w:t xml:space="preserve">    req, ceil </w:t>
      </w:r>
      <w:r>
        <w:rPr>
          <w:rStyle w:val="OperatorTok"/>
        </w:rPr>
        <w:t xml:space="preserve">=</w:t>
      </w:r>
      <w:r>
        <w:rPr>
          <w:rStyle w:val="NormalTok"/>
        </w:rPr>
        <w:t xml:space="preserve"> Bool(</w:t>
      </w:r>
      <w:r>
        <w:rPr>
          <w:rStyle w:val="StringTok"/>
        </w:rPr>
        <w:t xml:space="preserve">"request"</w:t>
      </w:r>
      <w:r>
        <w:rPr>
          <w:rStyle w:val="NormalTok"/>
        </w:rPr>
        <w:t xml:space="preserve">), Bool(</w:t>
      </w:r>
      <w:r>
        <w:rPr>
          <w:rStyle w:val="StringTok"/>
        </w:rPr>
        <w:t xml:space="preserve">"ceiling"</w:t>
      </w:r>
      <w:r>
        <w:rPr>
          <w:rStyle w:val="NormalTok"/>
        </w:rPr>
        <w:t xml:space="preserve">)</w:t>
      </w:r>
      <w:r>
        <w:br/>
      </w:r>
      <w:r>
        <w:rPr>
          <w:rStyle w:val="NormalTok"/>
        </w:rPr>
        <w:t xml:space="preserve">    alpha </w:t>
      </w:r>
      <w:r>
        <w:rPr>
          <w:rStyle w:val="OperatorTok"/>
        </w:rPr>
        <w:t xml:space="preserve">=</w:t>
      </w:r>
      <w:r>
        <w:rPr>
          <w:rStyle w:val="NormalTok"/>
        </w:rPr>
        <w:t xml:space="preserve"> [Bool(</w:t>
      </w:r>
      <w:r>
        <w:rPr>
          <w:rStyle w:val="SpecialStringTok"/>
        </w:rPr>
        <w:t xml:space="preserve">f"alpha_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bounds </w:t>
      </w:r>
      <w:r>
        <w:rPr>
          <w:rStyle w:val="OperatorTok"/>
        </w:rPr>
        <w:t xml:space="preserve">=</w:t>
      </w:r>
      <w:r>
        <w:rPr>
          <w:rStyle w:val="NormalTok"/>
        </w:rPr>
        <w:t xml:space="preserve"> And(ta </w:t>
      </w:r>
      <w:r>
        <w:rPr>
          <w:rStyle w:val="OperatorTok"/>
        </w:rPr>
        <w:t xml:space="preserve">&gt;=</w:t>
      </w:r>
      <w:r>
        <w:rPr>
          <w:rStyle w:val="NormalTok"/>
        </w:rPr>
        <w:t xml:space="preserve"> </w:t>
      </w:r>
      <w:r>
        <w:rPr>
          <w:rStyle w:val="DecValTok"/>
        </w:rPr>
        <w:t xml:space="preserve">0</w:t>
      </w:r>
      <w:r>
        <w:rPr>
          <w:rStyle w:val="NormalTok"/>
        </w:rPr>
        <w:t xml:space="preserve">, ta </w:t>
      </w:r>
      <w:r>
        <w:rPr>
          <w:rStyle w:val="OperatorTok"/>
        </w:rPr>
        <w:t xml:space="preserve">&lt;=</w:t>
      </w:r>
      <w:r>
        <w:rPr>
          <w:rStyle w:val="NormalTok"/>
        </w:rPr>
        <w:t xml:space="preserve"> </w:t>
      </w:r>
      <w:r>
        <w:rPr>
          <w:rStyle w:val="DecValTok"/>
        </w:rPr>
        <w:t xml:space="preserve">12</w:t>
      </w:r>
      <w:r>
        <w:rPr>
          <w:rStyle w:val="NormalTok"/>
        </w:rPr>
        <w:t xml:space="preserve">, F </w:t>
      </w:r>
      <w:r>
        <w:rPr>
          <w:rStyle w:val="OperatorTok"/>
        </w:rPr>
        <w:t xml:space="preserve">&gt;=</w:t>
      </w:r>
      <w:r>
        <w:rPr>
          <w:rStyle w:val="NormalTok"/>
        </w:rPr>
        <w:t xml:space="preserve"> </w:t>
      </w:r>
      <w:r>
        <w:rPr>
          <w:rStyle w:val="DecValTok"/>
        </w:rPr>
        <w:t xml:space="preserve">1</w:t>
      </w:r>
      <w:r>
        <w:rPr>
          <w:rStyle w:val="NormalTok"/>
        </w:rPr>
        <w:t xml:space="preserve">, F </w:t>
      </w:r>
      <w:r>
        <w:rPr>
          <w:rStyle w:val="OperatorTok"/>
        </w:rPr>
        <w:t xml:space="preserve">&lt;=</w:t>
      </w:r>
      <w:r>
        <w:rPr>
          <w:rStyle w:val="NormalTok"/>
        </w:rPr>
        <w:t xml:space="preserve"> </w:t>
      </w:r>
      <w:r>
        <w:rPr>
          <w:rStyle w:val="DecValTok"/>
        </w:rPr>
        <w:t xml:space="preserve">120</w:t>
      </w:r>
      <w:r>
        <w:rPr>
          <w:rStyle w:val="NormalTok"/>
        </w:rPr>
        <w:t xml:space="preserve">, d </w:t>
      </w:r>
      <w:r>
        <w:rPr>
          <w:rStyle w:val="OperatorTok"/>
        </w:rPr>
        <w:t xml:space="preserve">&gt;=</w:t>
      </w:r>
      <w:r>
        <w:rPr>
          <w:rStyle w:val="NormalTok"/>
        </w:rPr>
        <w:t xml:space="preserve"> </w:t>
      </w:r>
      <w:r>
        <w:rPr>
          <w:rStyle w:val="DecValTok"/>
        </w:rPr>
        <w:t xml:space="preserve">1</w:t>
      </w:r>
      <w:r>
        <w:rPr>
          <w:rStyle w:val="NormalTok"/>
        </w:rPr>
        <w:t xml:space="preserve">, 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tr </w:t>
      </w:r>
      <w:r>
        <w:rPr>
          <w:rStyle w:val="OperatorTok"/>
        </w:rPr>
        <w:t xml:space="preserve">&gt;=</w:t>
      </w:r>
      <w:r>
        <w:rPr>
          <w:rStyle w:val="NormalTok"/>
        </w:rPr>
        <w:t xml:space="preserve"> ta, tr </w:t>
      </w:r>
      <w:r>
        <w:rPr>
          <w:rStyle w:val="OperatorTok"/>
        </w:rPr>
        <w:t xml:space="preserve">&lt;=</w:t>
      </w:r>
      <w:r>
        <w:rPr>
          <w:rStyle w:val="NormalTok"/>
        </w:rPr>
        <w:t xml:space="preserve"> H, e </w:t>
      </w:r>
      <w:r>
        <w:rPr>
          <w:rStyle w:val="OperatorTok"/>
        </w:rPr>
        <w:t xml:space="preserve">&gt;=</w:t>
      </w:r>
      <w:r>
        <w:rPr>
          <w:rStyle w:val="NormalTok"/>
        </w:rPr>
        <w:t xml:space="preserve"> ta, e </w:t>
      </w:r>
      <w:r>
        <w:rPr>
          <w:rStyle w:val="OperatorTok"/>
        </w:rPr>
        <w:t xml:space="preserve">&lt;=</w:t>
      </w:r>
      <w:r>
        <w:rPr>
          <w:rStyle w:val="NormalTok"/>
        </w:rPr>
        <w:t xml:space="preserve"> H, L </w:t>
      </w:r>
      <w:r>
        <w:rPr>
          <w:rStyle w:val="OperatorTok"/>
        </w:rPr>
        <w:t xml:space="preserve">&gt;=</w:t>
      </w:r>
      <w:r>
        <w:rPr>
          <w:rStyle w:val="NormalTok"/>
        </w:rPr>
        <w:t xml:space="preserve"> </w:t>
      </w:r>
      <w:r>
        <w:rPr>
          <w:rStyle w:val="DecValTok"/>
        </w:rPr>
        <w:t xml:space="preserve">1</w:t>
      </w:r>
      <w:r>
        <w:rPr>
          <w:rStyle w:val="NormalTok"/>
        </w:rPr>
        <w:t xml:space="preserve">, L </w:t>
      </w:r>
      <w:r>
        <w:rPr>
          <w:rStyle w:val="OperatorTok"/>
        </w:rPr>
        <w:t xml:space="preserve">&lt;=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ControlFlowTok"/>
        </w:rPr>
        <w:t xml:space="preserve">return</w:t>
      </w:r>
      <w:r>
        <w:rPr>
          <w:rStyle w:val="NormalTok"/>
        </w:rPr>
        <w:t xml:space="preserve"> ta, F, d, tr, e, L, req, ceil, alpha, bounds</w:t>
      </w:r>
      <w:r>
        <w:br/>
      </w:r>
      <w:r>
        <w:br/>
      </w:r>
      <w:r>
        <w:br/>
      </w:r>
      <w:r>
        <w:rPr>
          <w:rStyle w:val="KeywordTok"/>
        </w:rPr>
        <w:t xml:space="preserve">def</w:t>
      </w:r>
      <w:r>
        <w:rPr>
          <w:rStyle w:val="NormalTok"/>
        </w:rPr>
        <w:t xml:space="preserve"> C1(alpha, ta, F):</w:t>
      </w:r>
      <w:r>
        <w:br/>
      </w:r>
      <w:r>
        <w:rPr>
          <w:rStyle w:val="NormalTok"/>
        </w:rPr>
        <w:t xml:space="preserve">    </w:t>
      </w:r>
      <w:r>
        <w:rPr>
          <w:rStyle w:val="ControlFlowTok"/>
        </w:rPr>
        <w:t xml:space="preserve">return</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C2(alpha, req, tr, d):</w:t>
      </w:r>
      <w:r>
        <w:br/>
      </w:r>
      <w:r>
        <w:rPr>
          <w:rStyle w:val="NormalTok"/>
        </w:rPr>
        <w:t xml:space="preserve">    </w:t>
      </w:r>
      <w:r>
        <w:rPr>
          <w:rStyle w:val="ControlFlowTok"/>
        </w:rPr>
        <w:t xml:space="preserve">return</w:t>
      </w:r>
      <w:r>
        <w:rPr>
          <w:rStyle w:val="NormalTok"/>
        </w:rPr>
        <w:t xml:space="preserve"> And([Implies(And(req, t </w:t>
      </w:r>
      <w:r>
        <w:rPr>
          <w:rStyle w:val="OperatorTok"/>
        </w:rPr>
        <w:t xml:space="preserve">&gt;=</w:t>
      </w:r>
      <w:r>
        <w:rPr>
          <w:rStyle w:val="NormalTok"/>
        </w:rPr>
        <w:t xml:space="preserve"> tr </w:t>
      </w:r>
      <w:r>
        <w:rPr>
          <w:rStyle w:val="OperatorTok"/>
        </w:rPr>
        <w:t xml:space="preserve">+</w:t>
      </w:r>
      <w:r>
        <w:rPr>
          <w:rStyle w:val="NormalTok"/>
        </w:rPr>
        <w:t xml:space="preserve"> d),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C3(alpha, ceil, e, L):</w:t>
      </w:r>
      <w:r>
        <w:br/>
      </w:r>
      <w:r>
        <w:rPr>
          <w:rStyle w:val="NormalTok"/>
        </w:rPr>
        <w:t xml:space="preserve">    </w:t>
      </w:r>
      <w:r>
        <w:rPr>
          <w:rStyle w:val="ControlFlowTok"/>
        </w:rPr>
        <w:t xml:space="preserve">return</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check(name, formula):</w:t>
      </w:r>
      <w:r>
        <w:br/>
      </w:r>
      <w:r>
        <w:rPr>
          <w:rStyle w:val="NormalTok"/>
        </w:rPr>
        <w:t xml:space="preserve">    s </w:t>
      </w:r>
      <w:r>
        <w:rPr>
          <w:rStyle w:val="OperatorTok"/>
        </w:rPr>
        <w:t xml:space="preserve">=</w:t>
      </w:r>
      <w:r>
        <w:rPr>
          <w:rStyle w:val="NormalTok"/>
        </w:rPr>
        <w:t xml:space="preserve"> Solver()</w:t>
      </w:r>
      <w:r>
        <w:br/>
      </w:r>
      <w:r>
        <w:rPr>
          <w:rStyle w:val="NormalTok"/>
        </w:rPr>
        <w:t xml:space="preserve">    s.add(formula)</w:t>
      </w:r>
      <w:r>
        <w:br/>
      </w:r>
      <w:r>
        <w:rPr>
          <w:rStyle w:val="NormalTok"/>
        </w:rPr>
        <w:t xml:space="preserve">    r </w:t>
      </w:r>
      <w:r>
        <w:rPr>
          <w:rStyle w:val="OperatorTok"/>
        </w:rPr>
        <w:t xml:space="preserve">=</w:t>
      </w:r>
      <w:r>
        <w:rPr>
          <w:rStyle w:val="NormalTok"/>
        </w:rPr>
        <w:t xml:space="preserve"> s.check()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:&lt;74}</w:t>
      </w:r>
      <w:r>
        <w:rPr>
          <w:rStyle w:val="SpecialStringTok"/>
        </w:rPr>
        <w:t xml:space="preserve"> </w:t>
      </w:r>
      <w:r>
        <w:rPr>
          <w:rStyle w:val="SpecialCharTok"/>
        </w:rPr>
        <w:t xml:space="preserve">{</w:t>
      </w:r>
      <w:r>
        <w:rPr>
          <w:rStyle w:val="StringTok"/>
        </w:rPr>
        <w:t xml:space="preserve">'unsat (no counterexample)'</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unsat </w:t>
      </w:r>
      <w:r>
        <w:rPr>
          <w:rStyle w:val="ControlFlowTok"/>
        </w:rPr>
        <w:t xml:space="preserve">else</w:t>
      </w:r>
      <w:r>
        <w:rPr>
          <w:rStyle w:val="NormalTok"/>
        </w:rPr>
        <w:t xml:space="preserve"> </w:t>
      </w:r>
      <w:r>
        <w:rPr>
          <w:rStyle w:val="StringTok"/>
        </w:rPr>
        <w:t xml:space="preserve">'SAT: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(s.model())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unsat</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SMT CHECK OF PROPOSITIONS 1-3 (Z3)"</w:t>
      </w:r>
      <w:r>
        <w:rPr>
          <w:rStyle w:val="NormalTok"/>
        </w:rPr>
        <w:t xml:space="preserve">.center(</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f"bounds: t_a 0..12, F 1..120, delta 1..3, t_r and e in [t_a, </w:t>
      </w:r>
      <w:r>
        <w:rPr>
          <w:rStyle w:val="SpecialCharTok"/>
        </w:rPr>
        <w:t xml:space="preserve">{</w:t>
      </w:r>
      <w:r>
        <w:rPr>
          <w:rStyle w:val="NormalTok"/>
        </w:rPr>
        <w:t xml:space="preserve">H</w:t>
      </w:r>
      <w:r>
        <w:rPr>
          <w:rStyle w:val="SpecialCharTok"/>
        </w:rPr>
        <w:t xml:space="preserve">}</w:t>
      </w:r>
      <w:r>
        <w:rPr>
          <w:rStyle w:val="SpecialStringTok"/>
        </w:rPr>
        <w:t xml:space="preserve">], L 1..120, horizon </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w:t>
      </w:r>
      <w:r>
        <w:br/>
      </w:r>
      <w:r>
        <w:rPr>
          <w:rStyle w:val="NormalTok"/>
        </w:rPr>
        <w:t xml:space="preserve">    ok </w:t>
      </w:r>
      <w:r>
        <w:rPr>
          <w:rStyle w:val="OperatorTok"/>
        </w:rPr>
        <w:t xml:space="preserve">=</w:t>
      </w:r>
      <w:r>
        <w:rPr>
          <w:rStyle w:val="NormalTok"/>
        </w:rPr>
        <w:t xml:space="preserve"> []</w:t>
      </w:r>
      <w:r>
        <w:br/>
      </w:r>
      <w:r>
        <w:rPr>
          <w:rStyle w:val="NormalTok"/>
        </w:rPr>
        <w:t xml:space="preserve">    ta, F, d, tr, e, L, req, ceil, alpha, B </w:t>
      </w:r>
      <w:r>
        <w:rPr>
          <w:rStyle w:val="OperatorTok"/>
        </w:rPr>
        <w:t xml:space="preserve">=</w:t>
      </w:r>
      <w:r>
        <w:rPr>
          <w:rStyle w:val="NormalTok"/>
        </w:rPr>
        <w:t xml:space="preserve"> record()</w:t>
      </w:r>
      <w:r>
        <w:br/>
      </w:r>
      <w:r>
        <w:br/>
      </w:r>
      <w:r>
        <w:rPr>
          <w:rStyle w:val="NormalTok"/>
        </w:rPr>
        <w:t xml:space="preserve">    </w:t>
      </w:r>
      <w:r>
        <w:rPr>
          <w:rStyle w:val="CommentTok"/>
        </w:rPr>
        <w:t xml:space="preserve"># Proposition 1, infeasibility direction: if a deadline falls inside the window,</w:t>
      </w:r>
      <w:r>
        <w:br/>
      </w:r>
      <w:r>
        <w:rPr>
          <w:rStyle w:val="NormalTok"/>
        </w:rPr>
        <w:t xml:space="preserve">    </w:t>
      </w:r>
      <w:r>
        <w:rPr>
          <w:rStyle w:val="CommentTok"/>
        </w:rPr>
        <w:t xml:space="preserve"># no accessibility trajectory satisfies C1, C2 and C3 under Semantics I.</w:t>
      </w:r>
      <w:r>
        <w:br/>
      </w:r>
      <w:r>
        <w:rPr>
          <w:rStyle w:val="NormalTok"/>
        </w:rPr>
        <w:t xml:space="preserve">    inside </w:t>
      </w:r>
      <w:r>
        <w:rPr>
          <w:rStyle w:val="OperatorTok"/>
        </w:rPr>
        <w:t xml:space="preserve">=</w:t>
      </w:r>
      <w:r>
        <w:rPr>
          <w:rStyle w:val="NormalTok"/>
        </w:rPr>
        <w:t xml:space="preserve"> Or(And(req, tr </w:t>
      </w:r>
      <w:r>
        <w:rPr>
          <w:rStyle w:val="OperatorTok"/>
        </w:rPr>
        <w:t xml:space="preserve">+</w:t>
      </w:r>
      <w:r>
        <w:rPr>
          <w:rStyle w:val="NormalTok"/>
        </w:rPr>
        <w:t xml:space="preserve"> d </w:t>
      </w:r>
      <w:r>
        <w:rPr>
          <w:rStyle w:val="OperatorTok"/>
        </w:rPr>
        <w:t xml:space="preserve">&lt;=</w:t>
      </w:r>
      <w:r>
        <w:rPr>
          <w:rStyle w:val="NormalTok"/>
        </w:rPr>
        <w:t xml:space="preserve"> ta </w:t>
      </w:r>
      <w:r>
        <w:rPr>
          <w:rStyle w:val="OperatorTok"/>
        </w:rPr>
        <w:t xml:space="preserve">+</w:t>
      </w:r>
      <w:r>
        <w:rPr>
          <w:rStyle w:val="NormalTok"/>
        </w:rPr>
        <w:t xml:space="preserve"> F), And(ceil,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w:t>
      </w:r>
      <w:r>
        <w:br/>
      </w:r>
      <w:r>
        <w:rPr>
          <w:rStyle w:val="NormalTok"/>
        </w:rPr>
        <w:t xml:space="preserve">    ok.append(check(</w:t>
      </w:r>
      <w:r>
        <w:rPr>
          <w:rStyle w:val="StringTok"/>
        </w:rPr>
        <w:t xml:space="preserve">"P1  deadline inside window =&gt; no trajectory satisfies C1-C3 (Sem I)"</w:t>
      </w:r>
      <w:r>
        <w:rPr>
          <w:rStyle w:val="NormalTok"/>
        </w:rPr>
        <w:t xml:space="preserve">,</w:t>
      </w:r>
      <w:r>
        <w:br/>
      </w:r>
      <w:r>
        <w:rPr>
          <w:rStyle w:val="NormalTok"/>
        </w:rPr>
        <w:t xml:space="preserve">                    And(B, inside, C1(alpha, ta, F), C2(alpha, req, tr, d), C3(alpha, ceil, e, L))))</w:t>
      </w:r>
      <w:r>
        <w:br/>
      </w:r>
      <w:r>
        <w:br/>
      </w:r>
      <w:r>
        <w:rPr>
          <w:rStyle w:val="NormalTok"/>
        </w:rPr>
        <w:t xml:space="preserve">    </w:t>
      </w:r>
      <w:r>
        <w:rPr>
          <w:rStyle w:val="CommentTok"/>
        </w:rPr>
        <w:t xml:space="preserve"># Proposition 1, boundary: if no deadline falls inside the window, the trajectory</w:t>
      </w:r>
      <w:r>
        <w:br/>
      </w:r>
      <w:r>
        <w:rPr>
          <w:rStyle w:val="NormalTok"/>
        </w:rPr>
        <w:t xml:space="preserve">    </w:t>
      </w:r>
      <w:r>
        <w:rPr>
          <w:rStyle w:val="CommentTok"/>
        </w:rPr>
        <w:t xml:space="preserve"># "accessible until the earliest deadline" satisfies all three. Counterexample = it fails.</w:t>
      </w:r>
      <w:r>
        <w:br/>
      </w:r>
      <w:r>
        <w:rPr>
          <w:rStyle w:val="NormalTok"/>
        </w:rPr>
        <w:t xml:space="preserve">    dl </w:t>
      </w:r>
      <w:r>
        <w:rPr>
          <w:rStyle w:val="OperatorTok"/>
        </w:rPr>
        <w:t xml:space="preserve">=</w:t>
      </w:r>
      <w:r>
        <w:rPr>
          <w:rStyle w:val="NormalTok"/>
        </w:rPr>
        <w:t xml:space="preserve"> If(req, If(ceil, If(tr </w:t>
      </w:r>
      <w:r>
        <w:rPr>
          <w:rStyle w:val="OperatorTok"/>
        </w:rPr>
        <w:t xml:space="preserve">+</w:t>
      </w:r>
      <w:r>
        <w:rPr>
          <w:rStyle w:val="NormalTok"/>
        </w:rPr>
        <w:t xml:space="preserve"> d </w:t>
      </w:r>
      <w:r>
        <w:rPr>
          <w:rStyle w:val="OperatorTok"/>
        </w:rPr>
        <w:t xml:space="preserve">&lt;</w:t>
      </w:r>
      <w:r>
        <w:rPr>
          <w:rStyle w:val="NormalTok"/>
        </w:rPr>
        <w:t xml:space="preserve"> e </w:t>
      </w:r>
      <w:r>
        <w:rPr>
          <w:rStyle w:val="OperatorTok"/>
        </w:rPr>
        <w:t xml:space="preserve">+</w:t>
      </w:r>
      <w:r>
        <w:rPr>
          <w:rStyle w:val="NormalTok"/>
        </w:rPr>
        <w:t xml:space="preserve"> L, tr </w:t>
      </w:r>
      <w:r>
        <w:rPr>
          <w:rStyle w:val="OperatorTok"/>
        </w:rPr>
        <w:t xml:space="preserve">+</w:t>
      </w:r>
      <w:r>
        <w:rPr>
          <w:rStyle w:val="NormalTok"/>
        </w:rPr>
        <w:t xml:space="preserve"> d, e </w:t>
      </w:r>
      <w:r>
        <w:rPr>
          <w:rStyle w:val="OperatorTok"/>
        </w:rPr>
        <w:t xml:space="preserve">+</w:t>
      </w:r>
      <w:r>
        <w:rPr>
          <w:rStyle w:val="NormalTok"/>
        </w:rPr>
        <w:t xml:space="preserve"> L), tr </w:t>
      </w:r>
      <w:r>
        <w:rPr>
          <w:rStyle w:val="OperatorTok"/>
        </w:rPr>
        <w:t xml:space="preserve">+</w:t>
      </w:r>
      <w:r>
        <w:rPr>
          <w:rStyle w:val="NormalTok"/>
        </w:rPr>
        <w:t xml:space="preserve"> d), If(ceil, e </w:t>
      </w:r>
      <w:r>
        <w:rPr>
          <w:rStyle w:val="OperatorTok"/>
        </w:rPr>
        <w:t xml:space="preserve">+</w:t>
      </w:r>
      <w:r>
        <w:rPr>
          <w:rStyle w:val="NormalTok"/>
        </w:rPr>
        <w:t xml:space="preserve"> L,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witness </w:t>
      </w:r>
      <w:r>
        <w:rPr>
          <w:rStyle w:val="OperatorTok"/>
        </w:rPr>
        <w:t xml:space="preserve">=</w:t>
      </w:r>
      <w:r>
        <w:rPr>
          <w:rStyle w:val="NormalTok"/>
        </w:rPr>
        <w:t xml:space="preserve"> [t </w:t>
      </w:r>
      <w:r>
        <w:rPr>
          <w:rStyle w:val="OperatorTok"/>
        </w:rPr>
        <w:t xml:space="preserve">&lt;</w:t>
      </w:r>
      <w:r>
        <w:rPr>
          <w:rStyle w:val="NormalTok"/>
        </w:rPr>
        <w:t xml:space="preserve"> dl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"P1  no deadline inside window =&gt; witness trajectory satisfies C1-C3"</w:t>
      </w:r>
      <w:r>
        <w:rPr>
          <w:rStyle w:val="NormalTok"/>
        </w:rPr>
        <w:t xml:space="preserve">,</w:t>
      </w:r>
      <w:r>
        <w:br/>
      </w:r>
      <w:r>
        <w:rPr>
          <w:rStyle w:val="NormalTok"/>
        </w:rPr>
        <w:t xml:space="preserve">                    And(B, Not(inside),</w:t>
      </w:r>
      <w:r>
        <w:br/>
      </w:r>
      <w:r>
        <w:rPr>
          <w:rStyle w:val="NormalTok"/>
        </w:rPr>
        <w:t xml:space="preserve">                        Not(And(C1(witness, ta, F), C2(witness, req, tr, d), C3(witness, ceil, e, L))))))</w:t>
      </w:r>
      <w:r>
        <w:br/>
      </w:r>
      <w:r>
        <w:br/>
      </w:r>
      <w:r>
        <w:rPr>
          <w:rStyle w:val="NormalTok"/>
        </w:rPr>
        <w:t xml:space="preserve">    </w:t>
      </w:r>
      <w:r>
        <w:rPr>
          <w:rStyle w:val="CommentTok"/>
        </w:rPr>
        <w:t xml:space="preserve"># Proposition 2: under Semantics II the constructive trajectory satisfies C1, C2 and C3</w:t>
      </w:r>
      <w:r>
        <w:br/>
      </w:r>
      <w:r>
        <w:rPr>
          <w:rStyle w:val="NormalTok"/>
        </w:rPr>
        <w:t xml:space="preserve">    </w:t>
      </w:r>
      <w:r>
        <w:rPr>
          <w:rStyle w:val="CommentTok"/>
        </w:rPr>
        <w:t xml:space="preserve"># for every arrival pattern and floor. The construction keeps m_acc and c, sets alpha = 0</w:t>
      </w:r>
      <w:r>
        <w:br/>
      </w:r>
      <w:r>
        <w:rPr>
          <w:rStyle w:val="NormalTok"/>
        </w:rPr>
        <w:t xml:space="preserve">    </w:t>
      </w:r>
      <w:r>
        <w:rPr>
          <w:rStyle w:val="CommentTok"/>
        </w:rPr>
        <w:t xml:space="preserve"># and logs iota from t_I = earliest deadline, and, where a ceiling applies (SPE records</w:t>
      </w:r>
      <w:r>
        <w:br/>
      </w:r>
      <w:r>
        <w:rPr>
          <w:rStyle w:val="NormalTok"/>
        </w:rPr>
        <w:t xml:space="preserve">    </w:t>
      </w:r>
      <w:r>
        <w:rPr>
          <w:rStyle w:val="CommentTok"/>
        </w:rPr>
        <w:t xml:space="preserve"># whose subject fields it reaches), sets beta = 0 and logs iota_subj from the ceiling.</w:t>
      </w:r>
      <w:r>
        <w:br/>
      </w:r>
      <w:r>
        <w:rPr>
          <w:rStyle w:val="NormalTok"/>
        </w:rPr>
        <w:t xml:space="preserve">    tI </w:t>
      </w:r>
      <w:r>
        <w:rPr>
          <w:rStyle w:val="OperatorTok"/>
        </w:rPr>
        <w:t xml:space="preserve">=</w:t>
      </w:r>
      <w:r>
        <w:rPr>
          <w:rStyle w:val="NormalTok"/>
        </w:rPr>
        <w:t xml:space="preserve"> dl</w:t>
      </w:r>
      <w:r>
        <w:br/>
      </w:r>
      <w:r>
        <w:rPr>
          <w:rStyle w:val="NormalTok"/>
        </w:rPr>
        <w:t xml:space="preserve">    traj </w:t>
      </w:r>
      <w:r>
        <w:rPr>
          <w:rStyle w:val="OperatorTok"/>
        </w:rPr>
        <w:t xml:space="preserve">=</w:t>
      </w:r>
      <w:r>
        <w:rPr>
          <w:rStyle w:val="NormalTok"/>
        </w:rPr>
        <w:t xml:space="preserve">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rPr>
          <w:rStyle w:val="NormalTok"/>
        </w:rPr>
        <w:t xml:space="preserve">    </w:t>
      </w:r>
      <w:r>
        <w:rPr>
          <w:rStyle w:val="KeywordTok"/>
        </w:rPr>
        <w:t xml:space="preserve">def</w:t>
      </w:r>
      <w:r>
        <w:rPr>
          <w:rStyle w:val="NormalTok"/>
        </w:rPr>
        <w:t xml:space="preserve"> sem2(macc, c, iota, beta, iota_s):</w:t>
      </w:r>
      <w:r>
        <w:br/>
      </w:r>
      <w:r>
        <w:rPr>
          <w:rStyle w:val="NormalTok"/>
        </w:rPr>
        <w:t xml:space="preserve">        V2 </w:t>
      </w:r>
      <w:r>
        <w:rPr>
          <w:rStyle w:val="OperatorTok"/>
        </w:rPr>
        <w:t xml:space="preserve">=</w:t>
      </w:r>
      <w:r>
        <w:rPr>
          <w:rStyle w:val="NormalTok"/>
        </w:rPr>
        <w:t xml:space="preserve"> [And(macc[t], c[t], Or(traj[t], iota[t]), Or(beta[t], iota_s[t]))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c1 </w:t>
      </w:r>
      <w:r>
        <w:rPr>
          <w:rStyle w:val="OperatorTok"/>
        </w:rPr>
        <w:t xml:space="preserve">=</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V2[t])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c3b </w:t>
      </w:r>
      <w:r>
        <w:rPr>
          <w:rStyle w:val="OperatorTok"/>
        </w:rPr>
        <w:t xml:space="preserve">=</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Not(beta[t]))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w:t>
      </w:r>
      <w:r>
        <w:rPr>
          <w:rStyle w:val="ControlFlowTok"/>
        </w:rPr>
        <w:t xml:space="preserve">return</w:t>
      </w:r>
      <w:r>
        <w:rPr>
          <w:rStyle w:val="NormalTok"/>
        </w:rPr>
        <w:t xml:space="preserve"> And(c1, C2(traj, req, tr, d), C3(traj, ceil, e, L), c3b)</w:t>
      </w:r>
      <w:r>
        <w:br/>
      </w:r>
      <w:r>
        <w:br/>
      </w:r>
      <w:r>
        <w:rPr>
          <w:rStyle w:val="NormalTok"/>
        </w:rPr>
        <w:t xml:space="preserve">    keep </w:t>
      </w:r>
      <w:r>
        <w:rPr>
          <w:rStyle w:val="OperatorTok"/>
        </w:rPr>
        <w:t xml:space="preserve">=</w:t>
      </w:r>
      <w:r>
        <w:rPr>
          <w:rStyle w:val="NormalTok"/>
        </w:rPr>
        <w:t xml:space="preserve"> [</w:t>
      </w:r>
      <w:r>
        <w:rPr>
          <w:rStyle w:val="VariableTok"/>
        </w:rPr>
        <w:t xml:space="preserve">True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 </w:t>
      </w:r>
      <w:r>
        <w:rPr>
          <w:rStyle w:val="OperatorTok"/>
        </w:rPr>
        <w:t xml:space="preserve">=</w:t>
      </w:r>
      <w:r>
        <w:rPr>
          <w:rStyle w:val="NormalTok"/>
        </w:rPr>
        <w:t xml:space="preserve"> [t </w:t>
      </w:r>
      <w:r>
        <w:rPr>
          <w:rStyle w:val="OperatorTok"/>
        </w:rPr>
        <w:t xml:space="preserve">&gt;=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beta </w:t>
      </w:r>
      <w:r>
        <w:rPr>
          <w:rStyle w:val="OperatorTok"/>
        </w:rPr>
        <w:t xml:space="preserve">=</w:t>
      </w:r>
      <w:r>
        <w:rPr>
          <w:rStyle w:val="NormalTok"/>
        </w:rPr>
        <w:t xml:space="preserve"> [Or(Not(ceil),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iota_s </w:t>
      </w:r>
      <w:r>
        <w:rPr>
          <w:rStyle w:val="OperatorTok"/>
        </w:rPr>
        <w:t xml:space="preserve">=</w:t>
      </w:r>
      <w:r>
        <w:rPr>
          <w:rStyle w:val="NormalTok"/>
        </w:rPr>
        <w:t xml:space="preserve"> [And(ceil, t </w:t>
      </w:r>
      <w:r>
        <w:rPr>
          <w:rStyle w:val="OperatorTok"/>
        </w:rPr>
        <w:t xml:space="preserve">&gt;=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"P2  constructive trajectory satisfies C1 (Sem II), C2, C3 for all inputs"</w:t>
      </w:r>
      <w:r>
        <w:rPr>
          <w:rStyle w:val="NormalTok"/>
        </w:rPr>
        <w:t xml:space="preserve">,</w:t>
      </w:r>
      <w:r>
        <w:br/>
      </w:r>
      <w:r>
        <w:rPr>
          <w:rStyle w:val="NormalTok"/>
        </w:rPr>
        <w:t xml:space="preserve">                    And(B, Not(sem2(keep, keep, iota, beta, iota_s)))))</w:t>
      </w:r>
      <w:r>
        <w:br/>
      </w:r>
      <w:r>
        <w:rPr>
          <w:rStyle w:val="NormalTok"/>
        </w:rPr>
        <w:t xml:space="preserve">    </w:t>
      </w:r>
      <w:r>
        <w:rPr>
          <w:rStyle w:val="CommentTok"/>
        </w:rPr>
        <w:t xml:space="preserve"># Mutations of the construction must be refuted (sat): no invalidation entry; the</w:t>
      </w:r>
      <w:r>
        <w:br/>
      </w:r>
      <w:r>
        <w:rPr>
          <w:rStyle w:val="NormalTok"/>
        </w:rPr>
        <w:t xml:space="preserve">    </w:t>
      </w:r>
      <w:r>
        <w:rPr>
          <w:rStyle w:val="CommentTok"/>
        </w:rPr>
        <w:t xml:space="preserve"># commitment removed at t_I; the subject link removed without its entry.</w:t>
      </w:r>
      <w:r>
        <w:br/>
      </w:r>
      <w:r>
        <w:rPr>
          <w:rStyle w:val="NormalTok"/>
        </w:rPr>
        <w:t xml:space="preserve">    mut2 </w:t>
      </w:r>
      <w:r>
        <w:rPr>
          <w:rStyle w:val="OperatorTok"/>
        </w:rPr>
        <w:t xml:space="preserve">=</w:t>
      </w:r>
      <w:r>
        <w:rPr>
          <w:rStyle w:val="NormalTok"/>
        </w:rPr>
        <w:t xml:space="preserve"> [Solver()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mut2[</w:t>
      </w:r>
      <w:r>
        <w:rPr>
          <w:rStyle w:val="DecValTok"/>
        </w:rPr>
        <w:t xml:space="preserve">0</w:t>
      </w:r>
      <w:r>
        <w:rPr>
          <w:rStyle w:val="NormalTok"/>
        </w:rPr>
        <w:t xml:space="preserve">].add(B, Not(sem2(keep, keep,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 beta, iota_s)))</w:t>
      </w:r>
      <w:r>
        <w:br/>
      </w:r>
      <w:r>
        <w:rPr>
          <w:rStyle w:val="NormalTok"/>
        </w:rPr>
        <w:t xml:space="preserve">    mut2[</w:t>
      </w:r>
      <w:r>
        <w:rPr>
          <w:rStyle w:val="DecValTok"/>
        </w:rPr>
        <w:t xml:space="preserve">1</w:t>
      </w:r>
      <w:r>
        <w:rPr>
          <w:rStyle w:val="NormalTok"/>
        </w:rPr>
        <w:t xml:space="preserve">].add(B, Not(sem2(keep,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 iota, beta, iota_s)))</w:t>
      </w:r>
      <w:r>
        <w:br/>
      </w:r>
      <w:r>
        <w:rPr>
          <w:rStyle w:val="NormalTok"/>
        </w:rPr>
        <w:t xml:space="preserve">    mut2[</w:t>
      </w:r>
      <w:r>
        <w:rPr>
          <w:rStyle w:val="DecValTok"/>
        </w:rPr>
        <w:t xml:space="preserve">2</w:t>
      </w:r>
      <w:r>
        <w:rPr>
          <w:rStyle w:val="NormalTok"/>
        </w:rPr>
        <w:t xml:space="preserve">].add(B, Not(sem2(keep, keep, iota, beta,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m2ok </w:t>
      </w:r>
      <w:r>
        <w:rPr>
          <w:rStyle w:val="OperatorTok"/>
        </w:rPr>
        <w:t xml:space="preserve">=</w:t>
      </w:r>
      <w:r>
        <w:rPr>
          <w:rStyle w:val="NormalTok"/>
        </w:rPr>
        <w:t xml:space="preserve"> </w:t>
      </w:r>
      <w:r>
        <w:rPr>
          <w:rStyle w:val="BuiltInTok"/>
        </w:rPr>
        <w:t xml:space="preserve">all</w:t>
      </w:r>
      <w:r>
        <w:rPr>
          <w:rStyle w:val="NormalTok"/>
        </w:rPr>
        <w:t xml:space="preserve">(m.check() </w:t>
      </w:r>
      <w:r>
        <w:rPr>
          <w:rStyle w:val="OperatorTok"/>
        </w:rPr>
        <w:t xml:space="preserve">==</w:t>
      </w:r>
      <w:r>
        <w:rPr>
          <w:rStyle w:val="NormalTok"/>
        </w:rPr>
        <w:t xml:space="preserve"> sat </w:t>
      </w:r>
      <w:r>
        <w:rPr>
          <w:rStyle w:val="ControlFlowTok"/>
        </w:rPr>
        <w:t xml:space="preserve">for</w:t>
      </w:r>
      <w:r>
        <w:rPr>
          <w:rStyle w:val="NormalTok"/>
        </w:rPr>
        <w:t xml:space="preserve"> m </w:t>
      </w:r>
      <w:r>
        <w:rPr>
          <w:rStyle w:val="KeywordTok"/>
        </w:rPr>
        <w:t xml:space="preserve">in</w:t>
      </w:r>
      <w:r>
        <w:rPr>
          <w:rStyle w:val="NormalTok"/>
        </w:rPr>
        <w:t xml:space="preserve"> mut2)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construction without iota / without c / without iota_subj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counterexamples found (as expected)'</w:t>
      </w:r>
      <w:r>
        <w:rPr>
          <w:rStyle w:val="NormalTok"/>
        </w:rPr>
        <w:t xml:space="preserve"> </w:t>
      </w:r>
      <w:r>
        <w:rPr>
          <w:rStyle w:val="ControlFlowTok"/>
        </w:rPr>
        <w:t xml:space="preserve">if</w:t>
      </w:r>
      <w:r>
        <w:rPr>
          <w:rStyle w:val="NormalTok"/>
        </w:rPr>
        <w:t xml:space="preserve"> m2ok </w:t>
      </w:r>
      <w:r>
        <w:rPr>
          <w:rStyle w:val="ControlFlowTok"/>
        </w:rPr>
        <w:t xml:space="preserve">else</w:t>
      </w:r>
      <w:r>
        <w:rPr>
          <w:rStyle w:val="NormalTok"/>
        </w:rPr>
        <w:t xml:space="preserve"> </w:t>
      </w:r>
      <w:r>
        <w:rPr>
          <w:rStyle w:val="StringTok"/>
        </w:rPr>
        <w:t xml:space="preserve">'UNSAT: check insensitive'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Proposition 3: floor F from t_a, ceiling L from e &gt;= t_a, Semantics I.</w:t>
      </w:r>
      <w:r>
        <w:br/>
      </w:r>
      <w:r>
        <w:rPr>
          <w:rStyle w:val="NormalTok"/>
        </w:rPr>
        <w:t xml:space="preserve">    </w:t>
      </w:r>
      <w:r>
        <w:rPr>
          <w:rStyle w:val="CommentTok"/>
        </w:rPr>
        <w:t xml:space="preserve"># (a) collision whenever e + L &lt;= t_a + F: no trajectory satisfies floor and ceiling.</w:t>
      </w:r>
      <w:r>
        <w:br/>
      </w:r>
      <w:r>
        <w:rPr>
          <w:rStyle w:val="NormalTok"/>
        </w:rPr>
        <w:t xml:space="preserve">    both </w:t>
      </w:r>
      <w:r>
        <w:rPr>
          <w:rStyle w:val="OperatorTok"/>
        </w:rPr>
        <w:t xml:space="preserve">=</w:t>
      </w:r>
      <w:r>
        <w:rPr>
          <w:rStyle w:val="NormalTok"/>
        </w:rPr>
        <w:t xml:space="preserve"> And(C1(alpha, ta, F), C3(alpha, </w:t>
      </w:r>
      <w:r>
        <w:rPr>
          <w:rStyle w:val="VariableTok"/>
        </w:rPr>
        <w:t xml:space="preserve">True</w:t>
      </w:r>
      <w:r>
        <w:rPr>
          <w:rStyle w:val="NormalTok"/>
        </w:rPr>
        <w:t xml:space="preserve">, e, L))</w:t>
      </w:r>
      <w:r>
        <w:br/>
      </w:r>
      <w:r>
        <w:rPr>
          <w:rStyle w:val="NormalTok"/>
        </w:rPr>
        <w:t xml:space="preserve">    ok.append(check(</w:t>
      </w:r>
      <w:r>
        <w:rPr>
          <w:rStyle w:val="StringTok"/>
        </w:rPr>
        <w:t xml:space="preserve">"P3  e + L &lt;= t_a + F =&gt; floor and ceiling not jointly satisfiable"</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both)))</w:t>
      </w:r>
      <w:r>
        <w:br/>
      </w:r>
      <w:r>
        <w:rPr>
          <w:rStyle w:val="NormalTok"/>
        </w:rPr>
        <w:t xml:space="preserve">    </w:t>
      </w:r>
      <w:r>
        <w:rPr>
          <w:rStyle w:val="CommentTok"/>
        </w:rPr>
        <w:t xml:space="preserve"># (b) no collision whenever e + L &gt; t_a + F: accessible-until-(e+L) satisfies both.</w:t>
      </w:r>
      <w:r>
        <w:br/>
      </w:r>
      <w:r>
        <w:rPr>
          <w:rStyle w:val="NormalTok"/>
        </w:rPr>
        <w:t xml:space="preserve">    w3 </w:t>
      </w:r>
      <w:r>
        <w:rPr>
          <w:rStyle w:val="OperatorTok"/>
        </w:rPr>
        <w:t xml:space="preserve">=</w:t>
      </w:r>
      <w:r>
        <w:rPr>
          <w:rStyle w:val="NormalTok"/>
        </w:rPr>
        <w:t xml:space="preserve">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"P3  e + L &gt; t_a + F =&gt;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 same anchor (e = t_a): satisfiable for the record iff L &gt; F.</w:t>
      </w:r>
      <w:r>
        <w:br/>
      </w:r>
      <w:r>
        <w:rPr>
          <w:rStyle w:val="NormalTok"/>
        </w:rPr>
        <w:t xml:space="preserve">    ok.append(check(</w:t>
      </w:r>
      <w:r>
        <w:rPr>
          <w:rStyle w:val="StringTok"/>
        </w:rPr>
        <w:t xml:space="preserve">"P3(i)  e = t_a: jointly satisfiable only if L &gt; F"</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&lt;=</w:t>
      </w:r>
      <w:r>
        <w:rPr>
          <w:rStyle w:val="NormalTok"/>
        </w:rPr>
        <w:t xml:space="preserve"> F, both)))</w:t>
      </w:r>
      <w:r>
        <w:br/>
      </w:r>
      <w:r>
        <w:rPr>
          <w:rStyle w:val="NormalTok"/>
        </w:rPr>
        <w:t xml:space="preserve">    ok.append(check(</w:t>
      </w:r>
      <w:r>
        <w:rPr>
          <w:rStyle w:val="StringTok"/>
        </w:rPr>
        <w:t xml:space="preserve">"P3(i)  e = t_a and L &gt; F: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&gt;</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(ii) external anchor with L &lt;= F: collision exactly when e - t_a &lt;= F - L.</w:t>
      </w:r>
      <w:r>
        <w:br/>
      </w:r>
      <w:r>
        <w:rPr>
          <w:rStyle w:val="NormalTok"/>
        </w:rPr>
        <w:t xml:space="preserve">    ok.append(check(</w:t>
      </w:r>
      <w:r>
        <w:rPr>
          <w:rStyle w:val="StringTok"/>
        </w:rPr>
        <w:t xml:space="preserve">"P3(ii) L &lt;= F, e - t_a &lt;= F - L =&gt; collision"</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&lt;=</w:t>
      </w:r>
      <w:r>
        <w:rPr>
          <w:rStyle w:val="NormalTok"/>
        </w:rPr>
        <w:t xml:space="preserve"> F </w:t>
      </w:r>
      <w:r>
        <w:rPr>
          <w:rStyle w:val="OperatorTok"/>
        </w:rPr>
        <w:t xml:space="preserve">-</w:t>
      </w:r>
      <w:r>
        <w:rPr>
          <w:rStyle w:val="NormalTok"/>
        </w:rPr>
        <w:t xml:space="preserve"> L, both)))</w:t>
      </w:r>
      <w:r>
        <w:br/>
      </w:r>
      <w:r>
        <w:rPr>
          <w:rStyle w:val="NormalTok"/>
        </w:rPr>
        <w:t xml:space="preserve">    ok.append(check(</w:t>
      </w:r>
      <w:r>
        <w:rPr>
          <w:rStyle w:val="StringTok"/>
        </w:rPr>
        <w:t xml:space="preserve">"P3(ii) L &lt;= F, e - t_a &gt;  F - L =&gt; witness satisfies both"</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&gt;</w:t>
      </w:r>
      <w:r>
        <w:rPr>
          <w:rStyle w:val="NormalTok"/>
        </w:rPr>
        <w:t xml:space="preserve"> F </w:t>
      </w:r>
      <w:r>
        <w:rPr>
          <w:rStyle w:val="OperatorTok"/>
        </w:rPr>
        <w:t xml:space="preserve">-</w:t>
      </w:r>
      <w:r>
        <w:rPr>
          <w:rStyle w:val="NormalTok"/>
        </w:rPr>
        <w:t xml:space="preserve"> L, Not(And(C1(w3, ta, F), C3(w3, </w:t>
      </w:r>
      <w:r>
        <w:rPr>
          <w:rStyle w:val="VariableTok"/>
        </w:rPr>
        <w:t xml:space="preserve">True</w:t>
      </w:r>
      <w:r>
        <w:rPr>
          <w:rStyle w:val="NormalTok"/>
        </w:rPr>
        <w:t xml:space="preserve">, e, L))))))</w:t>
      </w:r>
      <w:r>
        <w:br/>
      </w:r>
      <w:r>
        <w:br/>
      </w:r>
      <w:r>
        <w:rPr>
          <w:rStyle w:val="NormalTok"/>
        </w:rPr>
        <w:t xml:space="preserve">    </w:t>
      </w:r>
      <w:r>
        <w:rPr>
          <w:rStyle w:val="CommentTok"/>
        </w:rPr>
        <w:t xml:space="preserve"># Sanity: the encoding can return sat, so unsat above is not an artefact of a broken model.</w:t>
      </w:r>
      <w:r>
        <w:br/>
      </w:r>
      <w:r>
        <w:rPr>
          <w:rStyle w:val="NormalTok"/>
        </w:rPr>
        <w:t xml:space="preserve">    s </w:t>
      </w:r>
      <w:r>
        <w:rPr>
          <w:rStyle w:val="OperatorTok"/>
        </w:rPr>
        <w:t xml:space="preserve">=</w:t>
      </w:r>
      <w:r>
        <w:rPr>
          <w:rStyle w:val="NormalTok"/>
        </w:rPr>
        <w:t xml:space="preserve"> Solver()</w:t>
      </w:r>
      <w:r>
        <w:rPr>
          <w:rStyle w:val="OperatorTok"/>
        </w:rPr>
        <w:t xml:space="preserve">;</w:t>
      </w:r>
      <w:r>
        <w:rPr>
          <w:rStyle w:val="NormalTok"/>
        </w:rPr>
        <w:t xml:space="preserve"> s.add(B, Not(req), Not(ceil), C1(alpha, ta, F))</w:t>
      </w:r>
      <w:r>
        <w:br/>
      </w:r>
      <w:r>
        <w:rPr>
          <w:rStyle w:val="NormalTok"/>
        </w:rPr>
        <w:t xml:space="preserve">    sanity </w:t>
      </w:r>
      <w:r>
        <w:rPr>
          <w:rStyle w:val="OperatorTok"/>
        </w:rPr>
        <w:t xml:space="preserve">=</w:t>
      </w:r>
      <w:r>
        <w:rPr>
          <w:rStyle w:val="NormalTok"/>
        </w:rPr>
        <w:t xml:space="preserve"> s.check()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'sanity: no request, no ceiling =&gt; some trajectory satisfies C1'</w:t>
      </w:r>
      <w:r>
        <w:rPr>
          <w:rStyle w:val="SpecialCharTok"/>
        </w:rPr>
        <w:t xml:space="preserve">:&lt;74}</w:t>
      </w:r>
      <w:r>
        <w:rPr>
          <w:rStyle w:val="SpecialStringTok"/>
        </w:rPr>
        <w:t xml:space="preserve"> </w:t>
      </w:r>
      <w:r>
        <w:rPr>
          <w:rStyle w:val="SpecialCharTok"/>
        </w:rPr>
        <w:t xml:space="preserve">{</w:t>
      </w:r>
      <w:r>
        <w:rPr>
          <w:rStyle w:val="StringTok"/>
        </w:rPr>
        <w:t xml:space="preserve">'sat (as expected)'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'UNSAT: encoding broken'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Mutation checks: deliberately wrong versions of Proposition 3 must be refuted (sat),</w:t>
      </w:r>
      <w:r>
        <w:br/>
      </w:r>
      <w:r>
        <w:rPr>
          <w:rStyle w:val="NormalTok"/>
        </w:rPr>
        <w:t xml:space="preserve">    </w:t>
      </w:r>
      <w:r>
        <w:rPr>
          <w:rStyle w:val="CommentTok"/>
        </w:rPr>
        <w:t xml:space="preserve"># showing the checks are sensitive to an off-by-one in the condition.</w:t>
      </w:r>
      <w:r>
        <w:br/>
      </w:r>
      <w:r>
        <w:rPr>
          <w:rStyle w:val="NormalTok"/>
        </w:rPr>
        <w:t xml:space="preserve">    m1 </w:t>
      </w:r>
      <w:r>
        <w:rPr>
          <w:rStyle w:val="OperatorTok"/>
        </w:rPr>
        <w:t xml:space="preserve">=</w:t>
      </w:r>
      <w:r>
        <w:rPr>
          <w:rStyle w:val="NormalTok"/>
        </w:rPr>
        <w:t xml:space="preserve"> Solver()</w:t>
      </w:r>
      <w:r>
        <w:rPr>
          <w:rStyle w:val="OperatorTok"/>
        </w:rPr>
        <w:t xml:space="preserve">;</w:t>
      </w:r>
      <w:r>
        <w:rPr>
          <w:rStyle w:val="NormalTok"/>
        </w:rPr>
        <w:t xml:space="preserve"> m1.add(B,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both)       </w:t>
      </w:r>
      <w:r>
        <w:rPr>
          <w:rStyle w:val="CommentTok"/>
        </w:rPr>
        <w:t xml:space="preserve"># claims collision one month too late</w:t>
      </w:r>
      <w:r>
        <w:br/>
      </w:r>
      <w:r>
        <w:rPr>
          <w:rStyle w:val="NormalTok"/>
        </w:rPr>
        <w:t xml:space="preserve">    m2 </w:t>
      </w:r>
      <w:r>
        <w:rPr>
          <w:rStyle w:val="OperatorTok"/>
        </w:rPr>
        <w:t xml:space="preserve">=</w:t>
      </w:r>
      <w:r>
        <w:rPr>
          <w:rStyle w:val="NormalTok"/>
        </w:rPr>
        <w:t xml:space="preserve"> Solver()</w:t>
      </w:r>
      <w:r>
        <w:rPr>
          <w:rStyle w:val="OperatorTok"/>
        </w:rPr>
        <w:t xml:space="preserve">;</w:t>
      </w:r>
      <w:r>
        <w:rPr>
          <w:rStyle w:val="NormalTok"/>
        </w:rPr>
        <w:t xml:space="preserve"> m2.add(B,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Not(And(C1(w3, ta, F), C3(w3, </w:t>
      </w:r>
      <w:r>
        <w:rPr>
          <w:rStyle w:val="VariableTok"/>
        </w:rPr>
        <w:t xml:space="preserve">True</w:t>
      </w:r>
      <w:r>
        <w:rPr>
          <w:rStyle w:val="NormalTok"/>
        </w:rPr>
        <w:t xml:space="preserve">, e, L))))</w:t>
      </w:r>
      <w:r>
        <w:br/>
      </w:r>
      <w:r>
        <w:rPr>
          <w:rStyle w:val="NormalTok"/>
        </w:rPr>
        <w:t xml:space="preserve">    mut </w:t>
      </w:r>
      <w:r>
        <w:rPr>
          <w:rStyle w:val="OperatorTok"/>
        </w:rPr>
        <w:t xml:space="preserve">=</w:t>
      </w:r>
      <w:r>
        <w:rPr>
          <w:rStyle w:val="NormalTok"/>
        </w:rPr>
        <w:t xml:space="preserve"> m1.check() </w:t>
      </w:r>
      <w:r>
        <w:rPr>
          <w:rStyle w:val="OperatorTok"/>
        </w:rPr>
        <w:t xml:space="preserve">==</w:t>
      </w:r>
      <w:r>
        <w:rPr>
          <w:rStyle w:val="NormalTok"/>
        </w:rPr>
        <w:t xml:space="preserve"> sat </w:t>
      </w:r>
      <w:r>
        <w:rPr>
          <w:rStyle w:val="KeywordTok"/>
        </w:rPr>
        <w:t xml:space="preserve">and</w:t>
      </w:r>
      <w:r>
        <w:rPr>
          <w:rStyle w:val="NormalTok"/>
        </w:rPr>
        <w:t xml:space="preserve"> m2.check()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Proposition 3 with an off-by-one condition is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 found (as expected)'</w:t>
      </w:r>
      <w:r>
        <w:rPr>
          <w:rStyle w:val="NormalTok"/>
        </w:rPr>
        <w:t xml:space="preserve"> </w:t>
      </w:r>
      <w:r>
        <w:rPr>
          <w:rStyle w:val="ControlFlowTok"/>
        </w:rPr>
        <w:t xml:space="preserve">if</w:t>
      </w:r>
      <w:r>
        <w:rPr>
          <w:rStyle w:val="NormalTok"/>
        </w:rPr>
        <w:t xml:space="preserve"> mut </w:t>
      </w:r>
      <w:r>
        <w:rPr>
          <w:rStyle w:val="ControlFlowTok"/>
        </w:rPr>
        <w:t xml:space="preserve">else</w:t>
      </w:r>
      <w:r>
        <w:rPr>
          <w:rStyle w:val="NormalTok"/>
        </w:rPr>
        <w:t xml:space="preserve"> </w:t>
      </w:r>
      <w:r>
        <w:rPr>
          <w:rStyle w:val="StringTok"/>
        </w:rPr>
        <w:t xml:space="preserve">'UNSAT: checks insensitive'</w:t>
      </w:r>
      <w:r>
        <w:rPr>
          <w:rStyle w:val="SpecialCharTok"/>
        </w:rPr>
        <w:t xml:space="preserve">}</w:t>
      </w:r>
      <w:r>
        <w:rPr>
          <w:rStyle w:val="SpecialStringTok"/>
        </w:rPr>
        <w:t xml:space="preserve">"</w:t>
      </w:r>
      <w:r>
        <w:rPr>
          <w:rStyle w:val="NormalTok"/>
        </w:rPr>
        <w:t xml:space="preserve">)</w:t>
      </w:r>
      <w:r>
        <w:br/>
      </w:r>
      <w:r>
        <w:rPr>
          <w:rStyle w:val="NormalTok"/>
        </w:rPr>
        <w:t xml:space="preserve">    sanity </w:t>
      </w:r>
      <w:r>
        <w:rPr>
          <w:rStyle w:val="OperatorTok"/>
        </w:rPr>
        <w:t xml:space="preserve">=</w:t>
      </w:r>
      <w:r>
        <w:rPr>
          <w:rStyle w:val="NormalTok"/>
        </w:rPr>
        <w:t xml:space="preserve"> sanity </w:t>
      </w:r>
      <w:r>
        <w:rPr>
          <w:rStyle w:val="KeywordTok"/>
        </w:rPr>
        <w:t xml:space="preserve">and</w:t>
      </w:r>
      <w:r>
        <w:rPr>
          <w:rStyle w:val="NormalTok"/>
        </w:rPr>
        <w:t xml:space="preserve"> mut </w:t>
      </w:r>
      <w:r>
        <w:rPr>
          <w:rStyle w:val="KeywordTok"/>
        </w:rPr>
        <w:t xml:space="preserve">and</w:t>
      </w:r>
      <w:r>
        <w:rPr>
          <w:rStyle w:val="NormalTok"/>
        </w:rPr>
        <w:t xml:space="preserve"> m2ok</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BuiltInTok"/>
        </w:rPr>
        <w:t xml:space="preserve">sum</w:t>
      </w:r>
      <w:r>
        <w:rPr>
          <w:rStyle w:val="NormalTok"/>
        </w:rPr>
        <w:t xml:space="preserve">(ok)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 checks found no counterexample; sanity and mutation checks </w:t>
      </w:r>
      <w:r>
        <w:rPr>
          <w:rStyle w:val="SpecialCharTok"/>
        </w:rPr>
        <w:t xml:space="preserve">{</w:t>
      </w:r>
      <w:r>
        <w:rPr>
          <w:rStyle w:val="StringTok"/>
        </w:rPr>
        <w:t xml:space="preserve">'passed'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'FAILED'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8"/>
    <w:bookmarkStart w:id="129" w:name="X86d27b959083564fe26ec2516ea1ac03f98e8cf"/>
    <w:p>
      <w:pPr>
        <w:pStyle w:val="Heading2"/>
      </w:pPr>
      <w:r>
        <w:t xml:space="preserve">A.24 Console output of the bounded SMT check</w:t>
      </w:r>
    </w:p>
    <w:p>
      <w:pPr>
        <w:pStyle w:val="FirstParagraph"/>
      </w:pPr>
      <w:r>
        <w:t xml:space="preserve">Verbatim output of</w:t>
      </w:r>
      <w:r>
        <w:t xml:space="preserve"> </w:t>
      </w:r>
      <w:r>
        <w:rPr>
          <w:rStyle w:val="VerbatimChar"/>
        </w:rPr>
        <w:t xml:space="preserve">python3 z3_check.py</w:t>
      </w:r>
      <w:r>
        <w:t xml:space="preserve"> </w:t>
      </w:r>
      <w:r>
        <w:t xml:space="preserve">(Z3 5.1.0). Nine checks find no counterexample; the sanity check finds a satisfying trajectory and the mutation check finds counterexamples, as they must.</w:t>
      </w:r>
    </w:p>
    <w:p>
      <w:pPr>
        <w:pStyle w:val="SourceCode"/>
      </w:pPr>
      <w:r>
        <w:rPr>
          <w:rStyle w:val="VerbatimChar"/>
        </w:rPr>
        <w:t xml:space="preserve">====================================================================================================</w:t>
      </w:r>
      <w:r>
        <w:br/>
      </w:r>
      <w:r>
        <w:rPr>
          <w:rStyle w:val="VerbatimChar"/>
        </w:rPr>
        <w:t xml:space="preserve">                             BOUNDED SMT CHECK OF PROPOSITIONS 1-3 (Z3)                             </w:t>
      </w:r>
      <w:r>
        <w:br/>
      </w:r>
      <w:r>
        <w:rPr>
          <w:rStyle w:val="VerbatimChar"/>
        </w:rPr>
        <w:t xml:space="preserve">====================================================================================================</w:t>
      </w:r>
      <w:r>
        <w:br/>
      </w:r>
      <w:r>
        <w:rPr>
          <w:rStyle w:val="VerbatimChar"/>
        </w:rPr>
        <w:t xml:space="preserve">bounds: t_a 0..12, F 1..120, delta 1..3, t_r and e in [t_a, 140], L 1..120, horizon 140</w:t>
      </w:r>
      <w:r>
        <w:br/>
      </w:r>
      <w:r>
        <w:rPr>
          <w:rStyle w:val="VerbatimChar"/>
        </w:rPr>
        <w:t xml:space="preserve">P1  deadline inside window =&gt; no trajectory satisfies C1-C3 (Sem I)        unsat (no counterexample)</w:t>
      </w:r>
      <w:r>
        <w:br/>
      </w:r>
      <w:r>
        <w:rPr>
          <w:rStyle w:val="VerbatimChar"/>
        </w:rPr>
        <w:t xml:space="preserve">P1  no deadline inside window =&gt; witness trajectory satisfies C1-C3        unsat (no counterexample)</w:t>
      </w:r>
      <w:r>
        <w:br/>
      </w:r>
      <w:r>
        <w:rPr>
          <w:rStyle w:val="VerbatimChar"/>
        </w:rPr>
        <w:t xml:space="preserve">P2  constructive trajectory satisfies C1 (Sem II), C2, C3 for all inputs   unsat (no counterexample)</w:t>
      </w:r>
      <w:r>
        <w:br/>
      </w:r>
      <w:r>
        <w:rPr>
          <w:rStyle w:val="VerbatimChar"/>
        </w:rPr>
        <w:t xml:space="preserve">mutation: construction without iota / without c / without iota_subj refuted sat, counterexamples found (as expected)</w:t>
      </w:r>
      <w:r>
        <w:br/>
      </w:r>
      <w:r>
        <w:rPr>
          <w:rStyle w:val="VerbatimChar"/>
        </w:rPr>
        <w:t xml:space="preserve">P3  e + L &lt;= t_a + F =&gt; floor and ceiling not jointly satisfiable          unsat (no counterexample)</w:t>
      </w:r>
      <w:r>
        <w:br/>
      </w:r>
      <w:r>
        <w:rPr>
          <w:rStyle w:val="VerbatimChar"/>
        </w:rPr>
        <w:t xml:space="preserve">P3  e + L &gt; t_a + F =&gt; witness satisfies floor and ceiling                 unsat (no counterexample)</w:t>
      </w:r>
      <w:r>
        <w:br/>
      </w:r>
      <w:r>
        <w:rPr>
          <w:rStyle w:val="VerbatimChar"/>
        </w:rPr>
        <w:t xml:space="preserve">P3(i)  e = t_a: jointly satisfiable only if L &gt; F                          unsat (no counterexample)</w:t>
      </w:r>
      <w:r>
        <w:br/>
      </w:r>
      <w:r>
        <w:rPr>
          <w:rStyle w:val="VerbatimChar"/>
        </w:rPr>
        <w:t xml:space="preserve">P3(i)  e = t_a and L &gt; F: witness satisfies floor and ceiling              unsat (no counterexample)</w:t>
      </w:r>
      <w:r>
        <w:br/>
      </w:r>
      <w:r>
        <w:rPr>
          <w:rStyle w:val="VerbatimChar"/>
        </w:rPr>
        <w:t xml:space="preserve">P3(ii) L &lt;= F, e - t_a &lt;= F - L =&gt; collision                               unsat (no counterexample)</w:t>
      </w:r>
      <w:r>
        <w:br/>
      </w:r>
      <w:r>
        <w:rPr>
          <w:rStyle w:val="VerbatimChar"/>
        </w:rPr>
        <w:t xml:space="preserve">P3(ii) L &lt;= F, e - t_a &gt;  F - L =&gt; witness satisfies both                  unsat (no counterexample)</w:t>
      </w:r>
      <w:r>
        <w:br/>
      </w:r>
      <w:r>
        <w:rPr>
          <w:rStyle w:val="VerbatimChar"/>
        </w:rPr>
        <w:t xml:space="preserve">sanity: no request, no ceiling =&gt; some trajectory satisfies C1             sat (as expected)</w:t>
      </w:r>
      <w:r>
        <w:br/>
      </w:r>
      <w:r>
        <w:rPr>
          <w:rStyle w:val="VerbatimChar"/>
        </w:rPr>
        <w:t xml:space="preserve">mutation: Proposition 3 with an off-by-one condition is refuted            sat, counterexample found (as expected)</w:t>
      </w:r>
      <w:r>
        <w:br/>
      </w:r>
      <w:r>
        <w:rPr>
          <w:rStyle w:val="VerbatimChar"/>
        </w:rPr>
        <w:t xml:space="preserve">====================================================================================================</w:t>
      </w:r>
      <w:r>
        <w:br/>
      </w:r>
      <w:r>
        <w:rPr>
          <w:rStyle w:val="VerbatimChar"/>
        </w:rPr>
        <w:t xml:space="preserve">RESULT: 9/9 checks found no counterexample; sanity and mutation checks passed</w:t>
      </w:r>
      <w:r>
        <w:br/>
      </w:r>
      <w:r>
        <w:rPr>
          <w:rStyle w:val="VerbatimChar"/>
        </w:rPr>
        <w:t xml:space="preserve">====================================================================================================</w:t>
      </w:r>
    </w:p>
    <w:bookmarkEnd w:id="129"/>
    <w:bookmarkEnd w:id="130"/>
    <w:bookmarkStart w:id="137" w:name="appendix-b.-search-query-log"/>
    <w:p>
      <w:pPr>
        <w:pStyle w:val="Heading1"/>
      </w:pPr>
      <w:bookmarkStart w:id="1088" w:name="app_B"/>
      <w:r>
        <w:t xml:space="preserve">Appendix B. Search Query Log</w:t>
      </w:r>
      <w:bookmarkEnd w:id="1088"/>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31"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w:t>
      </w:r>
    </w:p>
    <w:p>
      <w:pPr>
        <w:pStyle w:val="Compact"/>
        <w:numPr>
          <w:ilvl w:val="0"/>
          <w:numId w:val="1007"/>
        </w:numPr>
      </w:pPr>
      <w:r>
        <w:rPr>
          <w:rStyle w:val="VerbatimChar"/>
        </w:rPr>
        <w:t xml:space="preserve">KONFIDO project \</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h\u00f8ring Regulation 2024/1689</w:t>
      </w:r>
    </w:p>
    <w:bookmarkEnd w:id="131"/>
    <w:bookmarkStart w:id="132"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2"/>
    <w:bookmarkStart w:id="133"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w:t>
      </w:r>
    </w:p>
    <w:p>
      <w:pPr>
        <w:pStyle w:val="Compact"/>
        <w:numPr>
          <w:ilvl w:val="0"/>
          <w:numId w:val="1009"/>
        </w:numPr>
      </w:pPr>
      <w:r>
        <w:rPr>
          <w:rStyle w:val="VerbatimChar"/>
        </w:rPr>
        <w:t xml:space="preserve">TRF model gate feasibility theorem crypto-erasure invalidation chapter 4</w:t>
      </w:r>
    </w:p>
    <w:p>
      <w:pPr>
        <w:pStyle w:val="Compact"/>
        <w:numPr>
          <w:ilvl w:val="0"/>
          <w:numId w:val="1009"/>
        </w:numPr>
      </w:pPr>
      <w:r>
        <w:rPr>
          <w:rStyle w:val="VerbatimChar"/>
        </w:rPr>
        <w:t xml:space="preserve">Norge EHDS E\u00d8S gjennomf\u00f8ring helsedata juni 2026</w:t>
      </w:r>
    </w:p>
    <w:p>
      <w:pPr>
        <w:pStyle w:val="Compact"/>
        <w:numPr>
          <w:ilvl w:val="0"/>
          <w:numId w:val="1009"/>
        </w:numPr>
      </w:pPr>
      <w:r>
        <w:rPr>
          <w:rStyle w:val="VerbatimChar"/>
        </w:rPr>
        <w:t xml:space="preserve">Google Drive read file content</w:t>
      </w:r>
    </w:p>
    <w:bookmarkEnd w:id="133"/>
    <w:bookmarkStart w:id="134"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34"/>
    <w:bookmarkStart w:id="135"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35"/>
    <w:bookmarkStart w:id="136"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36"/>
    <w:bookmarkEnd w:id="137"/>
    <w:bookmarkStart w:id="157" w:name="appendix-c.-expert-evaluation-instrument"/>
    <w:p>
      <w:pPr>
        <w:pStyle w:val="Heading1"/>
      </w:pPr>
      <w:bookmarkStart w:id="1089" w:name="app_C"/>
      <w:r>
        <w:t xml:space="preserve">Appendix C. Expert Evaluation Instrument</w:t>
      </w:r>
      <w:bookmarkEnd w:id="1089"/>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39"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38"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38"/>
    <w:bookmarkEnd w:id="139"/>
    <w:bookmarkStart w:id="140"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40"/>
    <w:bookmarkStart w:id="141"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41"/>
    <w:bookmarkStart w:id="142"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2"/>
    <w:bookmarkStart w:id="147"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3"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3"/>
    <w:bookmarkStart w:id="144"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4"/>
    <w:bookmarkStart w:id="145"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45"/>
    <w:bookmarkStart w:id="146"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46"/>
    <w:bookmarkEnd w:id="147"/>
    <w:bookmarkStart w:id="153"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8"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erasure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48"/>
    <w:bookmarkStart w:id="149"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49"/>
    <w:bookmarkStart w:id="150"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finalised national criteria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50"/>
    <w:bookmarkStart w:id="151"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51"/>
    <w:bookmarkStart w:id="152"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2"/>
    <w:bookmarkEnd w:id="153"/>
    <w:bookmarkStart w:id="154"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54"/>
    <w:bookmarkStart w:id="155"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55"/>
    <w:bookmarkStart w:id="156"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56"/>
    <w:bookmarkEnd w:id="157"/>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2026-10-05T14:20:33Z</dcterms:created>
  <dcterms:modified xsi:type="dcterms:W3CDTF">2026-10-05T14:20:33Z</dcterms:modified>
</cp:coreProperties>
</file>

<file path=docProps/custom.xml><?xml version="1.0" encoding="utf-8"?>
<Properties xmlns="http://schemas.openxmlformats.org/officeDocument/2006/custom-properties" xmlns:vt="http://schemas.openxmlformats.org/officeDocument/2006/docPropsVTypes"/>
</file>