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Revisions since the version reviewed on 4 October 2026 (commit aa86290), including the reviewer's tracked changes</w:t>
      </w:r>
    </w:p>
    <w:p>
      <w:pPr>
        <w:pStyle w:val="BodyText"/>
      </w:pPr>
      <w:r>
        <w:t xml:space="preserve">Every change to the front matter and Chapters 1–7 is shown as a tracked insertion or deletion (Review → Track Changes → All Markup). Appendices and the reference list are regenerated from the code and the chapter lists and are not compared here. Tables and equations are compared as text; the formatted thesis is the separate file VERA-SNARK_Thesis_SUBMISSION.docx. Paragraphs unchanged: 592; revised: 64; new: 19; removed: 5.</w:t>
      </w:r>
    </w:p>
    <w:p>
      <w:pPr>
        <w:pStyle w:val="Heading2"/>
      </w:pPr>
      <w:r>
        <w:t xml:space="preserve">Abstract</w:t>
      </w:r>
    </w:p>
    <w:p>
      <w:pPr>
        <w:pStyle w:val="BodyText"/>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w:t>
      </w:r>
      <w:del w:id="1" w:author="Arshad Akhtar Abbasia" w:date="2026-10-04T12:00:00Z">
        <w:r>
          <w:delText xml:space="preserve">and </w:delText>
        </w:r>
      </w:del>
      <w:ins w:id="2" w:author="Arshad Akhtar Abbasia" w:date="2026-10-04T12:00:00Z">
        <w:r>
          <w:t xml:space="preserve">and, for Secure Processing Environment logs at the deletion ceiling, </w:t>
        </w:r>
      </w:ins>
      <w:r>
        <w:t xml:space="preserve">removes the record’s link to the patient, while retaining the accessor’s identity, event metadata, a hiding commitment and a logged invalidation entry in a tamper-evident log.</w:t>
      </w:r>
    </w:p>
    <w:p>
      <w:pPr>
        <w:pStyle w:val="BodyText"/>
      </w:pPr>
      <w:r>
        <w:t xml:space="preserve">Both results are </w:t>
      </w:r>
      <w:del w:id="3" w:author="Arshad Akhtar Abbasia" w:date="2026-10-04T12:00:00Z">
        <w:r>
          <w:delText xml:space="preserve">demonstrated </w:delText>
        </w:r>
      </w:del>
      <w:ins w:id="4" w:author="Arshad Akhtar Abbasia" w:date="2026-10-04T12:00:00Z">
        <w:r>
          <w:t xml:space="preserve">checked </w:t>
        </w:r>
      </w:ins>
      <w:r>
        <w:t xml:space="preserve">in a Python sandbox over two hundred records with Synthea-generated FHIR R4 </w:t>
      </w:r>
      <w:del w:id="5" w:author="Arshad Akhtar Abbasia" w:date="2026-10-04T12:00:00Z">
        <w:r>
          <w:delText xml:space="preserve">payloads: ninety-five violations across ninety records under plaintext semantics, </w:delText>
        </w:r>
      </w:del>
      <w:ins w:id="6" w:author="Arshad Akhtar Abbasia" w:date="2026-10-04T12:00:00Z">
        <w:r>
          <w:t xml:space="preserve">payloads. The counts depend on the generator parameters </w:t>
        </w:r>
      </w:ins>
      <w:r>
        <w:t xml:space="preserve">and </w:t>
      </w:r>
      <w:del w:id="7" w:author="Arshad Akhtar Abbasia" w:date="2026-10-04T12:00:00Z">
        <w:r>
          <w:delText xml:space="preserve">none under accountability-preserving semantics. Thirty-nine </w:delText>
        </w:r>
      </w:del>
      <w:ins w:id="8" w:author="Arshad Akhtar Abbasia" w:date="2026-10-04T12:00:00Z">
        <w:r>
          <w:t xml:space="preserve">are not estimates of real frequency; the sandbox validates the artefact’s implementation </w:t>
        </w:r>
      </w:ins>
      <w:r>
        <w:t xml:space="preserve">of the </w:t>
      </w:r>
      <w:del w:id="9" w:author="Arshad Akhtar Abbasia" w:date="2026-10-04T12:00:00Z">
        <w:r>
          <w:delText xml:space="preserve">violations arise in access-log records </w:delText>
        </w:r>
      </w:del>
      <w:ins w:id="10" w:author="Arshad Akhtar Abbasia" w:date="2026-10-04T12:00:00Z">
        <w:r>
          <w:t xml:space="preserve">model and is not independent evidence for the propositions. The collision </w:t>
        </w:r>
      </w:ins>
      <w:r>
        <w:t xml:space="preserve">that </w:t>
      </w:r>
      <w:del w:id="11" w:author="Arshad Akhtar Abbasia" w:date="2026-10-04T12:00:00Z">
        <w:r>
          <w:delText xml:space="preserve">received </w:delText>
        </w:r>
      </w:del>
      <w:ins w:id="12" w:author="Arshad Akhtar Abbasia" w:date="2026-10-04T12:00:00Z">
        <w:r>
          <w:t xml:space="preserve">needs </w:t>
        </w:r>
      </w:ins>
      <w:r>
        <w:t xml:space="preserve">no erasure </w:t>
      </w:r>
      <w:del w:id="13" w:author="Arshad Akhtar Abbasia" w:date="2026-10-04T12:00:00Z">
        <w:r>
          <w:delText xml:space="preserve">request, but </w:delText>
        </w:r>
      </w:del>
      <w:ins w:id="14" w:author="Arshad Akhtar Abbasia" w:date="2026-10-04T12:00:00Z">
        <w:r>
          <w:t xml:space="preserve">request arises </w:t>
        </w:r>
      </w:ins>
      <w:r>
        <w:t xml:space="preserve">only on a contestable </w:t>
      </w:r>
      <w:ins w:id="15" w:author="Arshad Akhtar Abbasia" w:date="2026-10-04T12:00:00Z">
        <w:r>
          <w:t xml:space="preserve">broad </w:t>
        </w:r>
      </w:ins>
      <w:r>
        <w:t xml:space="preserve">reading of Article 68(12), </w:t>
      </w:r>
      <w:del w:id="16" w:author="Arshad Akhtar Abbasia" w:date="2026-10-04T12:00:00Z">
        <w:r>
          <w:delText xml:space="preserve">the broad reading, </w:delText>
        </w:r>
      </w:del>
      <w:r>
        <w:t xml:space="preserve">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t xml:space="preserve">Keywords: 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pPr>
        <w:pStyle w:val="Heading2"/>
      </w:pPr>
      <w:r>
        <w:t xml:space="preserve">Sammendrag</w:t>
      </w:r>
    </w:p>
    <w:p>
      <w:pPr>
        <w:pStyle w:val="BodyText"/>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w:t>
      </w:r>
      <w:del w:id="17" w:author="Arshad Akhtar Abbasia" w:date="2026-10-04T12:00:00Z">
        <w:r>
          <w:delText xml:space="preserve">fjerner </w:delText>
        </w:r>
      </w:del>
      <w:ins w:id="18" w:author="Arshad Akhtar Abbasia" w:date="2026-10-04T12:00:00Z">
        <w:r>
          <w:t xml:space="preserve">fjerner, for tilgangslogger i sikre analyserom når sletteplikten inntreffer, </w:t>
        </w:r>
      </w:ins>
      <w:r>
        <w:t xml:space="preserve">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w:t>
      </w:r>
      <w:del w:id="19" w:author="Arshad Akhtar Abbasia" w:date="2026-10-04T12:00:00Z">
        <w:r>
          <w:delText xml:space="preserve">demonstreres </w:delText>
        </w:r>
      </w:del>
      <w:ins w:id="20" w:author="Arshad Akhtar Abbasia" w:date="2026-10-04T12:00:00Z">
        <w:r>
          <w:t xml:space="preserve">kontrolleres </w:t>
        </w:r>
      </w:ins>
      <w:r>
        <w:t xml:space="preserve">i en Python-sandkasse med to hundre poster og syntetiske FHIR R4-data generert med </w:t>
      </w:r>
      <w:del w:id="21" w:author="Arshad Akhtar Abbasia" w:date="2026-10-04T12:00:00Z">
        <w:r>
          <w:delText xml:space="preserve">Synthea: nittifem brudd fordelt på nitti poster under klartekstsemantikk, </w:delText>
        </w:r>
      </w:del>
      <w:ins w:id="22" w:author="Arshad Akhtar Abbasia" w:date="2026-10-04T12:00:00Z">
        <w:r>
          <w:t xml:space="preserve">Synthea. Antallene avhenger av parameterne i generatoren </w:t>
        </w:r>
      </w:ins>
      <w:r>
        <w:t xml:space="preserve">og </w:t>
      </w:r>
      <w:del w:id="23" w:author="Arshad Akhtar Abbasia" w:date="2026-10-04T12:00:00Z">
        <w:r>
          <w:delText xml:space="preserve">ingen under semantikk </w:delText>
        </w:r>
      </w:del>
      <w:ins w:id="24" w:author="Arshad Akhtar Abbasia" w:date="2026-10-04T12:00:00Z">
        <w:r>
          <w:t xml:space="preserve">er ikke anslag over reell hyppighet; sandkassen kontrollerer at artefakten implementerer modellen riktig og er ikke uavhengig belegg for proposisjonene. Kollisjonen </w:t>
        </w:r>
      </w:ins>
      <w:r>
        <w:t xml:space="preserve">som </w:t>
      </w:r>
      <w:del w:id="25" w:author="Arshad Akhtar Abbasia" w:date="2026-10-04T12:00:00Z">
        <w:r>
          <w:delText xml:space="preserve">bevarer etterrettelighet. Trettini av bruddene oppstår i tilgangslogger uten </w:delText>
        </w:r>
      </w:del>
      <w:ins w:id="26" w:author="Arshad Akhtar Abbasia" w:date="2026-10-04T12:00:00Z">
        <w:r>
          <w:t xml:space="preserve">ikke krever </w:t>
        </w:r>
      </w:ins>
      <w:r>
        <w:t xml:space="preserve">noen slettebegjæring, </w:t>
      </w:r>
      <w:del w:id="27" w:author="Arshad Akhtar Abbasia" w:date="2026-10-04T12:00:00Z">
        <w:r>
          <w:delText xml:space="preserve">men </w:delText>
        </w:r>
      </w:del>
      <w:ins w:id="28" w:author="Arshad Akhtar Abbasia" w:date="2026-10-04T12:00:00Z">
        <w:r>
          <w:t xml:space="preserve">oppstår </w:t>
        </w:r>
      </w:ins>
      <w:r>
        <w:t xml:space="preserve">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t xml:space="preserve">Nøkkelord: europeisk helsedataområde; GDPR artikkel 17; kryptografisk sletting; revisjonsspor; lagringstid; design science-forskning; sikkert analyserom; MyHealth@EU; informasjonslogistikk; Norge</w:t>
      </w:r>
    </w:p>
    <w:p>
      <w:pPr>
        <w:pStyle w:val="Heading2"/>
      </w:pPr>
      <w:r>
        <w:t xml:space="preserve">Statement of Contribution</w:t>
      </w:r>
    </w:p>
    <w:p>
      <w:pPr>
        <w:pStyle w:val="BodyText"/>
      </w:pPr>
      <w:r>
        <w:t xml:space="preserve">This thesis makes four contributions, each stated at the level it can be defended.</w:t>
      </w:r>
    </w:p>
    <w:p>
      <w:pPr>
        <w:pStyle w:val="BodyText"/>
      </w:pPr>
      <w:r>
        <w:t xml:space="preserve">1. A formal model of the tri-lateral retention conflict. 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t xml:space="preserve">2. Feasibility results with an executable witness. Proposition 1 establishes infeasibility under the semantics of an audit log that keeps its payload readable. Proposition 2 establishes satisfiability under an alternative and exhibits the trajectory achieving it. Both are proved informally and </w:t>
      </w:r>
      <w:del w:id="29" w:author="Arshad Akhtar Abbasia" w:date="2026-10-04T12:00:00Z">
        <w:r>
          <w:delText xml:space="preserve">demonstrated </w:delText>
        </w:r>
      </w:del>
      <w:ins w:id="30" w:author="Arshad Akhtar Abbasia" w:date="2026-10-04T12:00:00Z">
        <w:r>
          <w:t xml:space="preserve">checked </w:t>
        </w:r>
      </w:ins>
      <w:r>
        <w:t xml:space="preserve">executably, with </w:t>
      </w:r>
      <w:del w:id="31" w:author="Arshad Akhtar Abbasia" w:date="2026-10-04T12:00:00Z">
        <w:r>
          <w:delText xml:space="preserve">an independent </w:delText>
        </w:r>
      </w:del>
      <w:ins w:id="32" w:author="Arshad Akhtar Abbasia" w:date="2026-10-04T12:00:00Z">
        <w:r>
          <w:t xml:space="preserve">a separately written </w:t>
        </w:r>
      </w:ins>
      <w:r>
        <w:t xml:space="preserve">exhaustive </w:t>
      </w:r>
      <w:del w:id="33" w:author="Arshad Akhtar Abbasia" w:date="2026-10-04T12:00:00Z">
        <w:r>
          <w:delText xml:space="preserve">cross-check. </w:delText>
        </w:r>
      </w:del>
      <w:ins w:id="34" w:author="Arshad Akhtar Abbasia" w:date="2026-10-04T12:00:00Z">
        <w:r>
          <w:t xml:space="preserve">cross-check and a bounded SMT check of Propositions 1–3. </w:t>
        </w:r>
      </w:ins>
      <w:r>
        <w:t xml:space="preserve">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t xml:space="preserve">3. A mechanism specification with its residue analysed against the applicable legal threshold. Crypto-Erasure by Invalidation is specified in implementable detail, with each record’s metadata partitioned into the accessor’s fields, which accountability requires and the mechanism retains, and the link to the patient, which it </w:t>
      </w:r>
      <w:del w:id="35" w:author="Arshad Akhtar Abbasia" w:date="2026-10-04T12:00:00Z">
        <w:r>
          <w:delText xml:space="preserve">removes, </w:delText>
        </w:r>
      </w:del>
      <w:ins w:id="36" w:author="Arshad Akhtar Abbasia" w:date="2026-10-04T12:00:00Z">
        <w:r>
          <w:t xml:space="preserve">keeps on the cross-border path where the person’s access-information right needs it and removes from Secure Processing Environment logs at the ceiling, </w:t>
        </w:r>
      </w:ins>
      <w:r>
        <w:t xml:space="preserve">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t xml:space="preserve">4. An integration analysis against verified Norwegian infrastructure. 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t xml:space="preserve">What is not claimed. 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pPr>
        <w:pStyle w:val="Heading2"/>
      </w:pPr>
      <w:r>
        <w:t xml:space="preserve">Declaration of Originality</w:t>
      </w:r>
    </w:p>
    <w:p>
      <w:pPr>
        <w:pStyle w:val="BodyText"/>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t xml:space="preserve">Ethics. 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t xml:space="preserve">Sources. 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t xml:space="preserve">Use of AI assistance. 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pPr>
        <w:pStyle w:val="Heading2"/>
      </w:pPr>
      <w:r>
        <w:t xml:space="preserve">Nomenclature and Abbreviations</w:t>
      </w:r>
    </w:p>
    <w:p>
      <w:pPr>
        <w:pStyle w:val="BodyText"/>
      </w:pPr>
      <w:r>
        <w:t xml:space="preserve">Model notation</w:t>
      </w:r>
    </w:p>
    <w:p>
      <w:pPr>
        <w:pStyle w:val="BodyText"/>
      </w:pPr>
      <w:r>
        <w:t xml:space="preserve">--------------------------------------------------------------------------------------------------------------------------------------- Symbol Meaning ----------------------------------- --------------------------------------------------------------------------------------------------- a An audit record</w:t>
      </w:r>
    </w:p>
    <w:p>
      <w:pPr>
        <w:pStyle w:val="BodyText"/>
      </w:pPr>
      <w:r>
        <w:t xml:space="preserve">m(a) Event metadata — actor, contact point, patient pseudonym, document category, legal basis, outcome</w:t>
      </w:r>
    </w:p>
    <w:p>
      <w:pPr>
        <w:pStyle w:val="BodyText"/>
      </w:pPr>
      <w:r>
        <w:t xml:space="preserve">p(a) Personal-data payload of the record</w:t>
      </w:r>
    </w:p>
    <w:p>
      <w:pPr>
        <w:pStyle w:val="BodyText"/>
      </w:pPr>
      <w:r>
        <w:t xml:space="preserve">c(a) Hiding commitment to the payload, c = Commit(p, r)</w:t>
      </w:r>
    </w:p>
    <w:p>
      <w:pPr>
        <w:pStyle w:val="BodyText"/>
      </w:pPr>
      <w:r>
        <w:t xml:space="preserve">r(a) Per-record commitment salt</w:t>
      </w:r>
    </w:p>
    <w:p>
      <w:pPr>
        <w:pStyle w:val="BodyText"/>
      </w:pPr>
      <w:r>
        <w:t xml:space="preserve">k(a) Payload key</w:t>
      </w:r>
    </w:p>
    <w:p>
      <w:pPr>
        <w:pStyle w:val="BodyText"/>
      </w:pPr>
      <w:r>
        <w:t xml:space="preserve">ι(a) Invalidation entry — month, legal ground, authorising actor</w:t>
      </w:r>
    </w:p>
    <w:p>
      <w:pPr>
        <w:pStyle w:val="BodyText"/>
      </w:pPr>
      <w:r>
        <w:t xml:space="preserve">t(a) Month in which the access event occurred</w:t>
      </w:r>
    </w:p>
    <w:p>
      <w:pPr>
        <w:pStyle w:val="BodyText"/>
      </w:pPr>
      <w:r>
        <w:t xml:space="preserve">F(a) Retention floor, in months (120 cross-border; 12 for SPE access logs)</w:t>
      </w:r>
    </w:p>
    <w:p>
      <w:pPr>
        <w:pStyle w:val="BodyText"/>
      </w:pPr>
      <w:r>
        <w:t xml:space="preserve">σ(a) Pathway: primary or secondary</w:t>
      </w:r>
    </w:p>
    <w:p>
      <w:pPr>
        <w:pStyle w:val="BodyText"/>
      </w:pPr>
      <w:r>
        <w:t xml:space="preserve">tᵣ(a) Month an erasure request arrives (∞ if none)</w:t>
      </w:r>
    </w:p>
    <w:p>
      <w:pPr>
        <w:pStyle w:val="BodyText"/>
      </w:pPr>
      <w:r>
        <w:t xml:space="preserve">tπ(a) Month a data permit expires (∞ if not applicable)</w:t>
      </w:r>
    </w:p>
    <w:p>
      <w:pPr>
        <w:pStyle w:val="BodyText"/>
      </w:pPr>
      <w:r>
        <w:t xml:space="preserve">tᴵ(a) Invalidation month, min(tᵣ + δ, tπ + 6)</w:t>
      </w:r>
    </w:p>
    <w:p>
      <w:pPr>
        <w:pStyle w:val="BodyText"/>
      </w:pPr>
      <w:r>
        <w:t xml:space="preserve">δ Erasure response period, in months (GDPR Art. 12(3))</w:t>
      </w:r>
    </w:p>
    <w:p>
      <w:pPr>
        <w:pStyle w:val="BodyText"/>
      </w:pPr>
      <w:r>
        <w:t xml:space="preserve">α(a, t) Payload accessibility at month t — 1 if recoverable, 0 otherwise</w:t>
      </w:r>
    </w:p>
    <w:p>
      <w:pPr>
        <w:pStyle w:val="BodyText"/>
      </w:pPr>
      <w:r>
        <w:t xml:space="preserve">V(a, t) Whether the record counts as verifiable at month t</w:t>
      </w:r>
    </w:p>
    <w:p>
      <w:pPr>
        <w:pStyle w:val="BodyText"/>
      </w:pPr>
      <w:r>
        <w:t xml:space="preserve">Vᴵ, Vᴵᴵ Verifiability under Semantics I (plaintext) and Semantics II (accountability-preserving)</w:t>
      </w:r>
    </w:p>
    <w:p>
      <w:pPr>
        <w:pStyle w:val="BodyText"/>
      </w:pPr>
      <w:r>
        <w:t xml:space="preserve">C1, C2, C3 Retention floor, erasure right, and deletion ceiling constraints ---------------------------------------------------------------------------------------------------------------------------------------</w:t>
      </w:r>
    </w:p>
    <w:p>
      <w:pPr>
        <w:pStyle w:val="BodyText"/>
      </w:pPr>
      <w:r>
        <w:t xml:space="preserve">Abbreviations</w:t>
      </w:r>
    </w:p>
    <w:p>
      <w:pPr>
        <w:pStyle w:val="BodyText"/>
      </w:pPr>
      <w:r>
        <w:t xml:space="preserve">--------------------------------------------------------------------------------------------------- Term Expansion ----------------------------------- --------------------------------------------------------------- ATNA Audit Trail and Node Authentication (IHE integration profile)</w:t>
      </w:r>
    </w:p>
    <w:p>
      <w:pPr>
        <w:pStyle w:val="BodyText"/>
      </w:pPr>
      <w:r>
        <w:t xml:space="preserve">CEF Coordinated Enforcement Framework (EDPB)</w:t>
      </w:r>
    </w:p>
    <w:p>
      <w:pPr>
        <w:pStyle w:val="BodyText"/>
      </w:pPr>
      <w:r>
        <w:t xml:space="preserve">DSR Design Science Research</w:t>
      </w:r>
    </w:p>
    <w:p>
      <w:pPr>
        <w:pStyle w:val="BodyText"/>
      </w:pPr>
      <w:r>
        <w:t xml:space="preserve">EDPB European Data Protection Board</w:t>
      </w:r>
    </w:p>
    <w:p>
      <w:pPr>
        <w:pStyle w:val="BodyText"/>
      </w:pPr>
      <w:r>
        <w:t xml:space="preserve">EEA European Economic Area</w:t>
      </w:r>
    </w:p>
    <w:p>
      <w:pPr>
        <w:pStyle w:val="BodyText"/>
      </w:pPr>
      <w:r>
        <w:t xml:space="preserve">EEHRxF European Electronic Health Record Exchange Format</w:t>
      </w:r>
    </w:p>
    <w:p>
      <w:pPr>
        <w:pStyle w:val="BodyText"/>
      </w:pPr>
      <w:r>
        <w:t xml:space="preserve">eHDSI eHealth Digital Service Infrastructure</w:t>
      </w:r>
    </w:p>
    <w:p>
      <w:pPr>
        <w:pStyle w:val="BodyText"/>
      </w:pPr>
      <w:r>
        <w:t xml:space="preserve">eHMSEG eHealth Member States Expert Group</w:t>
      </w:r>
    </w:p>
    <w:p>
      <w:pPr>
        <w:pStyle w:val="BodyText"/>
      </w:pPr>
      <w:r>
        <w:t xml:space="preserve">eHOMB eHealth Operational Management Board</w:t>
      </w:r>
    </w:p>
    <w:p>
      <w:pPr>
        <w:pStyle w:val="BodyText"/>
      </w:pPr>
      <w:r>
        <w:t xml:space="preserve">EHDS European Health Data Space</w:t>
      </w:r>
    </w:p>
    <w:p>
      <w:pPr>
        <w:pStyle w:val="BodyText"/>
      </w:pPr>
      <w:r>
        <w:t xml:space="preserve">FHIR Fast Healthcare Interoperability Resources (HL7)</w:t>
      </w:r>
    </w:p>
    <w:p>
      <w:pPr>
        <w:pStyle w:val="BodyText"/>
      </w:pPr>
      <w:r>
        <w:t xml:space="preserve">GDPR General Data Protection Regulation (EU) 2016/679</w:t>
      </w:r>
    </w:p>
    <w:p>
      <w:pPr>
        <w:pStyle w:val="BodyText"/>
      </w:pPr>
      <w:r>
        <w:t xml:space="preserve">HDAB Health Data Access Body</w:t>
      </w:r>
    </w:p>
    <w:p>
      <w:pPr>
        <w:pStyle w:val="BodyText"/>
      </w:pPr>
      <w:r>
        <w:t xml:space="preserve">HSM Hardware Security Module</w:t>
      </w:r>
    </w:p>
    <w:p>
      <w:pPr>
        <w:pStyle w:val="BodyText"/>
      </w:pPr>
      <w:r>
        <w:t xml:space="preserve">IHE Integrating the Healthcare Enterprise</w:t>
      </w:r>
    </w:p>
    <w:p>
      <w:pPr>
        <w:pStyle w:val="BodyText"/>
      </w:pPr>
      <w:r>
        <w:t xml:space="preserve">NCPeH National Contact Point for eHealth</w:t>
      </w:r>
    </w:p>
    <w:p>
      <w:pPr>
        <w:pStyle w:val="BodyText"/>
      </w:pPr>
      <w:r>
        <w:t xml:space="preserve">NHN Norsk Helsenett SF</w:t>
      </w:r>
    </w:p>
    <w:p>
      <w:pPr>
        <w:pStyle w:val="BodyText"/>
      </w:pPr>
      <w:r>
        <w:t xml:space="preserve">NIST National Institute of Standards and Technology (US)</w:t>
      </w:r>
    </w:p>
    <w:p>
      <w:pPr>
        <w:pStyle w:val="BodyText"/>
      </w:pPr>
      <w:r>
        <w:t xml:space="preserve">NORTRE Norwegian Trusted Research Environments</w:t>
      </w:r>
    </w:p>
    <w:p>
      <w:pPr>
        <w:pStyle w:val="BodyText"/>
      </w:pPr>
      <w:r>
        <w:t xml:space="preserve">OpenNCP Open National Contact Point software stack</w:t>
      </w:r>
    </w:p>
    <w:p>
      <w:pPr>
        <w:pStyle w:val="BodyText"/>
      </w:pPr>
      <w:r>
        <w:t xml:space="preserve">PoSE Proof of Secure Erasure</w:t>
      </w:r>
    </w:p>
    <w:p>
      <w:pPr>
        <w:pStyle w:val="BodyText"/>
      </w:pPr>
      <w:r>
        <w:t xml:space="preserve">SoK Systematization of Knowledge</w:t>
      </w:r>
    </w:p>
    <w:p>
      <w:pPr>
        <w:pStyle w:val="BodyText"/>
      </w:pPr>
      <w:r>
        <w:t xml:space="preserve">SPE Secure Processing Environment</w:t>
      </w:r>
    </w:p>
    <w:p>
      <w:pPr>
        <w:pStyle w:val="BodyText"/>
      </w:pPr>
      <w:r>
        <w:t xml:space="preserve">SPUHiN Secure Provision and Use of Health Data in Norway (project)</w:t>
      </w:r>
    </w:p>
    <w:p>
      <w:pPr>
        <w:pStyle w:val="BodyText"/>
      </w:pPr>
      <w:r>
        <w:t xml:space="preserve">TEHDAS2 Towards European Health Data Space, Joint Action 2</w:t>
      </w:r>
    </w:p>
    <w:p>
      <w:pPr>
        <w:pStyle w:val="BodyText"/>
      </w:pPr>
      <w:r>
        <w:t xml:space="preserve">TRF Tri-Lateral Retention Feasibility (Model)</w:t>
      </w:r>
    </w:p>
    <w:p>
      <w:pPr>
        <w:pStyle w:val="BodyText"/>
      </w:pPr>
      <w:r>
        <w:t xml:space="preserve">zk-SNARK Zero-Knowledge Succinct Non-Interactive Argument of Knowledge ---------------------------------------------------------------------------------------------------</w:t>
      </w:r>
    </w:p>
    <w:p>
      <w:pPr>
        <w:pStyle w:val="BodyText"/>
      </w:pPr>
      <w:r>
        <w:t xml:space="preserve">A note on the project name. 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pPr>
        <w:pStyle w:val="Heading1"/>
      </w:pPr>
      <w:r>
        <w:t xml:space="preserve">Chapter 1. Introduction</w:t>
      </w:r>
    </w:p>
    <w:p>
      <w:pPr>
        <w:pStyle w:val="Heading2"/>
      </w:pPr>
      <w:r>
        <w:t xml:space="preserve">1.1 Background and Context</w:t>
      </w:r>
    </w:p>
    <w:p>
      <w:pPr>
        <w:pStyle w:val="BodyText"/>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Chapter 2, Section 2.2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 “the keeping of identifiable logs of access to and activities in the secure processing environment for the period necessary to verify and audit all processing operations in that environment; logs of access shall be kept for at least one year” (European Parliament and Council of the European Union, 2025). Article 68(12) provides that “the electronic health data within the secure processing environment shall be deleted within six months of the expiry of the data permit”.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p>
      <w:pPr>
        <w:pStyle w:val="Heading2"/>
      </w:pPr>
      <w:r>
        <w:t xml:space="preserve">1.2 Problem Statement</w:t>
      </w:r>
    </w:p>
    <w:p>
      <w:pPr>
        <w:pStyle w:val="BodyText"/>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Section 1.1),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 necessary for the legal obligation, and the data-minimisation principle of Article 5(1)(c) GDPR requires that no more personal data be retained than the obligation demands. Retaining the full plaintext </w:t>
      </w:r>
      <w:del w:id="37" w:author="Arshad Akhtar Abbasia" w:date="2026-10-04T12:00:00Z">
        <w:r>
          <w:delText xml:space="preserve">personal-data </w:delText>
        </w:r>
      </w:del>
      <w:r>
        <w:t xml:space="preserve">payload of an audit record for the length of the floor exceeds what accountability requires, since the accountability function of the record can be preserved without continued access to that </w:t>
      </w:r>
      <w:del w:id="38" w:author="Arshad Akhtar Abbasia" w:date="2026-10-04T12:00:00Z">
        <w:r>
          <w:delText xml:space="preserve">payload. </w:delText>
        </w:r>
      </w:del>
      <w:ins w:id="39" w:author="Arshad Akhtar Abbasia" w:date="2026-10-04T12:00:00Z">
        <w:r>
          <w:t xml:space="preserve">payload; for Secure Processing Environment logs the thesis argues this for the part of the payload auditing does not need (Chapter 4, Corollary 2.3). </w:t>
        </w:r>
      </w:ins>
      <w:r>
        <w:t xml:space="preserve">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w:t>
      </w:r>
      <w:del w:id="40" w:author="Arshad Akhtar Abbasia" w:date="2026-10-04T12:00:00Z">
        <w:r>
          <w:delText xml:space="preserve">pathway, </w:delText>
        </w:r>
      </w:del>
      <w:ins w:id="41" w:author="Arshad Akhtar Abbasia" w:date="2026-10-04T12:00:00Z">
        <w:r>
          <w:t xml:space="preserve">pathway through erasure requests, </w:t>
        </w:r>
      </w:ins>
      <w:r>
        <w:t xml:space="preserve">and </w:t>
      </w:r>
      <w:ins w:id="42" w:author="Arshad Akhtar Abbasia" w:date="2026-10-04T12:00:00Z">
        <w:r>
          <w:t xml:space="preserve">on one reading of Article 68(12) it arises </w:t>
        </w:r>
      </w:ins>
      <w:r>
        <w:t xml:space="preserve">there </w:t>
      </w:r>
      <w:del w:id="43" w:author="Arshad Akhtar Abbasia" w:date="2026-10-04T12:00:00Z">
        <w:r>
          <w:delText xml:space="preserve">it is at its sharpest. </w:delText>
        </w:r>
      </w:del>
      <w:ins w:id="44" w:author="Arshad Akhtar Abbasia" w:date="2026-10-04T12:00:00Z">
        <w:r>
          <w:t xml:space="preserve">even without them. </w:t>
        </w:r>
      </w:ins>
      <w:r>
        <w:t xml:space="preserve">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p>
      <w:pPr>
        <w:pStyle w:val="Heading2"/>
      </w:pPr>
      <w:r>
        <w:t xml:space="preserve">1.3 Research Objectives and Questions</w:t>
      </w:r>
    </w:p>
    <w:p>
      <w:pPr>
        <w:pStyle w:val="BodyText"/>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itself divided into the accessor’s fields and the link to the patient, and a </w:t>
      </w:r>
      <w:del w:id="45" w:author="Arshad Akhtar Abbasia" w:date="2026-10-04T12:00:00Z">
        <w:r>
          <w:delText xml:space="preserve">personal-data </w:delText>
        </w:r>
      </w:del>
      <w:r>
        <w:t xml:space="preserve">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t xml:space="preserve">Primary research question. 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t xml:space="preserve">SQ1. 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t xml:space="preserve">SQ2. 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t xml:space="preserve">SQ3. 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p>
      <w:pPr>
        <w:pStyle w:val="Heading2"/>
      </w:pPr>
      <w:r>
        <w:t xml:space="preserve">1.4 Significance and Relevance</w:t>
      </w:r>
    </w:p>
    <w:p>
      <w:pPr>
        <w:pStyle w:val="BodyText"/>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Section 1.1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w:t>
      </w:r>
      <w:del w:id="46" w:author="Arshad Akhtar Abbasia" w:date="2026-10-04T12:00:00Z">
        <w:r>
          <w:delText xml:space="preserve">even </w:delText>
        </w:r>
      </w:del>
      <w:ins w:id="47" w:author="Arshad Akhtar Abbasia" w:date="2026-10-04T12:00:00Z">
        <w:r>
          <w:t xml:space="preserve">also </w:t>
        </w:r>
      </w:ins>
      <w:r>
        <w:t xml:space="preserve">for the conflict’s </w:t>
      </w:r>
      <w:del w:id="48" w:author="Arshad Akhtar Abbasia" w:date="2026-10-04T12:00:00Z">
        <w:r>
          <w:delText xml:space="preserve">sharpest instance. </w:delText>
        </w:r>
      </w:del>
      <w:ins w:id="49" w:author="Arshad Akhtar Abbasia" w:date="2026-10-04T12:00:00Z">
        <w:r>
          <w:t xml:space="preserve">conditional extension. </w:t>
        </w:r>
      </w:ins>
      <w:r>
        <w:t xml:space="preserve">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 “while ensuring compliance with applicable legal obligations and traceability or reproducibility requirements”, leaves the balance to each operator’s policy, and in its expert commentary names “open questions about how accountability and anonymisation obligations intersect” (TEHDAS2,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p>
      <w:pPr>
        <w:pStyle w:val="Heading2"/>
      </w:pPr>
      <w:r>
        <w:t xml:space="preserve">1.5 Scope and Out-of-Scope</w:t>
      </w:r>
    </w:p>
    <w:p>
      <w:pPr>
        <w:pStyle w:val="BodyText"/>
      </w:pPr>
      <w:r>
        <w:t xml:space="preserve">This thesis is bounded by a deliberate and explicit scope, set by what can be defended within the time and resources of an MSc thesis.</w:t>
      </w:r>
    </w:p>
    <w:p>
      <w:pPr>
        <w:pStyle w:val="BodyText"/>
      </w:pPr>
      <w:r>
        <w:t xml:space="preserve">The thesis contributes a formal model, a design-science specification derived from it, and an executable demonstration. 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 not include the following. First, it does not build a working zero-knowledge SNARK circuit; no component of the mechanism requires one, and the cryptographic machinery that an earlier design iteration envisaged is treated as future work, at the one point where it becomes necessary (Chapter 7, Section 7.5).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p>
      <w:pPr>
        <w:pStyle w:val="Heading2"/>
      </w:pPr>
      <w:r>
        <w:t xml:space="preserve">1.6 Methodological Approach</w:t>
      </w:r>
    </w:p>
    <w:p>
      <w:pPr>
        <w:pStyle w:val="BodyText"/>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p>
      <w:pPr>
        <w:pStyle w:val="Heading2"/>
      </w:pPr>
      <w:r>
        <w:t xml:space="preserve">1.7 Thesis Structure</w:t>
      </w:r>
    </w:p>
    <w:p>
      <w:pPr>
        <w:pStyle w:val="BodyText"/>
      </w:pPr>
      <w:r>
        <w:t xml:space="preserve">The thesis is organised in seven chapters and appendices.</w:t>
      </w:r>
    </w:p>
    <w:p>
      <w:pPr>
        <w:pStyle w:val="BodyText"/>
      </w:pPr>
      <w:r>
        <w:t xml:space="preserve">Chapter 1 introduces the regulatory background, the problem, the research objectives, the significance of the study, the scope and explicit out-of-scope boundaries, and the methodological approach.</w:t>
      </w:r>
    </w:p>
    <w:p>
      <w:pPr>
        <w:pStyle w:val="BodyText"/>
      </w:pPr>
      <w:r>
        <w:t xml:space="preserve">Chapter 2 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r>
        <w:t xml:space="preserve">Chapter 3 establishes the design science research paradigm, the specification-and-demonstration variant extended with formal modelling, the synthetic data methodology, the sandbox approach, and validity, reliability, and ethical considerations.</w:t>
      </w:r>
    </w:p>
    <w:p>
      <w:pPr>
        <w:pStyle w:val="BodyText"/>
      </w:pPr>
      <w:r>
        <w:t xml:space="preserve">Chapter 4 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(Table 4.1).</w:t>
      </w:r>
    </w:p>
    <w:p>
      <w:pPr>
        <w:pStyle w:val="BodyText"/>
      </w:pPr>
      <w:r>
        <w:t xml:space="preserve">Chapter 5 presents the sandbox demonstration: the executable feasibility check, the </w:t>
      </w:r>
      <w:del w:id="50" w:author="Arshad Akhtar Abbasia" w:date="2026-10-04T12:00:00Z">
        <w:r>
          <w:delText xml:space="preserve">independent </w:delText>
        </w:r>
      </w:del>
      <w:ins w:id="51" w:author="Arshad Akhtar Abbasia" w:date="2026-10-04T12:00:00Z">
        <w:r>
          <w:t xml:space="preserve">separately written </w:t>
        </w:r>
      </w:ins>
      <w:r>
        <w:t xml:space="preserve">exhaustive cross-check, </w:t>
      </w:r>
      <w:ins w:id="52" w:author="Arshad Akhtar Abbasia" w:date="2026-10-04T12:00:00Z">
        <w:r>
          <w:t xml:space="preserve">a bounded SMT check of Propositions 1–3, </w:t>
        </w:r>
      </w:ins>
      <w:r>
        <w:t xml:space="preserve">the audit-log integrity and tamper tests, and the optional run with real envelope encryption. Chapter 6 discusses findings and their implications for practice, theory, and policy, engages the principal counter-positions, and tests the model on a statute outside health. Chapter 7 concludes, summarises contributions, revisits limitations, and outlines future work.</w:t>
      </w:r>
    </w:p>
    <w:p>
      <w:pPr>
        <w:pStyle w:val="Heading1"/>
      </w:pPr>
      <w:r>
        <w:t xml:space="preserve">Chapter 2. Literature Review and Theoretical Foundation</w:t>
      </w:r>
    </w:p>
    <w:p>
      <w:pPr>
        <w:pStyle w:val="Heading2"/>
      </w:pPr>
      <w:r>
        <w:t xml:space="preserve">2.1 Review Protocol</w:t>
      </w:r>
    </w:p>
    <w:p>
      <w:pPr>
        <w:pStyle w:val="Heading3"/>
      </w:pPr>
      <w:r>
        <w:t xml:space="preserve">2.1.1 Type of review and why it is named as such</w:t>
      </w:r>
    </w:p>
    <w:p>
      <w:pPr>
        <w:pStyle w:val="BodyText"/>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p>
      <w:pPr>
        <w:pStyle w:val="Heading3"/>
      </w:pPr>
      <w:r>
        <w:t xml:space="preserve">2.1.2 What the review had to establish</w:t>
      </w:r>
    </w:p>
    <w:p>
      <w:pPr>
        <w:pStyle w:val="BodyText"/>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p>
      <w:pPr>
        <w:pStyle w:val="Heading3"/>
      </w:pPr>
      <w:r>
        <w:t xml:space="preserve">2.1.3 Sources searched</w:t>
      </w:r>
    </w:p>
    <w:p>
      <w:pPr>
        <w:pStyle w:val="BodyText"/>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p>
      <w:pPr>
        <w:pStyle w:val="Heading3"/>
      </w:pPr>
      <w:r>
        <w:t xml:space="preserve">2.1.4 Search rounds</w:t>
      </w:r>
    </w:p>
    <w:p>
      <w:pPr>
        <w:pStyle w:val="BodyText"/>
      </w:pPr>
      <w:r>
        <w:t xml:space="preserve">--------------------------------------------------------------------------------------------------------------------------------- Round Date Purpose Distinct queries ----------------- -------------------- ---------------------------------------------------------------------- ------------------- 0 before 24 May 2026 Exploratory reading and drafting, documented at artifact level only not recoverable</w:t>
      </w:r>
    </w:p>
    <w:p>
      <w:pPr>
        <w:pStyle w:val="BodyText"/>
      </w:pPr>
      <w:r>
        <w:t xml:space="preserve">1 25 May 2026 Landscape, infrastructure, regulatory baseline 16</w:t>
      </w:r>
    </w:p>
    <w:p>
      <w:pPr>
        <w:pStyle w:val="BodyText"/>
      </w:pPr>
      <w:r>
        <w:t xml:space="preserve">2 29 May 2026 Verification and correction of the initial draft’s claims 10</w:t>
      </w:r>
    </w:p>
    <w:p>
      <w:pPr>
        <w:pStyle w:val="BodyText"/>
      </w:pPr>
      <w:r>
        <w:t xml:space="preserve">3 15 September 2026 Resumption; novelty audit and currency check 10</w:t>
      </w:r>
    </w:p>
    <w:p>
      <w:pPr>
        <w:pStyle w:val="BodyText"/>
      </w:pPr>
      <w:r>
        <w:t xml:space="preserve">4 16 September 2026 Adversarial novelty testing, prior art, final currency 23</w:t>
      </w:r>
    </w:p>
    <w:p>
      <w:pPr>
        <w:pStyle w:val="BodyText"/>
      </w:pPr>
      <w:r>
        <w:t xml:space="preserve">5 28 September 2026 Locator verification and source-standing audit; no discovery queries 18 locator checks</w:t>
      </w:r>
    </w:p>
    <w:p>
      <w:pPr>
        <w:pStyle w:val="BodyText"/>
      </w:pPr>
      <w:r>
        <w:t xml:space="preserve">Total discovery and verification queries, rounds 1–4 59 ---------------------------------------------------------------------------------------------------------------------------------</w:t>
      </w:r>
    </w:p>
    <w:p>
      <w:pPr>
        <w:pStyle w:val="BodyText"/>
      </w:pPr>
      <w:r>
        <w:t xml:space="preserve">Round 0 is the exploratory reading that preceded the documented rounds. Its queries were not recorded, and it contributes nothing to the absence claim of Section 2.9,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p>
      <w:pPr>
        <w:pStyle w:val="Heading3"/>
      </w:pPr>
      <w:r>
        <w:t xml:space="preserve">2.1.5 Selection criteria and screening</w:t>
      </w:r>
    </w:p>
    <w:p>
      <w:pPr>
        <w:pStyle w:val="BodyText"/>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p>
      <w:pPr>
        <w:pStyle w:val="Heading3"/>
      </w:pPr>
      <w:r>
        <w:t xml:space="preserve">2.1.6 Prospective Boolean protocol for replication</w:t>
      </w:r>
    </w:p>
    <w:p>
      <w:pPr>
        <w:pStyle w:val="BodyText"/>
      </w:pPr>
      <w:r>
        <w:t xml:space="preserve">The following strings are offered so that a researcher may test this review’s conclusions against a systematic sweep of indexed databases. They were not the instrument used here, and are stated prospectively.</w:t>
      </w:r>
    </w:p>
    <w:p>
      <w:pPr>
        <w:pStyle w:val="BodyText"/>
      </w:pPr>
      <w:r>
        <w:t xml:space="preserve">------------------------------------------------------------------------------------------------------------------------------------------------------------------------------------------------------------------------------------------------- # Target String ----------------------- -------------------------- ---------------------------------------------------------------------------------------------------------------------------------------------------------------------------------------------- B1 Scopus, Web of Science TITLE-ABS-KEY(("crypto-shredding" OR "cryptographic erasure" OR "crypto erasure" OR "secure deletion" OR "data sanitization") AND ("GDPR" OR "right to erasure" OR "right to be forgotten"))</w:t>
      </w:r>
    </w:p>
    <w:p>
      <w:pPr>
        <w:pStyle w:val="BodyText"/>
      </w:pPr>
      <w:r>
        <w:t xml:space="preserve">B2 Scopus, IEEE Xplore TITLE-ABS-KEY(("audit log" OR "audit trail" OR "access log") AND ("retention" OR "retention period") AND ("erasure" OR "deletion") AND ("conflict" OR "tension" OR "reconcil*"))</w:t>
      </w:r>
    </w:p>
    <w:p>
      <w:pPr>
        <w:pStyle w:val="BodyText"/>
      </w:pPr>
      <w:r>
        <w:t xml:space="preserve">B3 Scopus, PubMed TITLE-ABS-KEY(("European Health Data Space" OR "EHDS" OR "MyHealth@EU" OR "eHDSI") AND ("secure processing environment" OR "audit" OR "retention" OR "erasure"))</w:t>
      </w:r>
    </w:p>
    <w:p>
      <w:pPr>
        <w:pStyle w:val="BodyText"/>
      </w:pPr>
      <w:r>
        <w:t xml:space="preserve">B4 Scopus, IEEE Xplore, ACM TITLE-ABS-KEY(("formal verification" OR "satisfiability" OR "temporal logic" OR "constraint satisfaction") AND ("regulatory compliance" OR "legal compliance" OR "GDPR"))</w:t>
      </w:r>
    </w:p>
    <w:p>
      <w:pPr>
        <w:pStyle w:val="BodyText"/>
      </w:pPr>
      <w:r>
        <w:t xml:space="preserve">B5 Scopus, Web of Science TITLE-ABS-KEY(("health data" OR "electronic health record") AND ("cross-border" OR "cross border") AND ("privacy" OR "data protection") AND ("Norway" OR "Nordic" OR "EEA"))</w:t>
      </w:r>
    </w:p>
    <w:p>
      <w:pPr>
        <w:pStyle w:val="BodyText"/>
      </w:pPr>
      <w:r>
        <w:t xml:space="preserve">B6 IACR ePrint, arXiv ("certified deletion" OR "proof of secure erasure" OR "provable deletion") AND ("verifiab*" OR "attestation") -------------------------------------------------------------------------------------------------------------------------------------------------------------------------------------------------------------------------------------------------</w:t>
      </w:r>
    </w:p>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p>
      <w:pPr>
        <w:pStyle w:val="Heading3"/>
      </w:pPr>
      <w:r>
        <w:t xml:space="preserve">2.1.7 Limitations of the protocol</w:t>
      </w:r>
    </w:p>
    <w:p>
      <w:pPr>
        <w:pStyle w:val="BodyText"/>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p>
      <w:pPr>
        <w:pStyle w:val="Heading2"/>
      </w:pPr>
      <w:r>
        <w:t xml:space="preserve">2.2 The Cross-Border Health Data Exchange Landscape</w:t>
      </w:r>
    </w:p>
    <w:p>
      <w:pPr>
        <w:pStyle w:val="BodyText"/>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(Section 2.3).</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p>
      <w:pPr>
        <w:pStyle w:val="Heading2"/>
      </w:pPr>
      <w:r>
        <w:t xml:space="preserve">2.3 The Audit-Retention versus Right-to-Erasure Tension</w:t>
      </w:r>
    </w:p>
    <w:p>
      <w:pPr>
        <w:pStyle w:val="BodyText"/>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 “with the requirements for logs, audit trails, non-repudiation” 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 “the keeping of identifiable logs of access to and activities in the secure processing environment for the period necessary to verify and audit all processing operations in that environment; logs of access shall be kept for at least one year” (European Parliament and Council of the European Union, 2025). Article 68(12) requires that “the electronic health data within the secure processing environment shall be deleted within six months of the expiry of the data permit”. On the broad reading it reaches access logs kept at patient-record granularity, whose entries are themselves data concerning health; on a narrower reading it reaches only the permitted dataset. The reading is contestable, and Chapter 4, Section 4.6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rPr>
          <w:ins w:id="53" w:author="Arshad Akhtar Abbasia" w:date="2026-10-04T12:00:00Z"/>
        </w:rPr>
      </w:pPr>
      <w:ins w:id="54" w:author="Arshad Akhtar Abbasia" w:date="2026-10-04T12:00:00Z">
        <w:r>
          <w:t xml:space="preserve">The renumbering of these obligations between the 2022 proposal and the adopted text, from Articles 46 and 50 to Articles 68 and 73, may be one reason the commentary has treated them apart (Chapter 1, Section 1.4).</w:t>
        </w:r>
      </w:ins>
    </w:p>
    <w:p>
      <w:pPr>
        <w:pStyle w:val="BodyText"/>
        <w:rPr>
          <w:ins w:id="55" w:author="Arshad Akhtar Abbasia" w:date="2026-10-04T12:00:00Z"/>
        </w:rPr>
      </w:pPr>
      <w:ins w:id="56" w:author="Arshad Akhtar Abbasia" w:date="2026-10-04T12:00:00Z">
        <w:r>
          <w:t xml:space="preserve">In the cross-border pathway the conflict takes the form Chapter 1, Section 1.2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ins>
    </w:p>
    <w:p>
      <w:pPr>
        <w:pStyle w:val="BodyText"/>
        <w:rPr>
          <w:del w:id="57" w:author="Arshad Akhtar Abbasia" w:date="2026-10-04T12:00:00Z"/>
        </w:rPr>
      </w:pPr>
      <w:del w:id="58" w:author="Arshad Akhtar Abbasia" w:date="2026-10-04T12:00:00Z">
        <w:r>
          <w:delTex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delText>
        </w:r>
      </w:del>
    </w:p>
    <w:p>
      <w:pPr>
        <w:pStyle w:val="BodyText"/>
        <w:rPr>
          <w:del w:id="59" w:author="Arshad Akhtar Abbasia" w:date="2026-10-04T12:00:00Z"/>
        </w:rPr>
      </w:pPr>
      <w:del w:id="60" w:author="Arshad Akhtar Abbasia" w:date="2026-10-04T12:00:00Z">
        <w:r>
          <w:delText xml:space="preserve">The conflict is structural and operational. When a Norwegian patient is treated under MyHealth@EU in another Member State, the cross-border access event is logged in the foreign NCPeH’s ATNA-compliant audit repository for the period its deployment binding sets.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cross-border floor.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delText>
        </w:r>
      </w:del>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w:t>
      </w:r>
      <w:del w:id="61" w:author="Arshad Akhtar Abbasia" w:date="2026-10-04T12:00:00Z">
        <w:r>
          <w:delText xml:space="preserve">The technique is not without criticism. </w:delText>
        </w:r>
      </w:del>
      <w:r>
        <w:t xml:space="preserve">SecuPi (2025) </w:t>
      </w:r>
      <w:del w:id="62" w:author="Arshad Akhtar Abbasia" w:date="2026-10-04T12:00:00Z">
        <w:r>
          <w:delText xml:space="preserve">argues that cryptographic erasure introduces operational complexity </w:delText>
        </w:r>
      </w:del>
      <w:ins w:id="63" w:author="Arshad Akhtar Abbasia" w:date="2026-10-04T12:00:00Z">
        <w:r>
          <w:t xml:space="preserve">criticises it as operationally costly </w:t>
        </w:r>
      </w:ins>
      <w:r>
        <w:t xml:space="preserve">in row-level </w:t>
      </w:r>
      <w:del w:id="64" w:author="Arshad Akhtar Abbasia" w:date="2026-10-04T12:00:00Z">
        <w:r>
          <w:delText xml:space="preserve">encryption scenarios and that auditable key management adds rather than removes overhead, making it inappropriate as a general solution for the right to erasure in heavily distributed systems. </w:delText>
        </w:r>
      </w:del>
      <w:ins w:id="65" w:author="Arshad Akhtar Abbasia" w:date="2026-10-04T12:00:00Z">
        <w:r>
          <w:t xml:space="preserve">encryption; </w:t>
        </w:r>
      </w:ins>
      <w:r>
        <w:t xml:space="preserve">Chapter 6, Section 6.4 engages </w:t>
      </w:r>
      <w:del w:id="66" w:author="Arshad Akhtar Abbasia" w:date="2026-10-04T12:00:00Z">
        <w:r>
          <w:delText xml:space="preserve">it.</w:delText>
        </w:r>
      </w:del>
      <w:ins w:id="67" w:author="Arshad Akhtar Abbasia" w:date="2026-10-04T12:00:00Z">
        <w:r>
          <w:t xml:space="preserve">that critique.</w:t>
        </w:r>
      </w:ins>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(“anonymisering likestilles med sletting av personopplysninger”),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p>
      <w:pPr>
        <w:pStyle w:val="Heading2"/>
      </w:pPr>
      <w:r>
        <w:t xml:space="preserve">2.4 Cryptographic Approaches to Audit Compliance</w:t>
      </w:r>
    </w:p>
    <w:p>
      <w:pPr>
        <w:pStyle w:val="BodyText"/>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 “disruptive logging” 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 “immutable audit trail”.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Chapter 4, Section 4.8 keeps the construction and resolves the tension by deciding what an entry may contain.</w:t>
      </w:r>
    </w:p>
    <w:p>
      <w:pPr>
        <w:pStyle w:val="BodyText"/>
        <w:rPr>
          <w:ins w:id="68" w:author="Arshad Akhtar Abbasia" w:date="2026-10-04T12:00:00Z"/>
        </w:rPr>
      </w:pPr>
      <w:ins w:id="69" w:author="Arshad Akhtar Abbasia" w:date="2026-10-04T12:00:00Z">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(Chapter 6, Section 6.3).</w:t>
        </w:r>
      </w:ins>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 erasure under multi-regime retention conflict: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 “erasure” and “anonymisation” 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 recoverable 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 attested invalidation, not a proven 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p>
      <w:pPr>
        <w:pStyle w:val="Heading2"/>
      </w:pPr>
      <w:r>
        <w:t xml:space="preserve">2.5 Formal Approaches to Regulatory-Compliance Verification</w:t>
      </w:r>
    </w:p>
    <w:p>
      <w:pPr>
        <w:pStyle w:val="BodyText"/>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 “verifiable” 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p>
      <w:pPr>
        <w:pStyle w:val="Heading2"/>
      </w:pPr>
      <w:r>
        <w:t xml:space="preserve">2.6 Norwegian Secondary-Use Infrastructure</w:t>
      </w:r>
    </w:p>
    <w:p>
      <w:pPr>
        <w:pStyle w:val="BodyText"/>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 “it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 (SPUHiN,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 Recommendations for minimum requirements for Secure Processing Environments in Norway.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Section 2.2 in production (Helsedirektoratet, 2026), the cross-border audit records this thesis concerns are beginning to be generated in Norway,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p>
      <w:pPr>
        <w:pStyle w:val="Heading2"/>
      </w:pPr>
      <w:r>
        <w:t xml:space="preserve">2.7 Information Logistics Framing</w:t>
      </w:r>
    </w:p>
    <w:p>
      <w:pPr>
        <w:pStyle w:val="BodyText"/>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 “for at least three years”,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 “may require goods which have been presented to customs to be destroyed” (Article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6.10,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p>
      <w:pPr>
        <w:pStyle w:val="Heading2"/>
      </w:pPr>
      <w:r>
        <w:t xml:space="preserve">2.8 Comparative Analysis</w:t>
      </w:r>
    </w:p>
    <w:p>
      <w:pPr>
        <w:pStyle w:val="BodyText"/>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t xml:space="preserve">Table 2.1. Comparative Analysis of Cryptographic Compliance Approaches to Health Data Audit</w:t>
      </w:r>
    </w:p>
    <w:p>
      <w:pPr>
        <w:pStyle w:val="BodyText"/>
      </w:pPr>
      <w:r>
        <w:t xml:space="preserve">--------------------------------------------------------------------------------------------------------------------------------------------------------------------------------------------------------------------------------------------------------------------------------------------------------------------------------------------------------------------------------------------------------- System Cross-Border or Cross-Institutional Hardware Dependency Addresses GDPR Article 17 Erasure Primary or Secondary Use Norwegian Context Formal Model of the Retention–Erasure Conflict ------------------------------------------------------------------------------------ ------------------------------------------- ---------------------- ---------------------------------------------------------------- ----------------------------------- ----------------------------------------------------------- -------------------------------------------------------------------------------- Peer-reviewed systems</w:t>
      </w:r>
    </w:p>
    <w:p>
      <w:pPr>
        <w:pStyle w:val="BodyText"/>
      </w:pPr>
      <w:r>
        <w:t xml:space="preserve">KONFIDO (Natsiavas et al., 2021; Diamantopoulos et al., 2019) Cross-border (OpenNCP) Yes — Intel SGX No — treats immutability as feature Primary use EU pilot; not Norway-specific No</w:t>
      </w:r>
    </w:p>
    <w:p>
      <w:pPr>
        <w:pStyle w:val="BodyText"/>
      </w:pPr>
      <w:r>
        <w:t xml:space="preserve">ZK-EHR (Albalwy, 2026) Cross-institutional No — software only Partial — revocation, not the retention conflict Primary use (clinical) None No</w:t>
      </w:r>
    </w:p>
    <w:p>
      <w:pPr>
        <w:pStyle w:val="BodyText"/>
      </w:pPr>
      <w:r>
        <w:t xml:space="preserve">Health-zkIDM (Bai et al., 2022) Identity (institutional) No No Primary use (identity) None No</w:t>
      </w:r>
    </w:p>
    <w:p>
      <w:pPr>
        <w:pStyle w:val="BodyText"/>
      </w:pPr>
      <w:r>
        <w:t xml:space="preserve">NewbornTime (Brunner et al., 2025) Single-institution (Stavanger) No Yes — consent withdrawal Primary use (clinical research) Yes — Norwegian deployment No</w:t>
      </w:r>
    </w:p>
    <w:p>
      <w:pPr>
        <w:pStyle w:val="BodyText"/>
      </w:pPr>
      <w:r>
        <w:t xml:space="preserve">National policy framework</w:t>
      </w:r>
    </w:p>
    <w:p>
      <w:pPr>
        <w:pStyle w:val="BodyText"/>
      </w:pPr>
      <w:r>
        <w:t xml:space="preserve">SPUHiN D5.2 criteria (SPUHiN, 2025) National policy framework n/a — specification No — not addressed at any grade Secondary use (SPE) Yes — Norwegian policy, hearing version No</w:t>
      </w:r>
    </w:p>
    <w:p>
      <w:pPr>
        <w:pStyle w:val="BodyText"/>
      </w:pPr>
      <w:r>
        <w:t xml:space="preserve">Preprints and practitioner sources (not peer-reviewed; compared for position only)</w:t>
      </w:r>
    </w:p>
    <w:p>
      <w:pPr>
        <w:pStyle w:val="BodyText"/>
      </w:pPr>
      <w:r>
        <w:t xml:space="preserve">zkFL-Health (Sharma et al., 2025) Cross-institutional federated Yes — TEE aggregator No Secondary use (AI training) None No</w:t>
      </w:r>
    </w:p>
    <w:p>
      <w:pPr>
        <w:pStyle w:val="BodyText"/>
      </w:pPr>
      <w:r>
        <w:t xml:space="preserve">Ledger crypto-erasure SoK (Aikebaier, 2026) Storage-technology scope (public ledgers) No Yes — formalises erasure side only n/a None Partial — formalises erasure, excludes retention law by stated scope</w:t>
      </w:r>
    </w:p>
    <w:p>
      <w:pPr>
        <w:pStyle w:val="BodyText"/>
      </w:pPr>
      <w:r>
        <w:t xml:space="preserve">Practitioner crypto-shredding pattern (VeritasChain, 2026) Sector pattern (finance) No Yes — asserted, bi-lateral n/a None No — asserted reconciliation, no model, no verifiability semantics</w:t>
      </w:r>
    </w:p>
    <w:p>
      <w:pPr>
        <w:pStyle w:val="BodyText"/>
      </w:pPr>
      <w:r>
        <w:t xml:space="preserve">This thesis (TRF Model + Crypto-Erasure by Invalidation) Cross-border No — software only Yes — derived from the model, within the EDPB 02/2025 corridor Both, at the audit-trail boundary Yes — designed against the documented Norwegian substrate Yes — tri-lateral feasibility model with infeasibility and feasibility results ---------------------------------------------------------------------------------------------------------------------------------------------------------------------------------------------------------------------------------------------------------------------------------------------------------------------------------------------------------------------------------------------------------</w:t>
      </w:r>
    </w:p>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p>
      <w:pPr>
        <w:pStyle w:val="Heading2"/>
      </w:pPr>
      <w:r>
        <w:t xml:space="preserve">2.9 Identified Research Gaps</w:t>
      </w:r>
    </w:p>
    <w:p>
      <w:pPr>
        <w:pStyle w:val="BodyText"/>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w:t>
      </w:r>
      <w:del w:id="70" w:author="Arshad Akhtar Abbasia" w:date="2026-10-04T12:00:00Z">
        <w:r>
          <w:delText xml:space="preserve">strength of this </w:delText>
        </w:r>
      </w:del>
      <w:r>
        <w:t xml:space="preserve">gap </w:t>
      </w:r>
      <w:del w:id="71" w:author="Arshad Akhtar Abbasia" w:date="2026-10-04T12:00:00Z">
        <w:r>
          <w:delText xml:space="preserve">is best demonstrated by its sharpest instance. </w:delText>
        </w:r>
      </w:del>
      <w:ins w:id="72" w:author="Arshad Akhtar Abbasia" w:date="2026-10-04T12:00:00Z">
        <w:r>
          <w:t xml:space="preserve">holds also for the conflict’s conditional extension. </w:t>
        </w:r>
      </w:ins>
      <w:r>
        <w:t xml:space="preserve">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 “while ensuring compliance with applicable legal obligations and traceability or reproducibility requirements where relevant” and leaves “the deletion and retention policy” to “balance these obligations” (TEHDAS2, 2026, Table 5.2, OPR-6, p. 43). Its expert commentary goes further: log keeping “raises open questions about how accountability and anonymisation obligations intersect”, and “further guidance will be needed on retention of project-level collaborative metadata” (Annex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p>
      <w:pPr>
        <w:pStyle w:val="Heading2"/>
      </w:pPr>
      <w:r>
        <w:t xml:space="preserve">2.10 Conceptual Positioning of the Thesis</w:t>
      </w:r>
    </w:p>
    <w:p>
      <w:pPr>
        <w:pStyle w:val="BodyText"/>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pPr>
        <w:pStyle w:val="Heading1"/>
      </w:pPr>
      <w:r>
        <w:t xml:space="preserve">Chapter 3. Methodology and Research Design</w:t>
      </w:r>
    </w:p>
    <w:p>
      <w:pPr>
        <w:pStyle w:val="Heading2"/>
      </w:pPr>
      <w:r>
        <w:t xml:space="preserve">3.1 Research Paradigm</w:t>
      </w:r>
    </w:p>
    <w:p>
      <w:pPr>
        <w:pStyle w:val="BodyText"/>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p>
      <w:pPr>
        <w:pStyle w:val="Heading2"/>
      </w:pPr>
      <w:r>
        <w:t xml:space="preserve">3.2 The Design Science Cycle Adopted</w:t>
      </w:r>
    </w:p>
    <w:p>
      <w:pPr>
        <w:pStyle w:val="BodyText"/>
      </w:pPr>
      <w:r>
        <w:t xml:space="preserve">The Peffers et al. (2007) six-activity model structures the thesis and maps onto its chapters as follows.</w:t>
      </w:r>
    </w:p>
    <w:p>
      <w:pPr>
        <w:pStyle w:val="BodyText"/>
      </w:pPr>
      <w:r>
        <w:t xml:space="preserve">Activity 1: Problem identification and motivation. The tri-lateral retention conflict is identified from primary regulatory and technical sources and shown to be unresolved in both the literature and Norwegian national policy. Chapters 1 and 2.</w:t>
      </w:r>
    </w:p>
    <w:p>
      <w:pPr>
        <w:pStyle w:val="BodyText"/>
      </w:pPr>
      <w:r>
        <w:t xml:space="preserve">Activity 2: Definition of objectives for a solution. 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t xml:space="preserve">Activity 3: Design and development. 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t xml:space="preserve">Activity 4: Demonstration. 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t xml:space="preserve">Activity 5, Evaluation. 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t xml:space="preserve">Activity 6: Communication. 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p>
      <w:pPr>
        <w:pStyle w:val="Heading2"/>
      </w:pPr>
      <w:r>
        <w:t xml:space="preserve">3.3 The Specification-and-Demonstration Variant, Extended with Formal Modelling</w:t>
      </w:r>
    </w:p>
    <w:p>
      <w:pPr>
        <w:pStyle w:val="BodyText"/>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 model (the TRF Model, a formal representation of the problem domain and its constraints) and a partial instantiation (the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 “verifiable” 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p>
      <w:pPr>
        <w:pStyle w:val="Heading2"/>
      </w:pPr>
      <w:r>
        <w:t xml:space="preserve">3.4 Formal-Modelling Methodology</w:t>
      </w:r>
    </w:p>
    <w:p>
      <w:pPr>
        <w:pStyle w:val="BodyText"/>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t xml:space="preserve">Step 1: Decomposition of the object. 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(Chapter 4, Section 4.3). The </w:t>
      </w:r>
      <w:del w:id="73" w:author="Arshad Akhtar Abbasia" w:date="2026-10-04T12:00:00Z">
        <w:r>
          <w:delText xml:space="preserve">personal-data </w:delText>
        </w:r>
      </w:del>
      <w:r>
        <w:t xml:space="preserve">payload comprises </w:t>
      </w:r>
      <w:ins w:id="74" w:author="Arshad Akhtar Abbasia" w:date="2026-10-04T12:00:00Z">
        <w:r>
          <w:t xml:space="preserve">what </w:t>
        </w:r>
      </w:ins>
      <w:r>
        <w:t xml:space="preserve">the </w:t>
      </w:r>
      <w:del w:id="75" w:author="Arshad Akhtar Abbasia" w:date="2026-10-04T12:00:00Z">
        <w:r>
          <w:delText xml:space="preserve">content </w:delText>
        </w:r>
      </w:del>
      <w:ins w:id="76" w:author="Arshad Akhtar Abbasia" w:date="2026-10-04T12:00:00Z">
        <w:r>
          <w:t xml:space="preserve">record carries about what was accessed: the demographic query </w:t>
        </w:r>
      </w:ins>
      <w:r>
        <w:t xml:space="preserve">of </w:t>
      </w:r>
      <w:ins w:id="77" w:author="Arshad Akhtar Abbasia" w:date="2026-10-04T12:00:00Z">
        <w:r>
          <w:t xml:space="preserve">a cross-border record, </w:t>
        </w:r>
      </w:ins>
      <w:r>
        <w:t xml:space="preserve">the </w:t>
      </w:r>
      <w:del w:id="78" w:author="Arshad Akhtar Abbasia" w:date="2026-10-04T12:00:00Z">
        <w:r>
          <w:delText xml:space="preserve">exchanged clinical document. </w:delText>
        </w:r>
      </w:del>
      <w:ins w:id="79" w:author="Arshad Akhtar Abbasia" w:date="2026-10-04T12:00:00Z">
        <w:r>
          <w:t xml:space="preserve">logged activity of a Secure Processing Environment record (Chapter 4, Section 4.3). </w:t>
        </w:r>
      </w:ins>
      <w:r>
        <w:t xml:space="preserve">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t xml:space="preserve">Step 2: Translation of each regime into a constraint. Each regime is expressed as a constraint over discretised monthly time on the state of a record. The retention floor requires that the record remain verifiable throughout its retention window. The Article 17 erasure right requires that, following a valid erasure request, the </w:t>
      </w:r>
      <w:del w:id="80" w:author="Arshad Akhtar Abbasia" w:date="2026-10-04T12:00:00Z">
        <w:r>
          <w:delText xml:space="preserve">personal-data </w:delText>
        </w:r>
      </w:del>
      <w:r>
        <w:t xml:space="preserve">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(Chapter 4, Section 4.3),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t xml:space="preserve">Step 3: Definition of the competing semantics. The pivotal move is to make explicit an assumption that the </w:t>
      </w:r>
      <w:del w:id="81" w:author="Arshad Akhtar Abbasia" w:date="2026-10-04T12:00:00Z">
        <w:r>
          <w:delText xml:space="preserve">operational status quo leaves </w:delText>
        </w:r>
      </w:del>
      <w:ins w:id="82" w:author="Arshad Akhtar Abbasia" w:date="2026-10-04T12:00:00Z">
        <w:r>
          <w:t xml:space="preserve">instruments leave </w:t>
        </w:r>
      </w:ins>
      <w:r>
        <w:t xml:space="preserve">implicit. Under plaintext-verifiability semantics, a record satisfies the retention constraint only while its payload remains accessible in recoverable form. Under accountability-preservation semantics,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t xml:space="preserve">Step 4: Establishing the two results. 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Section 3.7 records what that means for the strength of the claim.</w:t>
      </w:r>
    </w:p>
    <w:p>
      <w:pPr>
        <w:pStyle w:val="BodyText"/>
      </w:pPr>
      <w:r>
        <w:t xml:space="preserve">Step 5: Executable checking. 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p>
      <w:pPr>
        <w:pStyle w:val="Heading2"/>
      </w:pPr>
      <w:r>
        <w:t xml:space="preserve">3.5 Synthetic Data</w:t>
      </w:r>
    </w:p>
    <w:p>
      <w:pPr>
        <w:pStyle w:val="BodyText"/>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 FHIR R4, not R5, because the Norwegian national profile set (basisprofiler) maintained by HL7 Norway constrains R4; matching the Norwegian profile version is what makes the demonstration representative of the Norwegian setting rather than of a generic one. The population is approximately one hundred synthetic patients.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 random seeds are fixed and reported,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5.8: because no constraint in the model reads the content of a payload, the demonstration’s results are invariant to payload provenance, and Norwegian representativeness is required of the infrastructure analysis 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p>
      <w:pPr>
        <w:pStyle w:val="Heading2"/>
      </w:pPr>
      <w:r>
        <w:t xml:space="preserve">3.6 Sandbox Implementation Approach</w:t>
      </w:r>
    </w:p>
    <w:p>
      <w:pPr>
        <w:pStyle w:val="BodyText"/>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 feasibility checker 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5.1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 realism layer wraps the checker so that its inputs derive from Synthea-generated FHIR bundles rather than from abstract record identifiers, computing commitments over the actual payloads and constructing metadata from the actual encounter events. It is smaller than the checker (Table 5.1)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w:t>
      </w:r>
      <w:del w:id="83" w:author="Arshad Akhtar Abbasia" w:date="2026-10-04T12:00:00Z">
        <w:r>
          <w:delText xml:space="preserve">construction, </w:delText>
        </w:r>
      </w:del>
      <w:ins w:id="84" w:author="Arshad Akhtar Abbasia" w:date="2026-10-04T12:00:00Z">
        <w:r>
          <w:t xml:space="preserve">construction when salts are drawn at random (the reported run derives salts from the record identifier for reproducibility; see Appendix A, A.6), </w:t>
        </w:r>
      </w:ins>
      <w:r>
        <w:t xml:space="preserve">which is a design requirement rather than an implementation detail, since Chapter 2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 No zero-knowledge proof system is implemented at any point,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(Chapter 5, Section 5.5). </w:t>
      </w:r>
      <w:del w:id="85" w:author="Arshad Akhtar Abbasia" w:date="2026-10-04T12:00:00Z">
        <w:r>
          <w:delText xml:space="preserve">This is </w:delText>
        </w:r>
      </w:del>
      <w:ins w:id="86" w:author="Arshad Akhtar Abbasia" w:date="2026-10-04T12:00:00Z">
        <w:r>
          <w:t xml:space="preserve">A bounded SMT check with the Z3 solver poses each proposition as </w:t>
        </w:r>
      </w:ins>
      <w:r>
        <w:t xml:space="preserve">a </w:t>
      </w:r>
      <w:ins w:id="87" w:author="Arshad Akhtar Abbasia" w:date="2026-10-04T12:00:00Z">
        <w:r>
          <w:t xml:space="preserve">request for a counterexample over every parameter combination within stated bounds (Chapter 5, Section 5.5). Both are </w:t>
        </w:r>
      </w:ins>
      <w:r>
        <w:t xml:space="preserve">robustness </w:t>
      </w:r>
      <w:del w:id="88" w:author="Arshad Akhtar Abbasia" w:date="2026-10-04T12:00:00Z">
        <w:r>
          <w:delText xml:space="preserve">measure </w:delText>
        </w:r>
      </w:del>
      <w:ins w:id="89" w:author="Arshad Akhtar Abbasia" w:date="2026-10-04T12:00:00Z">
        <w:r>
          <w:t xml:space="preserve">measures </w:t>
        </w:r>
      </w:ins>
      <w:r>
        <w:t xml:space="preserve">rather than </w:t>
      </w:r>
      <w:del w:id="90" w:author="Arshad Akhtar Abbasia" w:date="2026-10-04T12:00:00Z">
        <w:r>
          <w:delText xml:space="preserve">a component </w:delText>
        </w:r>
      </w:del>
      <w:ins w:id="91" w:author="Arshad Akhtar Abbasia" w:date="2026-10-04T12:00:00Z">
        <w:r>
          <w:t xml:space="preserve">components </w:t>
        </w:r>
      </w:ins>
      <w:r>
        <w:t xml:space="preserve">of the contribution.</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p>
      <w:pPr>
        <w:pStyle w:val="Heading2"/>
      </w:pPr>
      <w:r>
        <w:t xml:space="preserve">3.7 Validity, Reliability, and Limitations</w:t>
      </w:r>
    </w:p>
    <w:p>
      <w:pPr>
        <w:pStyle w:val="BodyText"/>
      </w:pPr>
      <w:r>
        <w:t xml:space="preserve">The evaluation strategy is analytical rather than empirical, and its criteria are stated here in advance of the results.</w:t>
      </w:r>
    </w:p>
    <w:p>
      <w:pPr>
        <w:pStyle w:val="BodyText"/>
      </w:pPr>
      <w:r>
        <w:t xml:space="preserve">Internal validity 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t xml:space="preserve">External validity 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Table 4.1, each row naming its source, what the mechanism does, and whether the artefact executes it or meets it by specification. Compatibility analysis is weaker evidence than deployment, and is not presented as equivalent to it.</w:t>
      </w:r>
    </w:p>
    <w:p>
      <w:pPr>
        <w:pStyle w:val="BodyText"/>
      </w:pPr>
      <w:r>
        <w:t xml:space="preserve">Reliability 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 proof standard.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 expressiveness of the formalism.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 key-destruction assumption.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 scope.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 operational cost 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 interpretive authority.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w:t>
      </w:r>
      <w:del w:id="92" w:author="Arshad Akhtar Abbasia" w:date="2026-10-04T12:00:00Z">
        <w:r>
          <w:delText xml:space="preserve">erasure, and </w:delText>
        </w:r>
      </w:del>
      <w:ins w:id="93" w:author="Arshad Akhtar Abbasia" w:date="2026-10-04T12:00:00Z">
        <w:r>
          <w:t xml:space="preserve">erasure. Chapter 4, Corollary 2.3 extends the model with one variable per part of the payload for the one case where that matters, a payload part that auditing needs; </w:t>
        </w:r>
      </w:ins>
      <w:r>
        <w:t xml:space="preserve">a mechanism designed for field-level redaction </w:t>
      </w:r>
      <w:ins w:id="94" w:author="Arshad Akhtar Abbasia" w:date="2026-10-04T12:00:00Z">
        <w:r>
          <w:t xml:space="preserve">in general </w:t>
        </w:r>
      </w:ins>
      <w:r>
        <w:t xml:space="preserve">would need </w:t>
      </w:r>
      <w:del w:id="95" w:author="Arshad Akhtar Abbasia" w:date="2026-10-04T12:00:00Z">
        <w:r>
          <w:delText xml:space="preserve">a </w:delText>
        </w:r>
      </w:del>
      <w:ins w:id="96" w:author="Arshad Akhtar Abbasia" w:date="2026-10-04T12:00:00Z">
        <w:r>
          <w:t xml:space="preserve">that </w:t>
        </w:r>
      </w:ins>
      <w:r>
        <w:t xml:space="preserve">richer state space </w:t>
      </w:r>
      <w:del w:id="97" w:author="Arshad Akhtar Abbasia" w:date="2026-10-04T12:00:00Z">
        <w:r>
          <w:delText xml:space="preserve">than the one used here.</w:delText>
        </w:r>
      </w:del>
      <w:ins w:id="98" w:author="Arshad Akhtar Abbasia" w:date="2026-10-04T12:00:00Z">
        <w:r>
          <w:t xml:space="preserve">throughout.</w:t>
        </w:r>
      </w:ins>
    </w:p>
    <w:p>
      <w:pPr>
        <w:pStyle w:val="Heading2"/>
      </w:pPr>
      <w:r>
        <w:t xml:space="preserve">3.8 Evaluation Design for the Next Cycle</w:t>
      </w:r>
    </w:p>
    <w:p>
      <w:pPr>
        <w:pStyle w:val="BodyText"/>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p>
      <w:pPr>
        <w:pStyle w:val="Heading2"/>
      </w:pPr>
      <w:r>
        <w:t xml:space="preserve">3.9 Ethical Considerations</w:t>
      </w:r>
    </w:p>
    <w:p>
      <w:pPr>
        <w:pStyle w:val="BodyText"/>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w:t>
      </w:r>
    </w:p>
    <w:p>
      <w:pPr>
        <w:pStyle w:val="BodyText"/>
      </w:pPr>
      <w:r>
        <w:t xml:space="preserve">¹ Synthea is documented in Walonoski et al. (2018), Journal of the American Medical Informatics Association, 25(3), 230–238, https://doi.org/10.1093/jamia/ocx079.</w:t>
      </w:r>
    </w:p>
    <w:p>
      <w:pPr>
        <w:pStyle w:val="Heading1"/>
      </w:pPr>
      <w:r>
        <w:t xml:space="preserve">Chapter 4. The Tri-Lateral Retention Feasibility Model and the Crypto-Erasure by Invalidation Mechanism</w:t>
      </w:r>
    </w:p>
    <w:p>
      <w:pPr>
        <w:pStyle w:val="BodyText"/>
      </w:pPr>
      <w:r>
        <w:t xml:space="preserve">Proposition statements and proofs in this chapter are the author’s own. Regulatory claims are anchored to the primary instruments cited at each point.</w:t>
      </w:r>
    </w:p>
    <w:p>
      <w:pPr>
        <w:pStyle w:val="Heading2"/>
      </w:pPr>
      <w:r>
        <w:t xml:space="preserve">4.1 Purpose and Structure of the Chapter</w:t>
      </w:r>
    </w:p>
    <w:p>
      <w:pPr>
        <w:pStyle w:val="BodyText"/>
        <w:rPr>
          <w:ins w:id="99" w:author="Arshad Akhtar Abbasia" w:date="2026-10-04T12:00:00Z"/>
        </w:rPr>
      </w:pPr>
      <w:ins w:id="100" w:author="Arshad Akhtar Abbasia" w:date="2026-10-04T12:00:00Z">
        <w:r>
          <w:t xml:space="preserve">A patient asks for her data to be erased. The audit record of who looked at them must, on the reported deployment baseline, stay verifiable for ten years. In a research environment a third rule wants the data gone six months after the permit ends. Can one record obey all three? This chapter answers: not if verifiable means readable; yes if it means accountable. It gets there in three steps, and each step licenses the next.</w:t>
        </w:r>
      </w:ins>
    </w:p>
    <w:p>
      <w:pPr>
        <w:pStyle w:val="BodyText"/>
        <w:rPr>
          <w:del w:id="101" w:author="Arshad Akhtar Abbasia" w:date="2026-10-04T12:00:00Z"/>
        </w:rPr>
      </w:pPr>
      <w:del w:id="102" w:author="Arshad Akhtar Abbasia" w:date="2026-10-04T12:00:00Z">
        <w:r>
          <w:delText xml:space="preserve">This chapter contains the analytical core of the thesis. It does three things in sequence, and the sequence matters because each step licenses the next.</w:delText>
        </w:r>
      </w:del>
    </w:p>
    <w:p>
      <w:pPr>
        <w:pStyle w:val="BodyText"/>
      </w:pPr>
      <w:r>
        <w:t xml:space="preserve">First, it establishes what the law actually requires to be retained, as distinct from what an audit log may happen to retain.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p>
      <w:pPr>
        <w:pStyle w:val="Heading2"/>
      </w:pPr>
      <w:r>
        <w:t xml:space="preserve">4.2 What Must Be Retained: The Necessity Analysis</w:t>
      </w:r>
    </w:p>
    <w:p>
      <w:pPr>
        <w:pStyle w:val="BodyText"/>
      </w:pPr>
      <w:ins w:id="103" w:author="Arshad Akhtar Abbasia" w:date="2026-10-04T12:00:00Z">
        <w:r>
          <w:t xml:space="preserve">Everything in this chapter rests on one split: the part of an audit record the law needs kept, and the part it does not. </w:t>
        </w:r>
      </w:ins>
      <w:r>
        <w:t xml:space="preserve">The </w:t>
      </w:r>
      <w:del w:id="104" w:author="Arshad Akhtar Abbasia" w:date="2026-10-04T12:00:00Z">
        <w:r>
          <w:delText xml:space="preserve">decomposition that makes the model possible </w:delText>
        </w:r>
      </w:del>
      <w:ins w:id="105" w:author="Arshad Akhtar Abbasia" w:date="2026-10-04T12:00:00Z">
        <w:r>
          <w:t xml:space="preserve">split </w:t>
        </w:r>
      </w:ins>
      <w:r>
        <w:t xml:space="preserve">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 the accountability function of a cross-border audit record is discharged by its metadata and by a binding commitment to its payload, and does not require the payload to remain accessible. Retention of accessible plaintext payload for </w:t>
      </w:r>
      <w:del w:id="106" w:author="Arshad Akhtar Abbasia" w:date="2026-10-04T12:00:00Z">
        <w:r>
          <w:delText xml:space="preserve">ten years </w:delText>
        </w:r>
      </w:del>
      <w:ins w:id="107" w:author="Arshad Akhtar Abbasia" w:date="2026-10-04T12:00:00Z">
        <w:r>
          <w:t xml:space="preserve">the length of the floor </w:t>
        </w:r>
      </w:ins>
      <w:r>
        <w:t xml:space="preserve">therefore exceeds what Article 17(3)(b) protects. Article 5(1)(c) positively requires that it not be retained where the purpose can be achieved without it.</w:t>
      </w:r>
    </w:p>
    <w:p>
      <w:pPr>
        <w:pStyle w:val="BodyText"/>
        <w:rPr>
          <w:ins w:id="108" w:author="Arshad Akhtar Abbasia" w:date="2026-10-04T12:00:00Z"/>
        </w:rPr>
      </w:pPr>
      <w:ins w:id="109" w:author="Arshad Akhtar Abbasia" w:date="2026-10-04T12:00:00Z">
        <w:r>
          <w:t xml:space="preserve">Per record class. The argument has to be made for each class separately, because the payload is defined by where it comes from (Section 4.3),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 “to verify and audit all processing operations in that environment”, and an auditor checking that an extraction stayed within its permit may need to know what was run. The thesis therefore does not assume that the whole activity content is unnecessary there; Corollary 2.3 states what follows if part of it is needed.</w:t>
        </w:r>
      </w:ins>
    </w:p>
    <w:p>
      <w:pPr>
        <w:pStyle w:val="BodyText"/>
        <w:rPr>
          <w:ins w:id="110" w:author="Arshad Akhtar Abbasia" w:date="2026-10-04T12:00:00Z"/>
        </w:rPr>
      </w:pPr>
      <w:ins w:id="111" w:author="Arshad Akhtar Abbasia" w:date="2026-10-04T12:00:00Z">
        <w:r>
          <w:t xml:space="preserve">The patient link. 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 “information on the healthcare provider or other individuals who accessed the personal electronic health data”, “the date and time of access” and “which personal electronic health data were accessed”, available “for at least three years from each date of access to the data” (Article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(Chapter 1, Section 1.2) gives the link a purpose but not a legal obligation, and Article 17(3)(b) does not follow. And beyond the Article 9(2) period the link is kept for the rest of the floor on the strength of the deployment binding, which is illustrative here (Section 4.3); for that stretch its retention after an erasure request is exactly as contestable as the floor itself. It is removed at the terminal transition (Section 4.8). In a Secure Processing Environment Article 9 does not apply. There the link is kept after an erasure request until the ceiling only if auditing “all processing operations” under Article 73(1)(e) needs it, which is the question Chapter 7, Section 7.4 leaves to the supervisory authority, and the ceiling may reach it in any case (Section 4.6).</w:t>
        </w:r>
      </w:ins>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p>
      <w:pPr>
        <w:pStyle w:val="Heading2"/>
      </w:pPr>
      <w:r>
        <w:t xml:space="preserve">4.3 The Model: Objects and Notation</w:t>
      </w:r>
    </w:p>
    <w:p>
      <w:pPr>
        <w:pStyle w:val="BodyText"/>
        <w:rPr>
          <w:ins w:id="112" w:author="Arshad Akhtar Abbasia" w:date="2026-10-04T12:00:00Z"/>
        </w:rPr>
      </w:pPr>
      <w:ins w:id="113" w:author="Arshad Akhtar Abbasia" w:date="2026-10-04T12:00:00Z">
        <w:r>
          <w:t xml:space="preserve">The model is deliberately small: one record, one clock, and one question asked every month: can the payload still be read?</w:t>
        </w:r>
      </w:ins>
    </w:p>
    <w:p>
      <w:pPr>
        <w:pStyle w:val="BodyText"/>
      </w:pPr>
      <w:r>
        <w:t xml:space="preserve">Let the time domain be discretised into months, indexed by t ∈ ℕ, with t = 0 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 A be the set of audit records. Each record a ∈ A is generated by a single access event and is represented as a tuple</w:t>
      </w:r>
    </w:p>
    <w:p>
      <w:pPr>
        <w:pStyle w:val="BodyText"/>
      </w:pPr>
      <w:r>
        <w:t xml:space="preserve">a = ( m(a), p(a), c(a), k(a), t(a), F(a), σ(a) )</w:t>
      </w:r>
    </w:p>
    <w:p>
      <w:pPr>
        <w:pStyle w:val="BodyText"/>
      </w:pPr>
      <w:r>
        <w:t xml:space="preserve">where:</w:t>
      </w:r>
    </w:p>
    <w:p>
      <w:pPr>
        <w:pStyle w:val="BodyText"/>
      </w:pPr>
      <w:r>
        <w:t xml:space="preserve">- m(a) is the event metadata: the actor identifier, the actor’s national contact point, the patient pseudonym, the document category accessed, the legal basis and consent policy applied, the timestamp, and the outcome. Metadata contains no clinical content. It is partitioned as m(a) = m_(acc)(a) ∪ m_(subj)(a). The accessor fields m_(acc)(a) record who acted, when, under which legal basis or permit, and with what outcome. The subject fields m_(subj)(a) relate the event to a data subject: the patient pseudonym and any reference to that subject’s records. The partition does work only in the Secure Processing Environment case (Section 4.6). - p(a) is the </w:t>
      </w:r>
      <w:del w:id="114" w:author="Arshad Akhtar Abbasia" w:date="2026-10-04T12:00:00Z">
        <w:r>
          <w:delText xml:space="preserve">personal-data </w:delText>
        </w:r>
      </w:del>
      <w:r>
        <w:t xml:space="preserve">payload: the </w:t>
      </w:r>
      <w:del w:id="115" w:author="Arshad Akhtar Abbasia" w:date="2026-10-04T12:00:00Z">
        <w:r>
          <w:delText xml:space="preserve">personal data </w:delText>
        </w:r>
      </w:del>
      <w:ins w:id="116" w:author="Arshad Akhtar Abbasia" w:date="2026-10-04T12:00:00Z">
        <w:r>
          <w:t xml:space="preserve">content </w:t>
        </w:r>
      </w:ins>
      <w:r>
        <w:t xml:space="preserve">the record carries </w:t>
      </w:r>
      <w:del w:id="117" w:author="Arshad Akhtar Abbasia" w:date="2026-10-04T12:00:00Z">
        <w:r>
          <w:delText xml:space="preserve">beyond </w:delText>
        </w:r>
      </w:del>
      <w:ins w:id="118" w:author="Arshad Akhtar Abbasia" w:date="2026-10-04T12:00:00Z">
        <w:r>
          <w:t xml:space="preserve">about </w:t>
        </w:r>
      </w:ins>
      <w:r>
        <w:t xml:space="preserve">what </w:t>
      </w:r>
      <w:del w:id="119" w:author="Arshad Akhtar Abbasia" w:date="2026-10-04T12:00:00Z">
        <w:r>
          <w:delText xml:space="preserve">accountability requires (Section 4.2). Its content </w:delText>
        </w:r>
      </w:del>
      <w:ins w:id="120" w:author="Arshad Akhtar Abbasia" w:date="2026-10-04T12:00:00Z">
        <w:r>
          <w:t xml:space="preserve">was accessed, as distinct from who accessed it, when and under what authority. It is defined by its source, which </w:t>
        </w:r>
      </w:ins>
      <w:r>
        <w:t xml:space="preserve">depends on the record </w:t>
      </w:r>
      <w:del w:id="121" w:author="Arshad Akhtar Abbasia" w:date="2026-10-04T12:00:00Z">
        <w:r>
          <w:delText xml:space="preserve">class. </w:delText>
        </w:r>
      </w:del>
      <w:ins w:id="122" w:author="Arshad Akhtar Abbasia" w:date="2026-10-04T12:00:00Z">
        <w:r>
          <w:t xml:space="preserve">class; whether accountability needs it is argued per class in Section 4.2, and Corollary 2.3 states what follows if part of it is needed. </w:t>
        </w:r>
      </w:ins>
      <w:r>
        <w:t xml:space="preserve">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(Chapter 2, Section 2.2);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 “access to electronic health data” and “data import, export, or release of outputs” and fixes no fields (TEHDAS2, 2026, Table 5.4, OPR-17, p. 51); </w:t>
      </w:r>
      <w:del w:id="123" w:author="Arshad Akhtar Abbasia" w:date="2026-10-04T12:00:00Z">
        <w:r>
          <w:delText xml:space="preserve">whatever </w:delText>
        </w:r>
      </w:del>
      <w:ins w:id="124" w:author="Arshad Akhtar Abbasia" w:date="2026-10-04T12:00:00Z">
        <w:r>
          <w:t xml:space="preserve">what </w:t>
        </w:r>
      </w:ins>
      <w:r>
        <w:t xml:space="preserve">an environment records under those headings beyond the accessor fields is </w:t>
      </w:r>
      <w:del w:id="125" w:author="Arshad Akhtar Abbasia" w:date="2026-10-04T12:00:00Z">
        <w:r>
          <w:delText xml:space="preserve">p(a). </w:delText>
        </w:r>
      </w:del>
      <w:ins w:id="126" w:author="Arshad Akhtar Abbasia" w:date="2026-10-04T12:00:00Z">
        <w:r>
          <w:t xml:space="preserve">p(a), and whether auditing “all processing operations” needs part of it is the question Corollary 2.3 answers conditionally. </w:t>
        </w:r>
      </w:ins>
      <w:r>
        <w:t xml:space="preserve">The model does not require p(a) to be a clinical </w:t>
      </w:r>
      <w:del w:id="127" w:author="Arshad Akhtar Abbasia" w:date="2026-10-04T12:00:00Z">
        <w:r>
          <w:delText xml:space="preserve">document, only personal data that the accountability purpose does not need. </w:delText>
        </w:r>
      </w:del>
      <w:ins w:id="128" w:author="Arshad Akhtar Abbasia" w:date="2026-10-04T12:00:00Z">
        <w:r>
          <w:t xml:space="preserve">document. </w:t>
        </w:r>
      </w:ins>
      <w:r>
        <w:t xml:space="preserve">- c(a) is a commitment to the payload, c(a) = Commit(p(a), r(a)), where r(a) is a per-record random salt. The commitment scheme is required to be hiding (the commitment reveals nothing about the payload to an adversary without the salt) and binding (no second payload can be opened against the same commitment). The requirement that it be hiding rather than a bare hash is a consequence of Section 4.9 and is not optional. - k(a) is the payload key: the key material under which p(a) is stored. - t(a) is the month in which the access event occurred. - F(a) ∈ ℕ is the retention floor applying to the record, expressed in months. - σ(a) ∈ {primary, secondary} is the pathway in which the record arose.</w:t>
      </w:r>
    </w:p>
    <w:p>
      <w:pPr>
        <w:pStyle w:val="BodyText"/>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pStyle w:val="BodyText"/>
      </w:pPr>
      <w:r>
        <w:t xml:space="preserve">- F(a) = 120 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 - F(a) = 12 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BodyText"/>
      </w:pPr>
      <w:r>
        <w:t xml:space="preserve">Two event processes act on records. An erasure request arrives for record a at month t_(r)(a) if the data subject exercises Article 17 in respect of the personal data underlying that record; if no request arrives, t_(r)(a) = ∞. A permit expiry occurs at month t_(π)(a) for records with σ(a) = secondary, being the month in which the data permit under which the processing occurred expires; for primary-pathway records t_(π)(a) = ∞.</w:t>
      </w:r>
    </w:p>
    <w:p>
      <w:pPr>
        <w:pStyle w:val="BodyText"/>
      </w:pPr>
      <w:r>
        <w:t xml:space="preserve">Finally, let α(a,t) ∈ {0, 1} be the payload-accessibility variable: α(a,t) = 1 if the controller can recover p(a) in intelligible form at month t,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w:t>
      </w:r>
      <w:del w:id="129" w:author="Arshad Akhtar Abbasia" w:date="2026-10-04T12:00:00Z">
        <w:r>
          <w:delText xml:space="preserve">abstraction.</w:delText>
        </w:r>
      </w:del>
      <w:ins w:id="130" w:author="Arshad Akhtar Abbasia" w:date="2026-10-04T12:00:00Z">
        <w:r>
          <w:t xml:space="preserve">abstraction, and Corollary 2.3 relaxes it for one case.</w:t>
        </w:r>
      </w:ins>
    </w:p>
    <w:p>
      <w:pPr>
        <w:pStyle w:val="BodyText"/>
      </w:pPr>
      <w:r>
        <w:t xml:space="preserve">The Secure Processing Environment case needs one further variable, and only on the reading of Article 68(12) that Section 4.6 identifies. Let β(a,t) ∈ {0, 1} be the subject-link variable: β(a,t) = 1 if the subject fields m_(subj)(a) can be read in the environment at month t, and 0 otherwise. Where that reading does not apply, β is unconstrained and plays no part in any result.</w:t>
      </w:r>
    </w:p>
    <w:p>
      <w:pPr>
        <w:pStyle w:val="BodyText"/>
      </w:pPr>
      <w:r>
        <w:t xml:space="preserve">Let V(a,t) ∈ {0, 1} denote whether record a counts as verifiable at month t. V is not defined yet; defining it is the subject of Section 4.5, and the two competing definitions are what the propositions distinguish.</w:t>
      </w:r>
    </w:p>
    <w:p>
      <w:pPr>
        <w:pStyle w:val="Heading2"/>
      </w:pPr>
      <w:r>
        <w:t xml:space="preserve">4.4 The Three Constraints</w:t>
      </w:r>
    </w:p>
    <w:p>
      <w:pPr>
        <w:pStyle w:val="BodyText"/>
      </w:pPr>
      <w:r>
        <w:t xml:space="preserve">Each regime </w:t>
      </w:r>
      <w:del w:id="131" w:author="Arshad Akhtar Abbasia" w:date="2026-10-04T12:00:00Z">
        <w:r>
          <w:delText xml:space="preserve">is </w:delText>
        </w:r>
      </w:del>
      <w:r>
        <w:t xml:space="preserve">now </w:t>
      </w:r>
      <w:del w:id="132" w:author="Arshad Akhtar Abbasia" w:date="2026-10-04T12:00:00Z">
        <w:r>
          <w:delText xml:space="preserve">expressed as </w:delText>
        </w:r>
      </w:del>
      <w:ins w:id="133" w:author="Arshad Akhtar Abbasia" w:date="2026-10-04T12:00:00Z">
        <w:r>
          <w:t xml:space="preserve">becomes </w:t>
        </w:r>
      </w:ins>
      <w:r>
        <w:t xml:space="preserve">a constraint on the trajectory of α and </w:t>
      </w:r>
      <w:del w:id="134" w:author="Arshad Akhtar Abbasia" w:date="2026-10-04T12:00:00Z">
        <w:r>
          <w:delText xml:space="preserve">V.</w:delText>
        </w:r>
      </w:del>
      <w:ins w:id="135" w:author="Arshad Akhtar Abbasia" w:date="2026-10-04T12:00:00Z">
        <w:r>
          <w:t xml:space="preserve">V: one floor that says how long a record must last, and two limits that say how soon its payload must go.</w:t>
        </w:r>
      </w:ins>
    </w:p>
    <w:p>
      <w:pPr>
        <w:pStyle w:val="BodyText"/>
      </w:pPr>
      <w:r>
        <w:t xml:space="preserve">C1: Retention floor. For every record a and every month t with t(a) ≤ t ≤ t(a) + F(a):</w:t>
      </w:r>
    </w:p>
    <w:p>
      <w:pPr>
        <w:pStyle w:val="BodyText"/>
      </w:pPr>
      <w:r>
        <w:t xml:space="preserve">V(a,t) = 1 ∀ t ∈ [ t(a), t(a) + F(a) ]</w:t>
      </w:r>
    </w:p>
    <w:p>
      <w:pPr>
        <w:pStyle w:val="BodyText"/>
      </w:pPr>
      <w:r>
        <w:t xml:space="preserve">The record must count as verifiable throughout its retention window. The window is closed at both ends and so spans F + 1 monthly indices. This is deliberate: the obligations are minimums (“at least one year”), and a record written during month t(a) completes F full months only during month t(a) + F, so requiring verifiability through that month is the conservative reading of “at least”. A half-open window would shorten every obligation by up to a month. Source: the eHDSI deployment baseline as reported, an illustrative value, for F = 120; Article 73(1)(e) EHDS for F = 12.</w:t>
      </w:r>
    </w:p>
    <w:p>
      <w:pPr>
        <w:pStyle w:val="BodyText"/>
      </w:pPr>
      <w:r>
        <w:t xml:space="preserve">C2: Erasure right. For every record a for which a valid erasure request arrives at t_(r)(a) &lt; ∞, and for every month t ≥ t_(r)(a) + δ:</w:t>
      </w:r>
    </w:p>
    <w:p>
      <w:pPr>
        <w:pStyle w:val="BodyText"/>
      </w:pPr>
      <w:r>
        <w:t xml:space="preserve">α(a,t) = 0 ∀ t ≥ t_(r)(a) + δ</w:t>
      </w:r>
    </w:p>
    <w:p>
      <w:pPr>
        <w:pStyle w:val="BodyText"/>
      </w:pPr>
      <w:r>
        <w:t xml:space="preserve">The payload must cease to be accessible within the response period δ. Source: Article 17(1) GDPR, with δ determined by Article 12(3) GDPR, which requires the controller to act without undue delay and in any event within one month of receipt, extendable by two further months for complex or numerous requests provided the data subject is informed within the first month. The model takes δ = 1 as the baseline and admits δ = 3 as the extended case; results are stated for arbitrary finite δ and do not depend on which is chosen. Constraint C2 is triggered only by a valid request. The model does not represent the Article 17(3) exemptions under which a controller may lawfully refuse, and so treats every arriving request as valid; Chapter 3, Section 3.7 explains why this affects the frequencies reported in Chapter 5 but not the </w:t>
      </w:r>
      <w:del w:id="136" w:author="Arshad Akhtar Abbasia" w:date="2026-10-04T12:00:00Z">
        <w:r>
          <w:delText xml:space="preserve">propositions.</w:delText>
        </w:r>
      </w:del>
      <w:ins w:id="137" w:author="Arshad Akhtar Abbasia" w:date="2026-10-04T12:00:00Z">
        <w:r>
          <w:t xml:space="preserve">propositions. In the secondary-use pathway two provisions narrow C2 further. Article 17(3)(d) GDPR disapplies the right where processing is necessary for “scientific or historical research purposes or statistical purposes in accordance with Article 89(1) in so far as the right referred to in paragraph 1 is likely to render impossible or seriously impair the achievement of the objectives of that processing”,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ins>
    </w:p>
    <w:p>
      <w:pPr>
        <w:pStyle w:val="BodyText"/>
      </w:pPr>
      <w:r>
        <w:t xml:space="preserve">C3: Deletion ceiling. For every record a with σ(a) = secondary and every month t ≥ t_(π)(a) + 6:</w:t>
      </w:r>
    </w:p>
    <w:p>
      <w:pPr>
        <w:pStyle w:val="BodyText"/>
      </w:pPr>
      <w:r>
        <w:t xml:space="preserve">α(a,t) = 0 ∀ t ≥ t_(π)(a) + 6</w:t>
      </w:r>
    </w:p>
    <w:p>
      <w:pPr>
        <w:pStyle w:val="BodyText"/>
      </w:pPr>
      <w:r>
        <w:t xml:space="preserve">and, where the record’s subject fields are electronic health data within the environment (Section 4.6),</w:t>
      </w:r>
    </w:p>
    <w:p>
      <w:pPr>
        <w:pStyle w:val="BodyText"/>
      </w:pPr>
      <w:r>
        <w:t xml:space="preserve">β(a,t) = 0 ∀ t ≥ t_(π)(a) + 6</w:t>
      </w:r>
    </w:p>
    <w:p>
      <w:pPr>
        <w:pStyle w:val="BodyText"/>
      </w:pPr>
      <w:r>
        <w:t xml:space="preserve">Electronic health data must not remain in the Secure Processing Environment more than six months after permit expiry. Source: Article 68(12) EHDS, which provides that “the electronic health data within the secure processing environment shall be deleted within six months of the expiry of the data permit” (European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 V is defined in terms of α, which is the question Section 4.5 makes explicit.</w:t>
      </w:r>
    </w:p>
    <w:p>
      <w:pPr>
        <w:pStyle w:val="Heading2"/>
      </w:pPr>
      <w:r>
        <w:t xml:space="preserve">4.5 Two Semantics of Verifiability</w:t>
      </w:r>
    </w:p>
    <w:p>
      <w:pPr>
        <w:pStyle w:val="BodyText"/>
        <w:rPr>
          <w:ins w:id="138" w:author="Arshad Akhtar Abbasia" w:date="2026-10-04T12:00:00Z"/>
        </w:rPr>
      </w:pPr>
      <w:ins w:id="139" w:author="Arshad Akhtar Abbasia" w:date="2026-10-04T12:00:00Z">
        <w:r>
          <w:t xml:space="preserve">Everything now turns on one undefined word: verifiable. Two definitions are available, and the propositions show that they lead to opposite answers.</w:t>
        </w:r>
      </w:ins>
    </w:p>
    <w:p>
      <w:pPr>
        <w:pStyle w:val="BodyText"/>
      </w:pPr>
      <w:r>
        <w:t xml:space="preserve">Semantics I: plaintext verifiability. A record counts as verifiable exactly when its payload is accessible:</w:t>
      </w:r>
    </w:p>
    <w:p>
      <w:pPr>
        <w:pStyle w:val="BodyText"/>
      </w:pPr>
      <w:r>
        <w:t xml:space="preserve">V^(I)(a,t) = α(a,t)</w:t>
      </w:r>
    </w:p>
    <w:p>
      <w:pPr>
        <w:pStyle w:val="BodyText"/>
        <w:rPr>
          <w:ins w:id="140" w:author="Arshad Akhtar Abbasia" w:date="2026-10-04T12:00:00Z"/>
        </w:rPr>
      </w:pPr>
      <w:ins w:id="141" w:author="Arshad Akhtar Abbasia" w:date="2026-10-04T12:00:00Z">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 “Verification” 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ins>
    </w:p>
    <w:p>
      <w:pPr>
        <w:pStyle w:val="BodyText"/>
        <w:rPr>
          <w:del w:id="142" w:author="Arshad Akhtar Abbasia" w:date="2026-10-04T12:00:00Z"/>
        </w:rPr>
      </w:pPr>
      <w:del w:id="143" w:author="Arshad Akhtar Abbasia" w:date="2026-10-04T12:00:00Z">
        <w:r>
          <w:delTex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How common such logs are is not established here. What is established is that nothing in the instruments rules them out and that the cross-border profile supplies their content, since ITI-55 requires both gateways to record the patient’s demographic query (Section 4.3). No instrument states this semantics, and none states the alternative.</w:delText>
        </w:r>
      </w:del>
    </w:p>
    <w:p>
      <w:pPr>
        <w:pStyle w:val="BodyText"/>
      </w:pPr>
      <w:r>
        <w:t xml:space="preserve">Semantics II: accountability-preserving verifiability. A record counts as verifiable when its accountability content is intact and any loss of payload accessibility is itself accounted for:</w:t>
      </w:r>
    </w:p>
    <w:p>
      <w:pPr>
        <w:pStyle w:val="BodyText"/>
      </w:pPr>
      <w:r>
        <w:t xml:space="preserve">V^(II)(a,t) = 1 ⇔ (i) ∧ (ii) ∧ (iii)</w:t>
      </w:r>
    </w:p>
    <w:p>
      <w:pPr>
        <w:pStyle w:val="BodyText"/>
      </w:pPr>
      <w:r>
        <w:t xml:space="preserve">where, at month t: (i) m_(acc)(a) is intact and unmodified, and so is m_(subj)(a) unless its removal is recorded under (iii); (ii) c(a) is present and binding; and (iii) if α(a,t′) = 1 for some t′ &lt; t and α(a,t) = 0, or likewise for β, then an invalidation entry ι(a) 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 and 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p>
      <w:pPr>
        <w:pStyle w:val="Heading2"/>
      </w:pPr>
      <w:r>
        <w:t xml:space="preserve">4.6 Propositions 1 and 3: Infeasibility, and Where the Ceiling Is Anchored</w:t>
      </w:r>
    </w:p>
    <w:p>
      <w:pPr>
        <w:pStyle w:val="BodyText"/>
        <w:rPr>
          <w:ins w:id="144" w:author="Arshad Akhtar Abbasia" w:date="2026-10-04T12:00:00Z"/>
        </w:rPr>
      </w:pPr>
      <w:ins w:id="145" w:author="Arshad Akhtar Abbasia" w:date="2026-10-04T12:00:00Z">
        <w:r>
          <w:t xml:space="preserve">Under Semantics I the conflict is not bad luck or rare timing. It is a contradiction, and it can be located to the month.</w:t>
        </w:r>
      </w:ins>
    </w:p>
    <w:p>
      <w:pPr>
        <w:pStyle w:val="BodyText"/>
      </w:pPr>
      <w:r>
        <w:t xml:space="preserve">Proposition 1. Under Semantics I, the constraint system {C1, C2, C3} is infeasible for any record a such that</w:t>
      </w:r>
    </w:p>
    <w:p>
      <w:pPr>
        <w:pStyle w:val="BodyText"/>
      </w:pPr>
      <w:r>
        <w:t xml:space="preserve">t_(r)(a) + δ ≤ t(a) + F(a) or t_(π)(a) + 6 ≤ t(a) + F(a).</w:t>
      </w:r>
    </w:p>
    <w:p>
      <w:pPr>
        <w:pStyle w:val="BodyText"/>
      </w:pPr>
      <w:r>
        <w:t xml:space="preserve">Proof. Take a record a satisfying the first disjunct, and let t^(*) = t_(r)(a) + δ. By hypothesis t^(*) ≤ t(a) + F(a), and since erasure requests arrive after the access that generates the record, t^(*) ≥ t(a). Hence t^(*) lies within the retention window, so C1 requires V(a,t^(*)) = 1. Under Semantics I, V^(I)(a,t^(*)) = α(a,t^(*)), so C1 requires α(a,t^(*)) = 1. But C2 requires α(a,t) = 0 for all t ≥ t_(r)(a) + δ = t^(*), so C2 requires α(a,t^(*)) = 0. The two requirements are contradictory, and no assignment of α satisfies both. The argument for the second disjunct is identical with t^(*) = t_(π)(a) + 6 and C3 in place of C2. ∎</w:t>
      </w:r>
    </w:p>
    <w:p>
      <w:pPr>
        <w:pStyle w:val="BodyText"/>
      </w:pPr>
      <w:r>
        <w:t xml:space="preserve">Corollary 1.1 (cross-border case). For cross-border audit records, F(a) = 120. The system is infeasible for record a whenever an erasure request arrives at any month t_(r)(a) ≤ t(a) + 120 − δ: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t xml:space="preserve">Corollary 1.2 (Secure Processing Environment case). For Secure Processing Environment access logs, F(a) = 12 and σ(a) = secondary. Suppose the permit expires at or before the sixth month of the record’s retention window, so that t_(π)(a) + 6 ≤ t(a) + 12. Then C1 and C3 are contradictory at t^(*) = t_(π)(a) + 6 by the argument above, provided C3 reaches the record. Where it does, no erasure request is required. 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w:t>
      </w:r>
      <w:del w:id="146" w:author="Arshad Akhtar Abbasia" w:date="2026-10-04T12:00:00Z">
        <w:r>
          <w:delText xml:space="preserve">the sharpest form </w:delText>
        </w:r>
      </w:del>
      <w:ins w:id="147" w:author="Arshad Akhtar Abbasia" w:date="2026-10-04T12:00:00Z">
        <w:r>
          <w:t xml:space="preserve">a conditional extension </w:t>
        </w:r>
      </w:ins>
      <w:r>
        <w:t xml:space="preserve">of the </w:t>
      </w:r>
      <w:del w:id="148" w:author="Arshad Akhtar Abbasia" w:date="2026-10-04T12:00:00Z">
        <w:r>
          <w:delText xml:space="preserve">thesis’s </w:delText>
        </w:r>
      </w:del>
      <w:r>
        <w:t xml:space="preserve">problem </w:t>
      </w:r>
      <w:del w:id="149" w:author="Arshad Akhtar Abbasia" w:date="2026-10-04T12:00:00Z">
        <w:r>
          <w:delText xml:space="preserve">statement. </w:delText>
        </w:r>
      </w:del>
      <w:ins w:id="150" w:author="Arshad Akhtar Abbasia" w:date="2026-10-04T12:00:00Z">
        <w:r>
          <w:t xml:space="preserve">statement; the request-driven conflict of Corollary 1.1 does not depend on it. </w:t>
        </w:r>
      </w:ins>
      <w:r>
        <w:t xml:space="preserve">It shows that the conflict does not depend on the exercise of a data-subject right, on the eHDSI deployment baseline, or on any synthesis across instruments of differing legal weight. It is internal to Regulation (EU) 2025/327.</w:t>
      </w:r>
    </w:p>
    <w:p>
      <w:pPr>
        <w:pStyle w:val="BodyText"/>
      </w:pPr>
      <w:r>
        <w:t xml:space="preserve">The interpretive condition on which Corollary 1.2 depends. 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 “the electronic health data within the secure processing environment shall be deleted within six months of the expiry of the data permit”. Its scope is set by location rather than by provenance: it does not say “the data made available under the data permit”. Its object, however, is electronic health data, which Article 2(2)(a) and (c) define as “data concerning health and genetic data, processed in an electronic form”,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 “authorised natural persons listed in the data permit” (point (a)), and the handling of data to “authorised identifiable individuals” (point (c)). The Joint Action’s specification for these environments reads Article 73(1)(e) the same way: “All SPE logs MUST identify the actor” (TEHDAS2,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 “a storage system with reduced capabilities”, and “the formula for the creation of the requested dataset”.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w:t>
      </w:r>
      <w:del w:id="151" w:author="Arshad Akhtar Abbasia" w:date="2026-10-04T12:00:00Z">
        <w:r>
          <w:delText xml:space="preserve">sharpest instance </w:delText>
        </w:r>
      </w:del>
      <w:ins w:id="152" w:author="Arshad Akhtar Abbasia" w:date="2026-10-04T12:00:00Z">
        <w:r>
          <w:t xml:space="preserve">conditional extension </w:t>
        </w:r>
      </w:ins>
      <w:r>
        <w:t xml:space="preserve">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t xml:space="preserve">Where the ceiling is anchored. Corollary 1.2 and the cross-sector instance of Chapter 6, Section 6.10 are both cases of one condition, the structural content of the problem rather than a property of either instrument.</w:t>
      </w:r>
    </w:p>
    <w:p>
      <w:pPr>
        <w:pStyle w:val="BodyText"/>
      </w:pPr>
      <w:r>
        <w:t xml:space="preserve">Proposition 3 (anchoring). Let a record’s floor of F months run from its creation month t(a), and let a ceiling of L months run from an event at month e(a) ≥ t(a). Under Semantics I, the floor and the ceiling are jointly satisfiable for a if and only if e(a) + L &gt; t(a) + F. Hence (i) if the ceiling is anchored to the same event as the floor, e(a) = t(a), they are satisfiable for every record if and only if L &gt; F, a condition decidable from the text alone; and (ii) if the ceiling is anchored to an external event, then whenever L ≤ F they fail for exactly those records with e(a) − t(a) ≤ F − L, a set that the text does not reveal and each record’s history determines.</w:t>
      </w:r>
    </w:p>
    <w:p>
      <w:pPr>
        <w:pStyle w:val="BodyText"/>
      </w:pPr>
      <w:r>
        <w:t xml:space="preserve">Proof. C1 under Semantics I requires α(a,t) = 1 for every month t up to t(a) + F; the ceiling requires α(a,t) = 0 for every t ≥ e(a) + L. Since e(a) + L ≥ t(a), some month of the window carries both demands if and only if e(a) + L ≤ t(a) + F. Cases (i) and (ii) substitute e(a) = t(a) 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6.10).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p>
      <w:pPr>
        <w:pStyle w:val="Heading2"/>
      </w:pPr>
      <w:r>
        <w:t xml:space="preserve">4.7 Proposition 2: Feasibility under Accountability-Preserving Verifiability</w:t>
      </w:r>
    </w:p>
    <w:p>
      <w:pPr>
        <w:pStyle w:val="BodyText"/>
        <w:rPr>
          <w:ins w:id="153" w:author="Arshad Akhtar Abbasia" w:date="2026-10-04T12:00:00Z"/>
        </w:rPr>
      </w:pPr>
      <w:ins w:id="154" w:author="Arshad Akhtar Abbasia" w:date="2026-10-04T12:00:00Z">
        <w:r>
          <w:t xml:space="preserve">Change what verifiable means and the contradiction disappears, for every record, every pattern of requests and every floor. The proof builds the trajectory that does it, and that trajectory is the mechanism.</w:t>
        </w:r>
      </w:ins>
    </w:p>
    <w:p>
      <w:pPr>
        <w:pStyle w:val="BodyText"/>
      </w:pPr>
      <w:r>
        <w:t xml:space="preserve">Proposition 2. Under Semantics II, the constraint system {C1, C2, C3} is jointly satisfiable for every record a ∈ A, for every arrival pattern of erasure requests {t_(r)(a)} and permit expiries {t_(π)(a)}, and for every floor parameter F(a) ∈ ℕ.</w:t>
      </w:r>
    </w:p>
    <w:p>
      <w:pPr>
        <w:pStyle w:val="BodyText"/>
      </w:pPr>
      <w:r>
        <w:t xml:space="preserve">Proof (constructive). Define the following trajectory for an arbitrary record a. Let</w:t>
      </w:r>
    </w:p>
    <w:p>
      <w:pPr>
        <w:pStyle w:val="BodyText"/>
      </w:pPr>
      <w:r>
        <w:t xml:space="preserve">t^(I)(a) = min ( t_(r)(a) + δ, t_(π)(a) + 6 )</w:t>
      </w:r>
    </w:p>
    <w:p>
      <w:pPr>
        <w:pStyle w:val="BodyText"/>
      </w:pPr>
      <w:r>
        <w:t xml:space="preserve">be the invalidation month, with the convention min(∞, ∞) = ∞. Construct the trajectory:</w:t>
      </w:r>
    </w:p>
    <w:p>
      <w:pPr>
        <w:pStyle w:val="BodyText"/>
      </w:pPr>
      <w:r>
        <w:t xml:space="preserve">1. For t &lt; t^(I)(a): set α(a,t) = 1. Retain m(a), c(a), k(a), and p(a). 2. At t = t^(I)(a), if finite: destroy k(a) irreversibly; where the ground is Article 68(12) and C3 reaches the subject fields, remove m_(subj)(a) as well and set β(a,t) = 0; append to the audit trail an invalidation entry ι(a) recording the month, the legal ground (Article 17(1) or Article 68(12) as applicable), what was removed, and the authorising actor; retain m_(acc)(a) and c(a) unchanged. 3. For t &gt; t^(I)(a): set α(a,t) = 0, and β(a,t) = 0 where step 2 removed the subject fields. Retain m_(acc)(a), c(a), and ι(a). 4. If C3 reaches the subject fields and t^(I)(a) &lt; t_(π)(a) + 6, so that an erasure request fixed the invalidation month, remove m_(subj)(a) at t_(π)(a) + 6, set β(a,t) = 0 from that month, and append a second entry to ι(a) recording it.</w:t>
      </w:r>
    </w:p>
    <w:p>
      <w:pPr>
        <w:pStyle w:val="BodyText"/>
      </w:pPr>
      <w:r>
        <w:t xml:space="preserve">It must be shown that this trajectory satisfies all three constraints.</w:t>
      </w:r>
    </w:p>
    <w:p>
      <w:pPr>
        <w:pStyle w:val="BodyText"/>
      </w:pPr>
      <w:r>
        <w:t xml:space="preserve">C2 is satisfied. If t_(r)(a) &lt; ∞ then t^(I)(a) ≤ t_(r)(a) + δ by construction, and by steps 2–3, α(a,t) = 0 for all t ≥ t^(I)(a), hence for all t ≥ t_(r)(a) + δ. If t_(r)(a) = ∞, C2 is vacuous.</w:t>
      </w:r>
    </w:p>
    <w:p>
      <w:pPr>
        <w:pStyle w:val="BodyText"/>
      </w:pPr>
      <w:r>
        <w:t xml:space="preserve">C3 is satisfied. If σ(a) = secondary and t_(π)(a) &lt; ∞ then t^(I)(a) ≤ t_(π)(a) + 6, and by the same steps α(a,t) = 0 for all t ≥ t_(π)(a) + 6, and β(a,t) = 0 from the same month wherever C3 reaches the subject fields. If t^(I)(a) was set by an earlier erasure request, step 4 removes the subject fields at t_(π)(a) + 6. Otherwise C3 is vacuous.</w:t>
      </w:r>
    </w:p>
    <w:p>
      <w:pPr>
        <w:pStyle w:val="BodyText"/>
      </w:pPr>
      <w:r>
        <w:t xml:space="preserve">C1 is satisfied. Let t be any month in the retention window, t(a) ≤ t ≤ t(a) + F(a). Condition (i) holds because no step of the construction modifies or removes m_(acc)(a), and the only removal of m_(subj)(a) is recorded in ι(a). Condition (ii) holds because no step removes c(a); the commitment is not derived from k(a) and its persistence is unaffected by key destruction. For condition (iii): if α(a,t) = 1 the condition is vacuous; if α(a,t) = 0 then t ≥ t^(I)(a), and step 2 has placed ι(a) in the audit trail, where step 3 retains it, and ι(a) is covered by (i). Hence V^(II)(a,t) = 1 throughout the window. The terminal transition of Section 4.8 takes place after the window and is not part of this trajectory.</w:t>
      </w:r>
    </w:p>
    <w:p>
      <w:pPr>
        <w:pStyle w:val="BodyText"/>
      </w:pPr>
      <w:r>
        <w:t xml:space="preserve">All three constraints are satisfied, for arbitrary arrival times and arbitrary F(a). ∎</w:t>
      </w:r>
    </w:p>
    <w:p>
      <w:pPr>
        <w:pStyle w:val="BodyText"/>
      </w:pPr>
      <w:r>
        <w:t xml:space="preserve">Corollary 2.1. 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t xml:space="preserve">Corollary 2.2. Because F(a) 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rPr>
          <w:ins w:id="155" w:author="Arshad Akhtar Abbasia" w:date="2026-10-04T12:00:00Z"/>
        </w:rPr>
      </w:pPr>
      <w:ins w:id="156" w:author="Arshad Akhtar Abbasia" w:date="2026-10-04T12:00:00Z">
        <w:r>
          <w:t xml:space="preserve">Corollary 2.3 (sensitivity to what auditing needs). Extend the model with one accessibility variable per part of the payload, which the single-variable model of Section 4.3 cannot express, and partition the payload as p(a) = p_(n)(a) ∪ p_(r)(a), where p_(n)(a) is any part that auditing turns out to need, and retain p_(n)(a) with the accessor fields. The trajectory of Proposition 2, with p_(r)(a) in place of p(a), satisfies C1 and C2, and it satisfies C3 unless p_(n)(a) is itself electronic health data within the environment on the broad reading of Article 68(12). In that case C1 and C3 collide over p_(n)(a), by the argument of Proposition 3, for exactly the records it identifies under case (ii). The collision follows from keeping p_(n)(a) intact under condition (i) without the logged-removal exception that the subject fields have. Relocation (Section 4.10, Rival 6) is the exit this thesis identifies; logging at dataset granularity, the narrow reading, or anonymising p_(n)(a) are others.</w:t>
        </w:r>
      </w:ins>
    </w:p>
    <w:p>
      <w:pPr>
        <w:pStyle w:val="BodyText"/>
        <w:rPr>
          <w:ins w:id="157" w:author="Arshad Akhtar Abbasia" w:date="2026-10-04T12:00:00Z"/>
        </w:rPr>
      </w:pPr>
      <w:ins w:id="158" w:author="Arshad Akhtar Abbasia" w:date="2026-10-04T12:00:00Z">
        <w:r>
          <w:t xml:space="preserve">Proof sketch. Replace p by p_(r) in steps 1–4 and add p_(n) to the fields that condition (i) of Semantics II keeps intact. C1 holds as before. C2 holds for p_(r) as before, and for p_(n) through Article 17(3)(b), which applies because p_(n) is by assumption necessary. C3 constrains whatever is electronic health data within the environment: if p_(n) is not, C3 is met as before; if it is, C3 requires it gone from t_(π)(a) + 6 while C1 requires it until t(a) + F(a), and the argument of Proposition 3 gives the records for which these overlap. ∎</w:t>
        </w:r>
      </w:ins>
    </w:p>
    <w:p>
      <w:pPr>
        <w:pStyle w:val="BodyText"/>
        <w:rPr>
          <w:ins w:id="159" w:author="Arshad Akhtar Abbasia" w:date="2026-10-04T12:00:00Z"/>
        </w:rPr>
      </w:pPr>
      <w:ins w:id="160" w:author="Arshad Akhtar Abbasia" w:date="2026-10-04T12:00:00Z">
        <w:r>
          <w:t xml:space="preserve">Feasibility therefore survives any enlargement of what auditing needs, except an enlargement into data concerning health inside a Secure Processing Environment, where it fails as Corollary 1.2 does and has the same exits.</w:t>
        </w:r>
      </w:ins>
    </w:p>
    <w:p>
      <w:pPr>
        <w:pStyle w:val="BodyText"/>
      </w:pPr>
      <w:r>
        <w:t xml:space="preserve">A note on what kind of result this is. The results of this chapter are stated as propositions rather than theorems,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w:t>
      </w:r>
      <w:del w:id="161" w:author="Arshad Akhtar Abbasia" w:date="2026-10-04T12:00:00Z">
        <w:r>
          <w:delText xml:space="preserve">force and the </w:delText>
        </w:r>
      </w:del>
      <w:ins w:id="162" w:author="Arshad Akhtar Abbasia" w:date="2026-10-04T12:00:00Z">
        <w:r>
          <w:t xml:space="preserve">force. The </w:t>
        </w:r>
      </w:ins>
      <w:r>
        <w:t xml:space="preserve">response </w:t>
      </w:r>
      <w:del w:id="163" w:author="Arshad Akhtar Abbasia" w:date="2026-10-04T12:00:00Z">
        <w:r>
          <w:delText xml:space="preserve">is to concede </w:delText>
        </w:r>
      </w:del>
      <w:ins w:id="164" w:author="Arshad Akhtar Abbasia" w:date="2026-10-04T12:00:00Z">
        <w:r>
          <w:t xml:space="preserve">concedes </w:t>
        </w:r>
      </w:ins>
      <w:r>
        <w:t xml:space="preserve">its premise and </w:t>
      </w:r>
      <w:del w:id="165" w:author="Arshad Akhtar Abbasia" w:date="2026-10-04T12:00:00Z">
        <w:r>
          <w:delText xml:space="preserve">deny </w:delText>
        </w:r>
      </w:del>
      <w:ins w:id="166" w:author="Arshad Akhtar Abbasia" w:date="2026-10-04T12:00:00Z">
        <w:r>
          <w:t xml:space="preserve">denies </w:t>
        </w:r>
      </w:ins>
      <w:r>
        <w:t xml:space="preserve">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 this 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 some departure is unavoidable, because </w:t>
      </w:r>
      <w:del w:id="167" w:author="Arshad Akhtar Abbasia" w:date="2026-10-04T12:00:00Z">
        <w:r>
          <w:delText xml:space="preserve">the status quo </w:delText>
        </w:r>
      </w:del>
      <w:ins w:id="168" w:author="Arshad Akhtar Abbasia" w:date="2026-10-04T12:00:00Z">
        <w:r>
          <w:t xml:space="preserve">plaintext verifiability </w:t>
        </w:r>
      </w:ins>
      <w:r>
        <w:t xml:space="preserve">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t xml:space="preserve">What the proposition does and does not establish. 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 attested record of destruction, not a proof 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p>
      <w:pPr>
        <w:pStyle w:val="Heading2"/>
      </w:pPr>
      <w:r>
        <w:t xml:space="preserve">4.8 The Mechanism: Crypto-Erasure by Invalidation</w:t>
      </w:r>
    </w:p>
    <w:p>
      <w:pPr>
        <w:pStyle w:val="BodyText"/>
      </w:pPr>
      <w:r>
        <w:t xml:space="preserve">The </w:t>
      </w:r>
      <w:del w:id="169" w:author="Arshad Akhtar Abbasia" w:date="2026-10-04T12:00:00Z">
        <w:r>
          <w:delText xml:space="preserve">trajectory constructed in the </w:delText>
        </w:r>
      </w:del>
      <w:r>
        <w:t xml:space="preserve">proof of Proposition 2 </w:t>
      </w:r>
      <w:ins w:id="170" w:author="Arshad Akhtar Abbasia" w:date="2026-10-04T12:00:00Z">
        <w:r>
          <w:t xml:space="preserve">is also a build sheet: the trajectory it constructs </w:t>
        </w:r>
      </w:ins>
      <w:r>
        <w:t xml:space="preserve">is the specification of the mechanism. This section states it as an implementable </w:t>
      </w:r>
      <w:del w:id="171" w:author="Arshad Akhtar Abbasia" w:date="2026-10-04T12:00:00Z">
        <w:r>
          <w:delText xml:space="preserve">design.</w:delText>
        </w:r>
      </w:del>
      <w:ins w:id="172" w:author="Arshad Akhtar Abbasia" w:date="2026-10-04T12:00:00Z">
        <w:r>
          <w:t xml:space="preserve">design: what is encrypted, what is committed, what is destroyed, and what is logged when it is.</w:t>
        </w:r>
      </w:ins>
    </w:p>
    <w:p>
      <w:pPr>
        <w:pStyle w:val="BodyText"/>
      </w:pPr>
      <w:r>
        <w:t xml:space="preserve">Key hierarchy. Each record’s payload is encrypted under a per-record data key k(a).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 k(a) is effected by destruction of the wrapped data key and any cached copies, within the documented custody boundary. This is the hierarchy that key-management guidance prescribes, in which data keys are protected by key-encrypting keys and destruction means removing “all traces of a cryptographic key so that it cannot be recovered by either physical or electronic means” (Barker, 2020, Section 2.1).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t xml:space="preserve">Ciphertext. At t^(I)(a) the ciphertext of p(a) is deleted from the audit store together with k(a).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 t^(I)(a) and leave by ordinary rotation. The specification for Secure Processing Environments accepts exactly this: electronic health data “MUST be deleted or rendered unrecoverable within six months of permit expiry, including any backups or redundant copies” (TEHDAS2, 2026, Table 5.2, OPR-6, p. 43). The same requirement continues: deletion must proceed “while ensuring compliance with applicable legal obligations and traceability or reproducibility requirements where relevant”, and its rationale leaves it to “the deletion and retention policy” to “balance these obligations”. The specification asks for the balance and does not say how it is struck; for the logs, this mechanism is one way to strike it.</w:t>
      </w:r>
    </w:p>
    <w:p>
      <w:pPr>
        <w:pStyle w:val="BodyText"/>
      </w:pPr>
      <w:r>
        <w:t xml:space="preserve">Commitment. c(a) = Commit(p(a), r(a)) with a per-record salt r(a). The salt is stored with the metadata until invalidation and is destroyed together with k(a) at t^(I)(a). Before invalidation it lets an auditor open the commitment against the payload. After invalidation no opening can be checked, because the payload is no longer readable, while a retained salt would let anyone holding a candidate payload confirm a guess against c(a) (Section 4.9). Destroying the salt does not weaken binding, which is a property of the commitment value: no second payload can be opened against c(a), and after t^(I)(a) no payload can be opened against it at all. A party that holds its own copy of the payload and must later prove that it corresponds to c(a) has to obtain and keep the opening before invalidation; the audit store does not keep one for it. The scheme must be hiding: an adversary holding c(a) and lacking r(a) must learn nothing about p(a). A bare unsalted hash of the payload does not satisfy this and must not be used, for the reason given in Section 4.9.</w:t>
      </w:r>
    </w:p>
    <w:p>
      <w:pPr>
        <w:pStyle w:val="BodyText"/>
      </w:pPr>
      <w:r>
        <w:t xml:space="preserve">The invalidation registry. Invalidation entries are appended to the audit trail as first-class records. Each entry ι(a) 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 “its previous existence may be recorded (e.g., in metadata or audit logs)” (Barker, 2020, Section 7.6). The invalidation entry is that record, given a legal ground and an authorising actor.</w:t>
      </w:r>
    </w:p>
    <w:p>
      <w:pPr>
        <w:pStyle w:val="BodyText"/>
      </w:pPr>
      <w:r>
        <w:t xml:space="preserve">Tamper evidence. 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(Chapter 5, Section 5.7). What enters a leaf is chosen so that the log never needs erasing: the accessor fields, the creation month and the commitment, never the payload and never the subject fields. The tension that Chapter 2, Section 2.4 found unresolved in blockchain audit logging, an immutable trail facing an erasure right, therefore does not arise: what the right and the ceiling reach is held outside the log and destroyed there, and what the log holds is what accountability </w:t>
      </w:r>
      <w:del w:id="173" w:author="Arshad Akhtar Abbasia" w:date="2026-10-04T12:00:00Z">
        <w:r>
          <w:delText xml:space="preserve">requires.</w:delText>
        </w:r>
      </w:del>
      <w:ins w:id="174" w:author="Arshad Akhtar Abbasia" w:date="2026-10-04T12:00:00Z">
        <w:r>
          <w:t xml:space="preserve">requires. Redactable and chameleon-hash designs, reviewed in Chapter 2, Section 2.4, resolve the same tension the other way, by letting a key holder rewrite the log.</w:t>
        </w:r>
      </w:ins>
    </w:p>
    <w:p>
      <w:pPr>
        <w:pStyle w:val="BodyText"/>
      </w:pPr>
      <w:r>
        <w:t xml:space="preserve">Accumulator-based validity witnesses. 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del w:id="175" w:author="Arshad Akhtar Abbasia" w:date="2026-10-04T12:00:00Z">
        <w:r>
          <w:delText xml:space="preserve">(Section </w:delText>
        </w:r>
      </w:del>
      <w:ins w:id="176" w:author="Arshad Akhtar Abbasia" w:date="2026-10-04T12:00:00Z">
        <w:r>
          <w:t xml:space="preserve">(Chapter 6, Section </w:t>
        </w:r>
      </w:ins>
      <w:r>
        <w:t xml:space="preserve">6.1). Dynamic accumulators of the Camenisch and Lysyanskaya type also require a trusted accumulator manager holding a trapdoor, which adds a trust assumption stated in Section 4.9.</w:t>
      </w:r>
    </w:p>
    <w:p>
      <w:pPr>
        <w:pStyle w:val="BodyText"/>
      </w:pPr>
      <w:r>
        <w:t xml:space="preserve">The auditor’s view. After invalidation, an external auditor examining record a can establish four things. The access event occurred, with all its accountability attributes, which follows from m(a). A specific payload was bound to that event, which follows from c(a). The payload was invalidated, and the auditor can see when, on what legal ground, and by whom, from ι(a).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t xml:space="preserve">End of life at floor expiry. The constraints of Section 4.4 govern the record’s behaviour through its retention window, but the window ends, and the model would be incomplete if it said nothing about what follows. After t = t(a) + F(a), the last month of the closed window on which C1 is defined, the retention obligation lapses, and with it the necessity that justified retaining m(a) 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 t(a) + F(a) + 1, the record undergoes a second invalidation, in which the identifying fields of m(a) are destroyed, together with k(a), the salt r(a) 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 F(a) is set to the longer period, which is the parameterisation the model already supports.</w:t>
      </w:r>
    </w:p>
    <w:p>
      <w:pPr>
        <w:pStyle w:val="BodyText"/>
      </w:pPr>
      <w:r>
        <w:t xml:space="preserve">Applying the mechanism to the two cases. For the cross-border primary-use case, the mechanism operates at the audit repository of the National Contact Point, at the point where the ATNA audit record is written. </w:t>
      </w:r>
      <w:ins w:id="177" w:author="Arshad Akhtar Abbasia" w:date="2026-10-04T12:00:00Z">
        <w:r>
          <w:t xml:space="preserve">The patient link is retained there through the floor, for the reason Section 4.2 gives, and removed at the terminal transition. </w:t>
        </w:r>
      </w:ins>
      <w:r>
        <w:t xml:space="preserve">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 t_(π)(a) + 6 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 “all processing operations” after the ceiling also needs the subject link is an interpretive question this thesis cannot settle; Chapter 7, Section 7.4 puts it to the supervisory authority.</w:t>
      </w:r>
    </w:p>
    <w:p>
      <w:pPr>
        <w:pStyle w:val="Heading2"/>
      </w:pPr>
      <w:r>
        <w:t xml:space="preserve">4.9 Residue Analysis</w:t>
      </w:r>
    </w:p>
    <w:p>
      <w:pPr>
        <w:pStyle w:val="BodyText"/>
      </w:pPr>
      <w:ins w:id="178" w:author="Arshad Akhtar Abbasia" w:date="2026-10-04T12:00:00Z">
        <w:r>
          <w:t xml:space="preserve">A mechanism that erases by destroying keys is only as good as what it leaves behind. </w:t>
        </w:r>
      </w:ins>
      <w:r>
        <w:t xml:space="preserve">Proposition 2 leaves a residue: m(a), c(a), ι(a), the leaf hashes of the audit log and, where the optional layer is used, the accumulator state. The salt r(a), the key k(a) and the ciphertext of p(a) 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t xml:space="preserve">The threat. Finck’s analysis for the European Parliament establishes that hashed or encrypted data likely remain personal data under GDPR so long as re-identification remains possible (Finck, 2019; Finck, 2018). Applied to this mechanism, the threat is direct: if c(a) 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t xml:space="preserve">The response. This is why the hiding property is a requirement of the design and not an implementation preference. With a per-record salt r(a) of adequate length, confirming a guessed payload requires the salt; the commitment alone leaks nothing. Because the salt is destroyed with the key, no party can confirm a guessed payload against c(a) after invalidation unless it kept its own opening beforehand. What has been destroyed is both the ability to recover the payload, which depended on k(a), and the ability to confirm a guess about it from the audit store, which depended on r(a).</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del w:id="179" w:author="Arshad Akhtar Abbasia" w:date="2026-10-04T12:00:00Z">
        <w:r>
          <w:delText xml:space="preserve">(Section </w:delText>
        </w:r>
      </w:del>
      <w:ins w:id="180" w:author="Arshad Akhtar Abbasia" w:date="2026-10-04T12:00:00Z">
        <w:r>
          <w:t xml:space="preserve">(Chapter 6, Section </w:t>
        </w:r>
      </w:ins>
      <w:r>
        <w:t xml:space="preserve">6.1).</w:t>
      </w:r>
    </w:p>
    <w:p>
      <w:pPr>
        <w:pStyle w:val="BodyText"/>
      </w:pPr>
      <w:r>
        <w:t xml:space="preserve">The limit. 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t xml:space="preserve">Why the mechanism is nonetheless defensible. 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t xml:space="preserve">The trust assumptions. 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t xml:space="preserve">The residual cryptographic risk. 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p>
      <w:pPr>
        <w:pStyle w:val="Heading2"/>
      </w:pPr>
      <w:r>
        <w:t xml:space="preserve">4.10 Rival Designs and Proposition 4</w:t>
      </w:r>
    </w:p>
    <w:p>
      <w:pPr>
        <w:pStyle w:val="BodyText"/>
      </w:pPr>
      <w:ins w:id="181" w:author="Arshad Akhtar Abbasia" w:date="2026-10-04T12:00:00Z">
        <w:r>
          <w:t xml:space="preserve">If a simpler design solved the problem, this mechanism would be unnecessary. </w:t>
        </w:r>
      </w:ins>
      <w:r>
        <w:t xml:space="preserve">Six alternative designs are </w:t>
      </w:r>
      <w:del w:id="182" w:author="Arshad Akhtar Abbasia" w:date="2026-10-04T12:00:00Z">
        <w:r>
          <w:delText xml:space="preserve">considered. </w:delText>
        </w:r>
      </w:del>
      <w:ins w:id="183" w:author="Arshad Akhtar Abbasia" w:date="2026-10-04T12:00:00Z">
        <w:r>
          <w:t xml:space="preserve">therefore tested against it. </w:t>
        </w:r>
      </w:ins>
      <w:r>
        <w:t xml:space="preserve">Five are rejected for stated reasons; the sixth is accepted for the ceiling alone and bounded by Proposition 4.</w:t>
      </w:r>
    </w:p>
    <w:p>
      <w:pPr>
        <w:pStyle w:val="BodyText"/>
      </w:pPr>
      <w:r>
        <w:t xml:space="preserve">Rival 1: Rely on the Article 17(3)(b) exemption and retain in full. 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t xml:space="preserve">Rival 2: Anonymise the audit record instead. 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 identifiable in terms. Anonymisation satisfies C2 and C3 by violating C1.</w:t>
      </w:r>
    </w:p>
    <w:p>
      <w:pPr>
        <w:pStyle w:val="BodyText"/>
      </w:pPr>
      <w:r>
        <w:t xml:space="preserve">Rival 3: Minimise the payload at capture, so that nothing needs erasing. 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 “access to electronic health data”, and requires logging to be “proportionate, risk-based, and technically feasible” and to “avoid unnecessary collection of detailed user behaviour not required for auditability or misuse detection” (TEHDAS2,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t xml:space="preserve">Rival 4: Delete the record and log the deletion. 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 something was deleted but not that the deleted item was the payload bound to that specific access event. The distinction matters in adversarial conditions. A controller who deletes records and logs deletions can conceal the substitution of one record for </w:t>
      </w:r>
      <w:del w:id="184" w:author="Arshad Akhtar Abbasia" w:date="2026-10-04T12:00:00Z">
        <w:r>
          <w:delText xml:space="preserve">another; </w:delText>
        </w:r>
      </w:del>
      <w:ins w:id="185" w:author="Arshad Akhtar Abbasia" w:date="2026-10-04T12:00:00Z">
        <w:r>
          <w:t xml:space="preserve">another. A commitment bound into the log at write time constrains this only for </w:t>
        </w:r>
      </w:ins>
      <w:r>
        <w:t xml:space="preserve">a </w:t>
      </w:r>
      <w:del w:id="186" w:author="Arshad Akhtar Abbasia" w:date="2026-10-04T12:00:00Z">
        <w:r>
          <w:delText xml:space="preserve">controller bound to a surviving commitment cannot. </w:delText>
        </w:r>
      </w:del>
      <w:ins w:id="187" w:author="Arshad Akhtar Abbasia" w:date="2026-10-04T12:00:00Z">
        <w:r>
          <w:t xml:space="preserve">party that kept its own opening; once the salt and payload are destroyed no auditor can open it, so the advantage over this rival is narrower than first stated. </w:t>
        </w:r>
      </w:ins>
      <w:r>
        <w:t xml:space="preserve">The mechanism’s advantage over Rival 4 is precisely the verifiability that Chapter 2 identified as absent from the practitioner crypto-shredding pattern.</w:t>
      </w:r>
    </w:p>
    <w:p>
      <w:pPr>
        <w:pStyle w:val="BodyText"/>
      </w:pPr>
      <w:r>
        <w:t xml:space="preserve">Rival 5: Retain recoverable encrypted copies until the later date. 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t xml:space="preserve">Rival 6: Move the logs out of the environment at permit closure. 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odyText"/>
      </w:pPr>
      <w:r>
        <w:t xml:space="preserve">Proposition 4 (location and right). 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BodyText"/>
      </w:pPr>
      <w:r>
        <w:t xml:space="preserve">Proof. The ceiling quantifies over the location: after relocation the record is not in it, so the ceiling holds, and on the rival’s premise the floor is met at the new location. The right quantifies over the controller: Article 17(1) obliges the controller holding the data to erase them, </w:t>
      </w:r>
      <w:del w:id="188" w:author="Arshad Akhtar Abbasia" w:date="2026-10-04T12:00:00Z">
        <w:r>
          <w:delText xml:space="preserve">and </w:delText>
        </w:r>
      </w:del>
      <w:ins w:id="189" w:author="Arshad Akhtar Abbasia" w:date="2026-10-04T12:00:00Z">
        <w:r>
          <w:t xml:space="preserve">and, as a legal premise rather than a mathematical consequence, </w:t>
        </w:r>
      </w:ins>
      <w:r>
        <w:t xml:space="preserve">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t xml:space="preserve">The critique that is not a rival. 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p>
      <w:pPr>
        <w:pStyle w:val="Heading2"/>
      </w:pPr>
      <w:r>
        <w:t xml:space="preserve">4.11 Integration with the Norwegian Infrastructure</w:t>
      </w:r>
    </w:p>
    <w:p>
      <w:pPr>
        <w:pStyle w:val="BodyText"/>
      </w:pPr>
      <w:del w:id="190" w:author="Arshad Akhtar Abbasia" w:date="2026-10-04T12:00:00Z">
        <w:r>
          <w:delText xml:space="preserve">The </w:delText>
        </w:r>
      </w:del>
      <w:ins w:id="191" w:author="Arshad Akhtar Abbasia" w:date="2026-10-04T12:00:00Z">
        <w:r>
          <w:t xml:space="preserve">A </w:t>
        </w:r>
      </w:ins>
      <w:r>
        <w:t xml:space="preserve">mechanism </w:t>
      </w:r>
      <w:ins w:id="192" w:author="Arshad Akhtar Abbasia" w:date="2026-10-04T12:00:00Z">
        <w:r>
          <w:t xml:space="preserve">is only as useful as the point at which it can be installed. This one </w:t>
        </w:r>
      </w:ins>
      <w:r>
        <w:t xml:space="preserve">is specified against the Norwegian infrastructure as verified in Chapter 2, Section 2.6, not against an idealisation of it.</w:t>
      </w:r>
    </w:p>
    <w:p>
      <w:pPr>
        <w:pStyle w:val="BodyText"/>
      </w:pPr>
      <w:r>
        <w:t xml:space="preserve">Primary use: the National Contact Point. Norway’s NCPeH is in live pilot operation (Helsedirektoratet, 2026), as Chapter 2, Section 2.2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t xml:space="preserve">Secondary use: Helsedataservice and the Secure Processing Environments. 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t xml:space="preserve">Compatibility with the national criteria. The Norwegian criteria for Secure Processing Environments, in the version put to hearing, require an information-security management system as mandatory, recommend ISO 27001 certification, and require eID-based authentication at defined assurance levels (SPUHiN, 2025). </w:t>
      </w:r>
      <w:ins w:id="193" w:author="Arshad Akhtar Abbasia" w:date="2026-10-04T12:00:00Z">
        <w:r>
          <w:t xml:space="preserve">The November 2024 draft is specific on logging. It makes tamper-proof, identifiable logs of access to the environment mandatory “for at least one year” (P13), and likewise logs of when files are extracted and by whom, kept for one year (P24); it recommends tamper-proof, identifiable logs of activities inside the environment (P14); and it lists back-up and log files among the matters a termination procedure must cover (P31) (SPUHiN, 2024; requirement numbers as in the draft). That is the one-year floor of Article 73(1)(e) in national form. None of the requirements inspected says how those logs are to be reconciled with deletion. </w:t>
        </w:r>
      </w:ins>
      <w:r>
        <w:t xml:space="preserve">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t xml:space="preserve">Relation to the pending implementing acts. 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t xml:space="preserve">Traceability. 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t xml:space="preserve">Table 4.1. Requirements traced to the mechanism</w:t>
      </w:r>
    </w:p>
    <w:p>
      <w:pPr>
        <w:pStyle w:val="BodyText"/>
      </w:pPr>
      <w:r>
        <w:t xml:space="preserve">------------------------------------------------------------------------------------------------------------------------------------------------------------------------------------------------------------------------------------------------------------------------------------------------------------------------------------------------------------------------------------------------------------------------------------------------------------------------------------------------------------------------------------------------------------------------ Requirement Source What the mechanism does Where Status ------------------------------------------------------------------------------------------------------------------------------------------------------------------------------------------- ------------------------------------------------------------------------- ------------------------------------------------------------------------------------------------------------------------- -------------------------------------- --------------------------------------------------------------------------------------------------------------------------------- Electronic health data within the SPE deleted within six months of permit expiry EHDS Art. 68(12) Payload key, salt and ciphertext destroyed at t_(π) + 6; subject fields of patient-level logs removed at the same month §4.7 steps 2–4; apply_invalidation() Met in the artefact (C3 over α and β: 0 violations)</w:t>
      </w:r>
    </w:p>
    <w:p>
      <w:pPr>
        <w:pStyle w:val="BodyText"/>
      </w:pPr>
      <w:r>
        <w:t xml:space="preserve">Same, “deleted or rendered unrecoverable … including any backups or redundant copies” TEHDAS2 D7.4, Table 5.2, OPR-6, p. 43 Key destruction renders copies the store cannot delete at once unrecoverable §4.8 Ciphertext; crypto_envelope.py Met in the optional module with real AES-256-GCM (138 of 138 refused); destruction in program memory, not hardware (§4.9, §6.3)</w:t>
      </w:r>
    </w:p>
    <w:p>
      <w:pPr>
        <w:pStyle w:val="BodyText"/>
      </w:pPr>
      <w:r>
        <w:t xml:space="preserve">Identifiable logs of access and activities, kept for the period needed to audit, at least one year EHDS Art. 73(1)(e) Accessor fields kept identifiable for the full floor; activity committed §4.3, §4.7; V_II() Met in the artefact (C1 under Semantics II: 0 violations)</w:t>
      </w:r>
    </w:p>
    <w:p>
      <w:pPr>
        <w:pStyle w:val="BodyText"/>
      </w:pPr>
      <w:r>
        <w:t xml:space="preserve">“All SPE logs MUST identify the actor” D7.4, Table 5.1, EHDSR-7, p. 31 Actor is an accessor field, never removed within the floor §4.3 Met in the artefact</w:t>
      </w:r>
    </w:p>
    <w:p>
      <w:pPr>
        <w:pStyle w:val="BodyText"/>
      </w:pPr>
      <w:r>
        <w:t xml:space="preserve">“All SPE logs MUST be kept at least for one year” D7.4, Table 5.1, EHDSR-8, p. 31; OPR-18, p. 51 (five years recommended) Floor parameter F = 12; any longer value is a parameter change (Corollary 2.2) §4.3 Met in the artefact</w:t>
      </w:r>
    </w:p>
    <w:p>
      <w:pPr>
        <w:pStyle w:val="BodyText"/>
      </w:pPr>
      <w:r>
        <w:t xml:space="preserve">Logs available for verification and auditing D7.4, Table 5.1, EHDSR-6, p. 31; OPR-8, p. 46 Every access, invalidation and subject-link removal in an append-only Merkle log; inclusion proofs MerkleLog, integrity() Met in the artefact (200/200 verify; tamper tests fail)</w:t>
      </w:r>
    </w:p>
    <w:p>
      <w:pPr>
        <w:pStyle w:val="BodyText"/>
      </w:pPr>
      <w:r>
        <w:t xml:space="preserve">Logs protected against tampering D7.4, Table 5.4, OPR-17, and OPR-18, p. 51 Append-only Merkle log; an altered entry fails its inclusion proof MerkleLog, integrity() Met in the artefact (both tamper tests fail V^(II))</w:t>
      </w:r>
    </w:p>
    <w:p>
      <w:pPr>
        <w:pStyle w:val="BodyText"/>
      </w:pPr>
      <w:r>
        <w:t xml:space="preserve">Logging proportionate; no unnecessary detail on user behaviour; must cover access to electronic health data D7.4, Table 5.4, OPR-17, p. 51 Accessor fields kept; subject fields only where the log is kept per patient record, and removed at the ceiling §4.3, §4.10 Rival 3 Met by specification; granularity is the operator’s choice, which the specification leaves open</w:t>
      </w:r>
    </w:p>
    <w:p>
      <w:pPr>
        <w:pStyle w:val="BodyText"/>
      </w:pPr>
      <w:r>
        <w:t xml:space="preserve">Deletion “while ensuring compliance with applicable legal obligations and traceability or reproducibility requirements”; the deletion and retention policy to “balance these obligations” D7.4, Table 5.2, OPR-6, p. 43 Supplies the balance for the logs: what accountability needs is kept, what the ceiling reaches is invalidated §4.7, §4.8 Met by specification: the specification asks for the balance and leaves its form open</w:t>
      </w:r>
    </w:p>
    <w:p>
      <w:pPr>
        <w:pStyle w:val="BodyText"/>
      </w:pPr>
      <w:r>
        <w:t xml:space="preserve">Whether the audit purpose needs the subject link after the ceiling EHDS Art. 73(1)(e) read with Art. 68(12) Removes it; keeps accessor fields §4.6, §7.4 Open: interpretation for the supervisory authority</w:t>
      </w:r>
    </w:p>
    <w:p>
      <w:pPr>
        <w:pStyle w:val="BodyText"/>
      </w:pPr>
      <w:r>
        <w:t xml:space="preserve">Erasure without undue delay, within one month (extendable by two) GDPR Arts. 17(1), 12(3) Invalidation at t_(r) + δ, δ ∈ {1, 3} §4.4 C2; --delta-witness Met in the artefact (both δ)</w:t>
      </w:r>
    </w:p>
    <w:p>
      <w:pPr>
        <w:pStyle w:val="BodyText"/>
      </w:pPr>
      <w:r>
        <w:t xml:space="preserve">Retention only as far as the legal obligation requires GDPR Arts. 17(3)(b), 5(1)(c) Keeps accountability content and commitment; removes payload §4.2 Met by specification (necessity argument)</w:t>
      </w:r>
    </w:p>
    <w:p>
      <w:pPr>
        <w:pStyle w:val="BodyText"/>
      </w:pPr>
      <w:r>
        <w:t xml:space="preserve">Not kept in identifiable form longer than necessary GDPR Art. 5(1)(e) Terminal transition after the floor §4.8 End of life Met by specification; not implemented in the checker (§6.1)</w:t>
      </w:r>
    </w:p>
    <w:p>
      <w:pPr>
        <w:pStyle w:val="BodyText"/>
      </w:pPr>
      <w:r>
        <w:t xml:space="preserve">Key deletion may serve erasure where physical deletion is not possible; threat model documented EDPB Guidelines 02/2025 v2.0; Aikebaier (2026) on the threat model Per-record keys under a key-encrypting key; trust assumptions stated §4.8, §4.9; crypto_envelope.py Hierarchy met in the optional module; hardware custody and the threat model by specification</w:t>
      </w:r>
    </w:p>
    <w:p>
      <w:pPr>
        <w:pStyle w:val="BodyText"/>
      </w:pPr>
      <w:r>
        <w:t xml:space="preserve">Audit message records the query segment IHE ITI-55, §3.55.5.1 Treated as payload: committed, then invalidated on request §4.3 Met in the artefact (cross-border payload models the query)</w:t>
      </w:r>
    </w:p>
    <w:p>
      <w:pPr>
        <w:pStyle w:val="BodyText"/>
      </w:pPr>
      <w:r>
        <w:t xml:space="preserve">Information-security management system (mandatory); ISO 27001 (recommended); eID login at defined assurance levels; personnel security SPUHiN (2025), hearing version Requires none of these to change; operates at the logging boundary §4.11 No conflict</w:t>
      </w:r>
    </w:p>
    <w:p>
      <w:pPr>
        <w:pStyle w:val="BodyText"/>
        <w:rPr>
          <w:ins w:id="194" w:author="Arshad Akhtar Abbasia" w:date="2026-10-04T12:00:00Z"/>
        </w:rPr>
      </w:pPr>
      <w:ins w:id="195" w:author="Arshad Akhtar Abbasia" w:date="2026-10-04T12:00:00Z">
        <w:r>
          <w:t xml:space="preserve">Tamper-proof, identifiable logs of access to the SPE, at least one year (mandatory); of file extraction, one year (mandatory); of activities (recommended) SPUHiN (2024), draft, P13, P24, P14 Accessor fields kept identifiable for the floor; every access event in the append-only Merkle log §4.3, §4.8; MerkleLog Met in the artefact (F = 12; both tamper tests fail V^(II))</w:t>
        </w:r>
      </w:ins>
    </w:p>
    <w:p>
      <w:pPr>
        <w:pStyle w:val="BodyText"/>
        <w:rPr>
          <w:ins w:id="196" w:author="Arshad Akhtar Abbasia" w:date="2026-10-04T12:00:00Z"/>
        </w:rPr>
      </w:pPr>
      <w:ins w:id="197" w:author="Arshad Akhtar Abbasia" w:date="2026-10-04T12:00:00Z">
        <w:r>
          <w:t xml:space="preserve">Termination procedure covering deletion of files, back-ups and log files (mandatory) SPUHiN (2024), draft, P31 Supplies the rule for the log files: invalidation at the ceiling, terminal transition after the floor §4.8 Met by specification; the terminal transition is not implemented (§6.1)</w:t>
        </w:r>
      </w:ins>
    </w:p>
    <w:p>
      <w:pPr>
        <w:pStyle w:val="BodyText"/>
      </w:pPr>
      <w:r>
        <w:t xml:space="preserve">Reconciliation of log retention with deletion SPUHiN (2025), hearing version Not addressed by the criteria at any grade; the mechanism supplies one §2.6, §4.11 Gap the thesis addresses ------------------------------------------------------------------------------------------------------------------------------------------------------------------------------------------------------------------------------------------------------------------------------------------------------------------------------------------------------------------------------------------------------------------------------------------------------------------------------------------------------------------------------------------------------------------------</w:t>
      </w:r>
    </w:p>
    <w:p>
      <w:pPr>
        <w:pStyle w:val="BodyText"/>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Chapter 3, Section 3.8 is designed to test with practitioners.</w:t>
      </w:r>
    </w:p>
    <w:p>
      <w:pPr>
        <w:pStyle w:val="Heading2"/>
      </w:pPr>
      <w:r>
        <w:t xml:space="preserve">4.12 Summary</w:t>
      </w:r>
    </w:p>
    <w:p>
      <w:pPr>
        <w:pStyle w:val="BodyText"/>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w:t>
      </w:r>
      <w:del w:id="198" w:author="Arshad Akhtar Abbasia" w:date="2026-10-04T12:00:00Z">
        <w:r>
          <w:delText xml:space="preserve">principle.</w:delText>
        </w:r>
      </w:del>
      <w:ins w:id="199" w:author="Arshad Akhtar Abbasia" w:date="2026-10-04T12:00:00Z">
        <w:r>
          <w:t xml:space="preserve">principle. The terminal transition, the per-entry nonce, consistency proofs and the accumulator layer are specified but not implemented in the artefact (Chapter 6, Section 6.1). For Secure Processing Environment records the result assumes that auditing does not need the payload; Corollary 2.3 states what follows if it needs part of it.</w:t>
        </w:r>
      </w:ins>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Propositions 1 and 2 executably, over synthetic records generated as described in Chapter 3.</w:t>
      </w:r>
    </w:p>
    <w:p>
      <w:pPr>
        <w:pStyle w:val="Heading1"/>
      </w:pPr>
      <w:r>
        <w:t xml:space="preserve">Chapter 5. Demonstration</w:t>
      </w:r>
    </w:p>
    <w:p>
      <w:pPr>
        <w:pStyle w:val="BodyText"/>
      </w:pPr>
      <w:r>
        <w:t xml:space="preserve">Every figure reported in this chapter was produced by the code listed in Appendix A, executed under seed 20260915. The full-cohort comparison of Table 5.7 was recorded on 28 September with the code of that date; the committed-subset run (Appendix A, A.21) repeats it with the current code and gives the same figures.</w:t>
      </w:r>
    </w:p>
    <w:p>
      <w:pPr>
        <w:pStyle w:val="Heading2"/>
      </w:pPr>
      <w:r>
        <w:t xml:space="preserve">5.1 Purpose and Claim</w:t>
      </w:r>
    </w:p>
    <w:p>
      <w:pPr>
        <w:pStyle w:val="BodyText"/>
      </w:pPr>
      <w:r>
        <w:t xml:space="preserve">This chapter discharges Activity 4 of the design science cycle set out in Chapter 3, Section 3.2: demonstration. Its function is narrow.</w:t>
      </w:r>
    </w:p>
    <w:p>
      <w:pPr>
        <w:pStyle w:val="BodyText"/>
      </w:pPr>
      <w:r>
        <w:t xml:space="preserve">The chapter demonstrates that Propositions 1 and 2 of Chapter 4 hold on the instances examined; </w:t>
      </w:r>
      <w:del w:id="200" w:author="Arshad Akhtar Abbasia" w:date="2026-10-04T12:00:00Z">
        <w:r>
          <w:delText xml:space="preserve">Propositions 3 and </w:delText>
        </w:r>
      </w:del>
      <w:ins w:id="201" w:author="Arshad Akhtar Abbasia" w:date="2026-10-04T12:00:00Z">
        <w:r>
          <w:t xml:space="preserve">Proposition </w:t>
        </w:r>
      </w:ins>
      <w:r>
        <w:t xml:space="preserve">4 </w:t>
      </w:r>
      <w:del w:id="202" w:author="Arshad Akhtar Abbasia" w:date="2026-10-04T12:00:00Z">
        <w:r>
          <w:delText xml:space="preserve">are </w:delText>
        </w:r>
      </w:del>
      <w:ins w:id="203" w:author="Arshad Akhtar Abbasia" w:date="2026-10-04T12:00:00Z">
        <w:r>
          <w:t xml:space="preserve">is </w:t>
        </w:r>
      </w:ins>
      <w:r>
        <w:t xml:space="preserve">analytic and </w:t>
      </w:r>
      <w:del w:id="204" w:author="Arshad Akhtar Abbasia" w:date="2026-10-04T12:00:00Z">
        <w:r>
          <w:delText xml:space="preserve">are </w:delText>
        </w:r>
      </w:del>
      <w:ins w:id="205" w:author="Arshad Akhtar Abbasia" w:date="2026-10-04T12:00:00Z">
        <w:r>
          <w:t xml:space="preserve">is </w:t>
        </w:r>
      </w:ins>
      <w:r>
        <w:t xml:space="preserve">not executed </w:t>
      </w:r>
      <w:del w:id="206" w:author="Arshad Akhtar Abbasia" w:date="2026-10-04T12:00:00Z">
        <w:r>
          <w:delText xml:space="preserve">here, although </w:delText>
        </w:r>
      </w:del>
      <w:ins w:id="207" w:author="Arshad Akhtar Abbasia" w:date="2026-10-04T12:00:00Z">
        <w:r>
          <w:t xml:space="preserve">here; </w:t>
        </w:r>
      </w:ins>
      <w:r>
        <w:t xml:space="preserve">Section 5.4 computes the condition of Proposition </w:t>
      </w:r>
      <w:del w:id="208" w:author="Arshad Akhtar Abbasia" w:date="2026-10-04T12:00:00Z">
        <w:r>
          <w:delText xml:space="preserve">3. </w:delText>
        </w:r>
      </w:del>
      <w:ins w:id="209" w:author="Arshad Akhtar Abbasia" w:date="2026-10-04T12:00:00Z">
        <w:r>
          <w:t xml:space="preserve">3 and Section 5.5 checks it. </w:t>
        </w:r>
      </w:ins>
      <w:r>
        <w:t xml:space="preserve">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 without any erasure request at all, through the collision of the Article 73(1)(e) one-year retention floor with the Article 68(12) six-month deletion ceiling. The demonstration produces thirty-nine such </w:t>
      </w:r>
      <w:del w:id="210" w:author="Arshad Akhtar Abbasia" w:date="2026-10-04T12:00:00Z">
        <w:r>
          <w:delText xml:space="preserve">witnesses.</w:delText>
        </w:r>
      </w:del>
      <w:ins w:id="211" w:author="Arshad Akhtar Abbasia" w:date="2026-10-04T12:00:00Z">
        <w:r>
          <w:t xml:space="preserve">witnesses, a number the generator determines (Section 5.4).</w:t>
        </w:r>
      </w:ins>
    </w:p>
    <w:p>
      <w:pPr>
        <w:pStyle w:val="Heading2"/>
      </w:pPr>
      <w:r>
        <w:t xml:space="preserve">5.2 Implementation</w:t>
      </w:r>
    </w:p>
    <w:p>
      <w:pPr>
        <w:pStyle w:val="BodyText"/>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 hashlib for commitments and the audit log, json for log entries, random for seeded generation, and itertools for the exhaustive cross-check. The checker uses no cryptographic library, no solver, and no zero-knowledge proof system, consistent with the scope commitments of Chapter 1, Section 1.5;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BodyText"/>
      </w:pPr>
      <w:r>
        <w:t xml:space="preserve">Table 5.1. The artefact as published</w:t>
      </w:r>
    </w:p>
    <w:p>
      <w:pPr>
        <w:pStyle w:val="BodyText"/>
      </w:pPr>
      <w:r>
        <w:t xml:space="preserve">-------------------------------------------------------------------------------------------------------------------------------------------------------------------------------------------------- Module Lines What it does Reports a thesis figure? ----------------------- ----------------- --------------------------------------------------------------------------------------------------------------------------- ---------------------------- trf_checker.py 533 Constraint evaluation under both semantics, plus the independent exhaustive cross-check and the audit-log integrity check Yes — Tables 5.3, 5.5, 5.6</w:t>
      </w:r>
    </w:p>
    <w:p>
      <w:pPr>
        <w:pStyle w:val="BodyText"/>
      </w:pPr>
      <w:r>
        <w:t xml:space="preserve">synthea_layer.py 152 Substitutes real FHIR R4 payloads and compares every figure against the constructed-payload run Yes — Table 5.7</w:t>
      </w:r>
    </w:p>
    <w:p>
      <w:pPr>
        <w:pStyle w:val="BodyText"/>
      </w:pPr>
      <w:r>
        <w:t xml:space="preserve">norwegian_layer.py 135 Three Norwegian record classes, varying only the floor, the pathway and the arrival of requests No</w:t>
      </w:r>
    </w:p>
    <w:p>
      <w:pPr>
        <w:pStyle w:val="BodyText"/>
      </w:pPr>
      <w:r>
        <w:t xml:space="preserve">cross_sector_check.py 110 The politiregisterloven § 17 instance discussed in Chapter 6, Section 6.10 No</w:t>
      </w:r>
    </w:p>
    <w:p>
      <w:pPr>
        <w:pStyle w:val="BodyText"/>
      </w:pPr>
      <w:r>
        <w:t xml:space="preserve">app.py 671 Six-tab viewer over the artefact; never a source of results No</w:t>
      </w:r>
    </w:p>
    <w:p>
      <w:pPr>
        <w:pStyle w:val="BodyText"/>
      </w:pPr>
      <w:r>
        <w:t xml:space="preserve">crypto_envelope.py 118 Optional: the same lifecycle with real AES-256-GCM envelope encryption (needs cryptography) No</w:t>
      </w:r>
    </w:p>
    <w:p>
      <w:pPr>
        <w:pStyle w:val="BodyText"/>
        <w:rPr>
          <w:ins w:id="212" w:author="Arshad Akhtar Abbasia" w:date="2026-10-04T12:00:00Z"/>
        </w:rPr>
      </w:pPr>
      <w:ins w:id="213" w:author="Arshad Akhtar Abbasia" w:date="2026-10-04T12:00:00Z">
        <w:r>
          <w:t xml:space="preserve">z3_check.py 153 Optional: bounded SMT check of Propositions 1–3 (needs z3-solver) No --------------------------------------------------------------------------------------------------------------------------------------------------------------------------------------------------</w:t>
        </w:r>
      </w:ins>
    </w:p>
    <w:p>
      <w:pPr>
        <w:pStyle w:val="BodyText"/>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Table 5.7.</w:t>
      </w:r>
    </w:p>
    <w:p>
      <w:pPr>
        <w:pStyle w:val="BodyText"/>
      </w:pPr>
      <w:r>
        <w:t xml:space="preserve">Records are represented exactly as the model specifies. Each carries metadata m 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 c = SHA-256(salt ‖ payload) with a per-record sixteen-byte salt; a payload key k; a creation month t_a; a floor parameter F;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pStyle w:val="BodyText"/>
      </w:pPr>
      <w:r>
        <w:t xml:space="preserve">- Cross-border audit records, F = 120 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 - Secure Processing Environment access-log records, F = 12 months, secondary pathway. Each carries a permit expiry at a uniformly distributed one to twelve months after creation. Erasure requests arrive with probability 0.25.</w:t>
      </w:r>
    </w:p>
    <w:p>
      <w:pPr>
        <w:pStyle w:val="BodyText"/>
      </w:pPr>
      <w:r>
        <w:t xml:space="preserve">One hundred records of each class are generated, matching the population scale fixed in Chapter 3, Section 3.5. Seed 20260915 is fixed and reported; the run is deterministic and reproduces identically.</w:t>
      </w:r>
    </w:p>
    <w:p>
      <w:pPr>
        <w:pStyle w:val="BodyText"/>
      </w:pPr>
      <w:r>
        <w:t xml:space="preserve">Table 5.2. Generation parameters (complete)</w:t>
      </w:r>
    </w:p>
    <w:p>
      <w:pPr>
        <w:pStyle w:val="BodyText"/>
      </w:pPr>
      <w:r>
        <w:t xml:space="preserve">-------------------------------------------------------------------------------------------------------------------- Parameter Cross-border audit SPE access log ----------------------------- ------------------------------------------------------- ------------------------------ Records generated 100 100</w:t>
      </w:r>
    </w:p>
    <w:p>
      <w:pPr>
        <w:pStyle w:val="BodyText"/>
      </w:pPr>
      <w:r>
        <w:t xml:space="preserve">Retention floor F 120 months (eHDSI baseline as reported; illustrative) 12 months (Art 73(1)(e))</w:t>
      </w:r>
    </w:p>
    <w:p>
      <w:pPr>
        <w:pStyle w:val="BodyText"/>
      </w:pPr>
      <w:r>
        <w:t xml:space="preserve">Pathway σ primary secondary</w:t>
      </w:r>
    </w:p>
    <w:p>
      <w:pPr>
        <w:pStyle w:val="BodyText"/>
      </w:pPr>
      <w:r>
        <w:t xml:space="preserve">Creation month t_a uniform [0, 11] uniform [0, 11]</w:t>
      </w:r>
    </w:p>
    <w:p>
      <w:pPr>
        <w:pStyle w:val="BodyText"/>
      </w:pPr>
      <w:r>
        <w:t xml:space="preserve">Erasure-request probability 0.40 0.25</w:t>
      </w:r>
    </w:p>
    <w:p>
      <w:pPr>
        <w:pStyle w:val="BodyText"/>
      </w:pPr>
      <w:r>
        <w:t xml:space="preserve">Erasure offset from t_a uniform [1, 130] months uniform [1, 18] months</w:t>
      </w:r>
    </w:p>
    <w:p>
      <w:pPr>
        <w:pStyle w:val="BodyText"/>
      </w:pPr>
      <w:r>
        <w:t xml:space="preserve">Permit expiry t_π not applicable t_a + uniform [1, 12] months</w:t>
      </w:r>
    </w:p>
    <w:p>
      <w:pPr>
        <w:pStyle w:val="BodyText"/>
      </w:pPr>
      <w:r>
        <w:t xml:space="preserve">Response period δ 1 month (GDPR Art 12(3)) 1 month</w:t>
      </w:r>
    </w:p>
    <w:p>
      <w:pPr>
        <w:pStyle w:val="BodyText"/>
      </w:pPr>
      <w:r>
        <w:t xml:space="preserve">Deletion ceiling not applicable 6 months (Art 68(12)) --------------------------------------------------------------------------------------------------------------------</w:t>
      </w:r>
    </w:p>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 java -jar synthea.jar -s 20260915 -cs 20260915 -p 100 and yielding 98 usable bundles. The generator was run with --generate.only_alive_patients=true,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 p(a) is in either record class (Chapter 4, Section 4.3), and Section 5.8 uses them only to test that no figure depends on payload content.</w:t>
      </w:r>
    </w:p>
    <w:p>
      <w:pPr>
        <w:pStyle w:val="Heading2"/>
      </w:pPr>
      <w:r>
        <w:t xml:space="preserve">5.3 Results under Semantics I</w:t>
      </w:r>
    </w:p>
    <w:p>
      <w:pPr>
        <w:pStyle w:val="BodyText"/>
      </w:pPr>
      <w:r>
        <w:t xml:space="preserve">Under plaintext-verifiability semantics, V(a,t) = α(a,t),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t xml:space="preserve">Table 5.3. Violations under Semantics I (seed 20260915, n = 200)</w:t>
      </w:r>
    </w:p>
    <w:p>
      <w:pPr>
        <w:pStyle w:val="BodyText"/>
      </w:pPr>
      <w:r>
        <w:t xml:space="preserve">Record class Records With ≥1 violation Share ------------------------------ --------- ------------------- ------- Cross-border audit (F = 120) 100 37 37% SPE access log (F = 12) 100 53 53% Total 200 90 45%</w:t>
      </w:r>
    </w:p>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Table 5.2 and are not estimates of real frequency; in particular, the generator treats every erasure request as valid, whereas many would be lawfully refused under Article 17(3) (Chapter 3, Section 3.7).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odyText"/>
      </w:pPr>
      <w:r>
        <w:t xml:space="preserve">C1 requires V=1 (=&gt; alpha=1) at t=116 within [11,131]; C2 requires alpha=0 from t=116 C1 requires V=1 (=&gt; alpha=1) at t=120 within [4,124]; C2 requires alpha=0 from t=120 C1 requires V=1 (=&gt; alpha=1) at t=41 within [0,120]; C2 requires alpha=0 from t=41</w:t>
      </w:r>
    </w:p>
    <w:p>
      <w:pPr>
        <w:pStyle w:val="BodyText"/>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 lower 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Section 5.4 isolates the structural ones.</w:t>
      </w:r>
    </w:p>
    <w:p>
      <w:pPr>
        <w:pStyle w:val="Heading2"/>
      </w:pPr>
      <w:r>
        <w:t xml:space="preserve">5.4 Corollary 1.2: Infeasibility Without an Erasure Request</w:t>
      </w:r>
    </w:p>
    <w:p>
      <w:pPr>
        <w:pStyle w:val="BodyText"/>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t xml:space="preserve">Thirty-nine of them are infeasible under Semantics I. That is exactly half of the records with no erasure request.</w:t>
      </w:r>
    </w:p>
    <w:p>
      <w:pPr>
        <w:pStyle w:val="BodyText"/>
      </w:pPr>
      <w:r>
        <w:t xml:space="preserve">The witnesses, verbatim:</w:t>
      </w:r>
    </w:p>
    <w:p>
      <w:pPr>
        <w:pStyle w:val="BodyText"/>
      </w:pPr>
      <w:r>
        <w:t xml:space="preserve">rid=100: t_a=7 permit expires t_pi=10 -&gt; C3 from t=16, C1 to t=19 | collision at t=16 rid=103: t_a=7 permit expires t_pi=10 -&gt; C3 from t=16, C1 to t=19 | collision at t=16 rid=104: t_a=3 permit expires t_pi=4 -&gt; C3 from t=10, C1 to t=15 | collision at t=10</w:t>
      </w:r>
    </w:p>
    <w:p>
      <w:pPr>
        <w:pStyle w:val="BodyText"/>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(Chapter 4, Section 4.6),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Chapter 4, Section 4.10; it would not remove the erasure-driven ones.</w:t>
      </w:r>
    </w:p>
    <w:p>
      <w:pPr>
        <w:pStyle w:val="BodyText"/>
      </w:pPr>
      <w:r>
        <w:t xml:space="preserve">The fifty per cent figure follows from the generator. The collision occurs when t_(π) + 6 ≤ t_(a) + 12, the condition of Proposition 3(ii) with F = 12, L = 6 and the ceiling anchored to permit expiry, and permit lengths were drawn uniformly from one to twelve months, so half fall at or below six. </w:t>
      </w:r>
      <w:ins w:id="214" w:author="Arshad Akhtar Abbasia" w:date="2026-10-04T12:00:00Z">
        <w:r>
          <w:t xml:space="preserve">Article 68(12) allows permits of up to ten years; with the remaining duration drawn uniformly over a five-year permit, about one log in ten would fall in the window. </w:t>
        </w:r>
      </w:ins>
      <w:r>
        <w:t xml:space="preserve">A longer horizon lowers the rate as 6/π_(max) without removing the collision, which Proposition 1 establishes independently of any distribution.</w:t>
      </w:r>
    </w:p>
    <w:p>
      <w:pPr>
        <w:pStyle w:val="Heading2"/>
      </w:pPr>
      <w:r>
        <w:t xml:space="preserve">5.5 Independent Cross-Check</w:t>
      </w:r>
    </w:p>
    <w:p>
      <w:pPr>
        <w:pStyle w:val="BodyText"/>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 any assignment satisfies C1 under Semantics I together with C2 and C3.</w:t>
      </w:r>
    </w:p>
    <w:p>
      <w:pPr>
        <w:pStyle w:val="BodyText"/>
      </w:pPr>
      <w:r>
        <w:t xml:space="preserve">Table 5.4. Exhaustive search over α assignments (horizon = 14 months)</w:t>
      </w:r>
    </w:p>
    <w:p>
      <w:pPr>
        <w:pStyle w:val="BodyText"/>
      </w:pPr>
      <w:r>
        <w:t xml:space="preserve">---------------------------------------------------------------------------------------------------------- Case Feasible assignment exists? ---------------------------------------------------------------------- ----------------------------------- SPE, no erasure request, permit 3 months False</w:t>
      </w:r>
    </w:p>
    <w:p>
      <w:pPr>
        <w:pStyle w:val="BodyText"/>
      </w:pPr>
      <w:r>
        <w:t xml:space="preserve">SPE, erasure request at t = 2 False</w:t>
      </w:r>
    </w:p>
    <w:p>
      <w:pPr>
        <w:pStyle w:val="BodyText"/>
      </w:pPr>
      <w:r>
        <w:t xml:space="preserve">Cross-border (floor scaled to 12 for tractability), erasure at t = 4 False</w:t>
      </w:r>
    </w:p>
    <w:p>
      <w:pPr>
        <w:pStyle w:val="BodyText"/>
      </w:pPr>
      <w:r>
        <w:t xml:space="preserve">Control: no erasure request, no permit expiry True ----------------------------------------------------------------------------------------------------------</w:t>
      </w:r>
    </w:p>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w:t>
      </w:r>
      <w:ins w:id="215" w:author="Arshad Akhtar Abbasia" w:date="2026-10-04T12:00:00Z">
        <w:r>
          <w:t xml:space="preserve">checker’s </w:t>
        </w:r>
      </w:ins>
      <w:r>
        <w:t xml:space="preserve">demonstration where a parameter was altered for tractability.</w:t>
      </w:r>
    </w:p>
    <w:p>
      <w:pPr>
        <w:pStyle w:val="BodyText"/>
        <w:rPr>
          <w:ins w:id="216" w:author="Arshad Akhtar Abbasia" w:date="2026-10-04T12:00:00Z"/>
        </w:rPr>
      </w:pPr>
      <w:ins w:id="217" w:author="Arshad Akhtar Abbasia" w:date="2026-10-04T12:00:00Z">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Chapter 5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Section 4.4, so it checks that the propositions follow from the constraints as encoded, not that the constraints translate the law, and it is bounded rather than general.</w:t>
        </w:r>
      </w:ins>
    </w:p>
    <w:p>
      <w:pPr>
        <w:pStyle w:val="Heading2"/>
      </w:pPr>
      <w:r>
        <w:t xml:space="preserve">5.6 Witness at the Extended Response Period</w:t>
      </w:r>
    </w:p>
    <w:p>
      <w:pPr>
        <w:pStyle w:val="BodyText"/>
      </w:pPr>
      <w:r>
        <w:t xml:space="preserve">Chapter 4, Section 4.4 sets the erasure response period δ from Article 12(3) GDPR, which allows the controller one month from receipt and permits extension by a further two months for complex or numerous requests. The propositions are stated for arbitrary finite δ, and the model admits δ = 3. That claim is witnessed here at δ = 3.</w:t>
      </w:r>
    </w:p>
    <w:p>
      <w:pPr>
        <w:pStyle w:val="BodyText"/>
      </w:pPr>
      <w:r>
        <w:t xml:space="preserve">Table 5.5. Results at δ = 1 and δ = 3 (seed 20260915, n = 200)</w:t>
      </w:r>
    </w:p>
    <w:p>
      <w:pPr>
        <w:pStyle w:val="BodyText"/>
      </w:pPr>
      <w:r>
        <w:t xml:space="preserve">Measure δ = 1 δ = 3 -------------------------------------- ------- ------- Semantics I: records with violation 90 89 Semantics I: total violations 95 94 Corollary 1.2 witnesses 39 39 Records invalidated 138 138 Semantics II: records with violation 0 0 Semantics II: total violations 0 0</w:t>
      </w:r>
    </w:p>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 δ at all. Semantics II yields zero violations at both settings, as Proposition 2 requires for any finite δ.</w:t>
      </w:r>
    </w:p>
    <w:p>
      <w:pPr>
        <w:pStyle w:val="BodyText"/>
      </w:pPr>
      <w:r>
        <w:t xml:space="preserve">The run is reproduced with python3 trf_checker.py --delta-witness.</w:t>
      </w:r>
    </w:p>
    <w:p>
      <w:pPr>
        <w:pStyle w:val="Heading2"/>
      </w:pPr>
      <w:r>
        <w:t xml:space="preserve">5.7 Results under Semantics II</w:t>
      </w:r>
    </w:p>
    <w:p>
      <w:pPr>
        <w:pStyle w:val="BodyText"/>
      </w:pPr>
      <w:r>
        <w:t xml:space="preserve">The invalidation trajectory from the constructive proof of Proposition 2 was then applied to every record: destroy the payload key at t^(I) = min (t_(r)+δ, t_(π)+6), destroy the salt with it, append an invalidation entry recording the month, the legal ground, and the authorising actor, and retain metadata and commitment unchanged.</w:t>
      </w:r>
    </w:p>
    <w:p>
      <w:pPr>
        <w:pStyle w:val="BodyText"/>
      </w:pPr>
      <w:r>
        <w:t xml:space="preserve">Table 5.6. Results under Semantics II (same 200 records, same seed)</w:t>
      </w:r>
    </w:p>
    <w:p>
      <w:pPr>
        <w:pStyle w:val="BodyText"/>
      </w:pPr>
      <w:r>
        <w:t xml:space="preserve">Measure Value -------------------------------------- ----------- Records invalidated 138 / 200 — on ground GDPR Article 17(1) 52 — on ground EHDS Article 68(12) 86 Records with ≥1 constraint violation 0 / 200 Total constraint violations 0</w:t>
      </w:r>
    </w:p>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odyText"/>
      </w:pPr>
      <w:r>
        <w:t xml:space="preserve">accessor fields : True actor=R-008 permit=DP-015 outcome=success subject link : removed month 16 commitment c(a) : 678ade47c1e6dc03296175e056fd8116... payload key k(a) : None &lt;- destroyed salt, ciphertext : None, None &lt;- destroyed, deleted invalidation iota(a) : month=16 ground=EHDS Art 68(12) payload readable? : False</w:t>
      </w:r>
    </w:p>
    <w:p>
      <w:pPr>
        <w:pStyle w:val="BodyText"/>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w:t>
      </w:r>
      <w:del w:id="218" w:author="Arshad Akhtar Abbasia" w:date="2026-10-04T12:00:00Z">
        <w:r>
          <w:delText xml:space="preserve">entry. </w:delText>
        </w:r>
      </w:del>
      <w:ins w:id="219" w:author="Arshad Akhtar Abbasia" w:date="2026-10-04T12:00:00Z">
        <w:r>
          <w:t xml:space="preserve">entry; a cross-border record keeps the link through the floor (Chapter 4, Section 4.2). </w:t>
        </w:r>
      </w:ins>
      <w:r>
        <w:t xml:space="preserve">The binding to a specific payload survives in the commitment. The invalidation is itself a logged, grounded, attributed event rather than a silent absence. And the payload is unreadable, at month nineteen as at month sixteen. An auditor examining this record learns </w:t>
      </w:r>
      <w:del w:id="220" w:author="Arshad Akhtar Abbasia" w:date="2026-10-04T12:00:00Z">
        <w:r>
          <w:delText xml:space="preserve">everything </w:delText>
        </w:r>
      </w:del>
      <w:ins w:id="221" w:author="Arshad Akhtar Abbasia" w:date="2026-10-04T12:00:00Z">
        <w:r>
          <w:t xml:space="preserve">what the </w:t>
        </w:r>
      </w:ins>
      <w:r>
        <w:t xml:space="preserve">accountability </w:t>
      </w:r>
      <w:del w:id="222" w:author="Arshad Akhtar Abbasia" w:date="2026-10-04T12:00:00Z">
        <w:r>
          <w:delText xml:space="preserve">requires and nothing </w:delText>
        </w:r>
      </w:del>
      <w:ins w:id="223" w:author="Arshad Akhtar Abbasia" w:date="2026-10-04T12:00:00Z">
        <w:r>
          <w:t xml:space="preserve">purpose is argued to require (Chapter 4, Section 4.2), while </w:t>
        </w:r>
      </w:ins>
      <w:r>
        <w:t xml:space="preserve">the </w:t>
      </w:r>
      <w:del w:id="224" w:author="Arshad Akhtar Abbasia" w:date="2026-10-04T12:00:00Z">
        <w:r>
          <w:delText xml:space="preserve">erasure obligation forbids.</w:delText>
        </w:r>
      </w:del>
      <w:ins w:id="225" w:author="Arshad Akhtar Abbasia" w:date="2026-10-04T12:00:00Z">
        <w:r>
          <w:t xml:space="preserve">payload is unreadable.</w:t>
        </w:r>
      </w:ins>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 V^(II) fail; restoring them makes it hold again (Appendix A, A.16). The Semantics II result of Table 5.6 therefore rests on a check that can fail, which a test of the fields’ presence alone could not.</w:t>
      </w:r>
    </w:p>
    <w:p>
      <w:pPr>
        <w:pStyle w:val="Heading2"/>
      </w:pPr>
      <w:r>
        <w:t xml:space="preserve">5.8 What the Demonstration Establishes, and What It Does Not</w:t>
      </w:r>
    </w:p>
    <w:p>
      <w:pPr>
        <w:pStyle w:val="BodyText"/>
      </w:pPr>
      <w:r>
        <w:t xml:space="preserve">Established. 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w:t>
      </w:r>
      <w:del w:id="226" w:author="Arshad Akhtar Abbasia" w:date="2026-10-04T12:00:00Z">
        <w:r>
          <w:delText xml:space="preserve">examines. </w:delText>
        </w:r>
      </w:del>
      <w:ins w:id="227" w:author="Arshad Akhtar Abbasia" w:date="2026-10-04T12:00:00Z">
        <w:r>
          <w:t xml:space="preserve">examines, and Propositions 1–3 survive a bounded SMT check over every parameter combination within its bounds. </w:t>
        </w:r>
      </w:ins>
      <w:r>
        <w:t xml:space="preserve">The invalidation trajectory eliminates every violation without introducing any.</w:t>
      </w:r>
    </w:p>
    <w:p>
      <w:pPr>
        <w:pStyle w:val="BodyText"/>
      </w:pPr>
      <w:r>
        <w:t xml:space="preserve">Not established, and not claimed. 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t xml:space="preserve">How the tables should be read. The Semantics II result of Table 5.6 holds by construction: the checker derives payload accessibility from the same invalidation month that the trajectory of Proposition 2 prescribes, so zero violations is the expected outcome, and a failure would expose an implementation error and not a modelling error. The rates of Table 5.3 are read as Section 5.3 states.</w:t>
      </w:r>
    </w:p>
    <w:p>
      <w:pPr>
        <w:pStyle w:val="BodyText"/>
      </w:pPr>
      <w:r>
        <w:t xml:space="preserve">Payload provenance. The realism layer specified in Chapter 3, Section 3.6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BodyText"/>
      </w:pPr>
      <w:r>
        <w:t xml:space="preserve">Table 5.7. Constructed against Synthea-generated payloads (same seed, same timings)</w:t>
      </w:r>
    </w:p>
    <w:p>
      <w:pPr>
        <w:pStyle w:val="BodyText"/>
      </w:pPr>
      <w:r>
        <w:t xml:space="preserve">Measure Constructed Synthea ---------------------------------------------- ------------- ----------- Semantics I: records with violation 90 90 Semantics I: total violations 95 95 Corollary 1.2 witnesses (no erasure request) 39 39 Records invalidated 138 138 Semantics II: records with violation 0 0 Semantics II: total violations 0 0 Commitments differing between runs — 200 / 200</w:t>
      </w:r>
    </w:p>
    <w:p>
      <w:pPr>
        <w:pStyle w:val="BodyText"/>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Chapter 3, Section 3.5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Chapter 1 made for it: the artefact behaves as specified, and Propositions 1 and 2 are checkable by a reader who declines to take the proofs on trust. Chapter 6 takes up what follows from them.</w:t>
      </w:r>
    </w:p>
    <w:p>
      <w:pPr>
        <w:pStyle w:val="Heading1"/>
      </w:pPr>
      <w:r>
        <w:t xml:space="preserve">Chapter 6. Discussion</w:t>
      </w:r>
    </w:p>
    <w:p>
      <w:pPr>
        <w:pStyle w:val="Heading2"/>
      </w:pPr>
      <w:r>
        <w:t xml:space="preserve">6.1 What the Thesis Establishes</w:t>
      </w:r>
    </w:p>
    <w:p>
      <w:pPr>
        <w:pStyle w:val="BodyText"/>
      </w:pPr>
      <w:ins w:id="228" w:author="Arshad Akhtar Abbasia" w:date="2026-10-04T12:00:00Z">
        <w:r>
          <w:t xml:space="preserve">Read one way, three obligations cannot be met together. Read another, they can. </w:t>
        </w:r>
      </w:ins>
      <w:r>
        <w:t xml:space="preserve">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floor, because the </w:t>
      </w:r>
      <w:ins w:id="229" w:author="Arshad Akhtar Abbasia" w:date="2026-10-04T12:00:00Z">
        <w:r>
          <w:t xml:space="preserve">IHE </w:t>
        </w:r>
      </w:ins>
      <w:r>
        <w:t xml:space="preserve">patient-discovery </w:t>
      </w:r>
      <w:del w:id="230" w:author="Arshad Akhtar Abbasia" w:date="2026-10-04T12:00:00Z">
        <w:r>
          <w:delText xml:space="preserve">transaction puts </w:delText>
        </w:r>
      </w:del>
      <w:ins w:id="231" w:author="Arshad Akhtar Abbasia" w:date="2026-10-04T12:00:00Z">
        <w:r>
          <w:t xml:space="preserve">profile requires </w:t>
        </w:r>
      </w:ins>
      <w:r>
        <w:t xml:space="preserve">the patient’s identifying query </w:t>
      </w:r>
      <w:del w:id="232" w:author="Arshad Akhtar Abbasia" w:date="2026-10-04T12:00:00Z">
        <w:r>
          <w:delText xml:space="preserve">into </w:delText>
        </w:r>
      </w:del>
      <w:ins w:id="233" w:author="Arshad Akhtar Abbasia" w:date="2026-10-04T12:00:00Z">
        <w:r>
          <w:t xml:space="preserve">to be recorded in </w:t>
        </w:r>
      </w:ins>
      <w:r>
        <w:t xml:space="preserve">the audit </w:t>
      </w:r>
      <w:del w:id="234" w:author="Arshad Akhtar Abbasia" w:date="2026-10-04T12:00:00Z">
        <w:r>
          <w:delText xml:space="preserve">record by design.</w:delText>
        </w:r>
      </w:del>
      <w:ins w:id="235" w:author="Arshad Akhtar Abbasia" w:date="2026-10-04T12:00:00Z">
        <w:r>
          <w:t xml:space="preserve">message.</w:t>
        </w:r>
      </w:ins>
    </w:p>
    <w:p>
      <w:pPr>
        <w:pStyle w:val="BodyText"/>
      </w:pPr>
      <w:del w:id="236" w:author="Arshad Akhtar Abbasia" w:date="2026-10-04T12:00:00Z">
        <w:r>
          <w:delText xml:space="preserve">The sharpest instance is narrower, and </w:delText>
        </w:r>
      </w:del>
      <w:ins w:id="237" w:author="Arshad Akhtar Abbasia" w:date="2026-10-04T12:00:00Z">
        <w:r>
          <w:t xml:space="preserve">A conditional extension </w:t>
        </w:r>
      </w:ins>
      <w:r>
        <w:t xml:space="preserve">rests on one contestable interpretive step. Article 73(1)(e) requires identifiable logs of access to and activity in a Secure Processing Environment to be kept for at least one year. Article 68(12) requires “the electronic health data within the secure processing environment” 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w:t>
      </w:r>
      <w:del w:id="238" w:author="Arshad Akhtar Abbasia" w:date="2026-10-04T12:00:00Z">
        <w:r>
          <w:delText xml:space="preserve">thirty-nine </w:delText>
        </w:r>
      </w:del>
      <w:r>
        <w:t xml:space="preserve">witnesses of this collision in the </w:t>
      </w:r>
      <w:del w:id="239" w:author="Arshad Akhtar Abbasia" w:date="2026-10-04T12:00:00Z">
        <w:r>
          <w:delText xml:space="preserve">model, in a population </w:delText>
        </w:r>
      </w:del>
      <w:ins w:id="240" w:author="Arshad Akhtar Abbasia" w:date="2026-10-04T12:00:00Z">
        <w:r>
          <w:t xml:space="preserve">model; how many depends on the permit lengths the generator draws, and the count is not an estimate </w:t>
        </w:r>
      </w:ins>
      <w:r>
        <w:t xml:space="preserve">of </w:t>
      </w:r>
      <w:del w:id="241" w:author="Arshad Akhtar Abbasia" w:date="2026-10-04T12:00:00Z">
        <w:r>
          <w:delText xml:space="preserve">one hundred Secure Processing Environment records; across the full population of two hundred, cross-border records included, ninety records were infeasible under Semantics I, most of them through erasure requests </w:delText>
        </w:r>
      </w:del>
      <w:ins w:id="242" w:author="Arshad Akhtar Abbasia" w:date="2026-10-04T12:00:00Z">
        <w:r>
          <w:t xml:space="preserve">real frequency </w:t>
        </w:r>
      </w:ins>
      <w:r>
        <w:t xml:space="preserve">(Chapter 5, </w:t>
      </w:r>
      <w:del w:id="243" w:author="Arshad Akhtar Abbasia" w:date="2026-10-04T12:00:00Z">
        <w:r>
          <w:delText xml:space="preserve">Table 5.3). </w:delText>
        </w:r>
      </w:del>
      <w:ins w:id="244" w:author="Arshad Akhtar Abbasia" w:date="2026-10-04T12:00:00Z">
        <w:r>
          <w:t xml:space="preserve">Section 5.4). </w:t>
        </w:r>
      </w:ins>
      <w:r>
        <w:t xml:space="preserve">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ins w:id="245" w:author="Arshad Akhtar Abbasia" w:date="2026-10-04T12:00:00Z">
        <w:r>
          <w:t xml:space="preserve">Chapter 4, </w:t>
        </w:r>
      </w:ins>
      <w:r>
        <w:t xml:space="preserve">Section 4.8 specifies and the checker does not implement; nor does it implement the per-entry nonce that keeps surviving leaf hashes from confirming </w:t>
      </w:r>
      <w:del w:id="246" w:author="Arshad Akhtar Abbasia" w:date="2026-10-04T12:00:00Z">
        <w:r>
          <w:delText xml:space="preserve">guesses </w:delText>
        </w:r>
      </w:del>
      <w:ins w:id="247" w:author="Arshad Akhtar Abbasia" w:date="2026-10-04T12:00:00Z">
        <w:r>
          <w:t xml:space="preserve">guesses, or the consistency proofs between successive log roots </w:t>
        </w:r>
      </w:ins>
      <w:r>
        <w:t xml:space="preserve">(Chapter 4, Section 4.9).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p>
      <w:pPr>
        <w:pStyle w:val="Heading2"/>
      </w:pPr>
      <w:r>
        <w:t xml:space="preserve">6.2 The Authority Problem</w:t>
      </w:r>
    </w:p>
    <w:p>
      <w:pPr>
        <w:pStyle w:val="BodyText"/>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 necessary 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 “identifiable logs” 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 dissolvable in principle 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(Chapter 4, Section 4.10,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 documented threat model 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 “while ensuring compliance with applicable legal obligations and traceability or reproducibility requirements” and leaves the deletion and retention policy to “balance these obligations” (TEHDAS2, 2026, Table 5.2, OPR-6, p. 43), and it records that further guidance is needed on how accountability and anonymisation obligations intersect (Annex 7, p. 96). A specification that asks for a balance it does not define has not adopted plaintext verifiability; Table 4.1 sets out one balance requirement by requirement.</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Chapter 4, Section 4.6. What makes this tolerable rather than fatal is that the dependency is confined: Corollary 1.2 stands or falls with it, </w:t>
      </w:r>
      <w:ins w:id="248" w:author="Arshad Akhtar Abbasia" w:date="2026-10-04T12:00:00Z">
        <w:r>
          <w:t xml:space="preserve">as does the conditional branch of Corollary 2.3, </w:t>
        </w:r>
      </w:ins>
      <w:r>
        <w:t xml:space="preserve">and nothing else in the thesis does. The same request, addressed to the authorities responsible for EHDS incorporation, could reasonably carry this one alongside it.</w:t>
      </w:r>
    </w:p>
    <w:p>
      <w:pPr>
        <w:pStyle w:val="Heading2"/>
      </w:pPr>
      <w:r>
        <w:t xml:space="preserve">6.3 Key Destruction and the Limits of Assurance</w:t>
      </w:r>
    </w:p>
    <w:p>
      <w:pPr>
        <w:pStyle w:val="BodyText"/>
      </w:pPr>
      <w:del w:id="249" w:author="Arshad Akhtar Abbasia" w:date="2026-10-04T12:00:00Z">
        <w:r>
          <w:delText xml:space="preserve">The </w:delText>
        </w:r>
      </w:del>
      <w:ins w:id="250" w:author="Arshad Akhtar Abbasia" w:date="2026-10-04T12:00:00Z">
        <w:r>
          <w:t xml:space="preserve">Nobody can watch a key being destroyed. That is the </w:t>
        </w:r>
      </w:ins>
      <w:r>
        <w:t xml:space="preserve">second </w:t>
      </w:r>
      <w:del w:id="251" w:author="Arshad Akhtar Abbasia" w:date="2026-10-04T12:00:00Z">
        <w:r>
          <w:delText xml:space="preserve">objection is </w:delText>
        </w:r>
      </w:del>
      <w:ins w:id="252" w:author="Arshad Akhtar Abbasia" w:date="2026-10-04T12:00:00Z">
        <w:r>
          <w:t xml:space="preserve">objection, </w:t>
        </w:r>
      </w:ins>
      <w:r>
        <w:t xml:space="preserve">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 attested record of destruction, not a proof 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(Chapter 4, Section 4.8).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(Chapter 5, Section 5.8),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 public verifiability,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 what was destroyed. The mechanism does not solve the assurance problem. It does improve on every available alternative with respect to it.</w:t>
      </w:r>
    </w:p>
    <w:p>
      <w:pPr>
        <w:pStyle w:val="Heading2"/>
      </w:pPr>
      <w:r>
        <w:t xml:space="preserve">6.4 The Cost Objection</w:t>
      </w:r>
    </w:p>
    <w:p>
      <w:pPr>
        <w:pStyle w:val="BodyText"/>
      </w:pPr>
      <w:ins w:id="253" w:author="Arshad Akhtar Abbasia" w:date="2026-10-04T12:00:00Z">
        <w:r>
          <w:t xml:space="preserve">Per-record keys cost something, and the question is whether the cost is worth paying. </w:t>
        </w:r>
      </w:ins>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 who may read 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p>
      <w:pPr>
        <w:pStyle w:val="Heading2"/>
      </w:pPr>
      <w:r>
        <w:t xml:space="preserve">6.5 Scalability</w:t>
      </w:r>
    </w:p>
    <w:p>
      <w:pPr>
        <w:pStyle w:val="BodyText"/>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 n entries needs about log₂n 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 not 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p>
      <w:pPr>
        <w:pStyle w:val="Heading2"/>
      </w:pPr>
      <w:r>
        <w:t xml:space="preserve">6.6 Evaluation Design and the Role of Stakeholder Assessment</w:t>
      </w:r>
    </w:p>
    <w:p>
      <w:pPr>
        <w:pStyle w:val="BodyText"/>
      </w:pPr>
      <w:ins w:id="254" w:author="Arshad Akhtar Abbasia" w:date="2026-10-04T12:00:00Z">
        <w:r>
          <w:t xml:space="preserve">A model can be right and still be refused by the people who would have to run it. </w:t>
        </w:r>
      </w:ins>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p>
      <w:pPr>
        <w:pStyle w:val="Heading2"/>
      </w:pPr>
      <w:r>
        <w:t xml:space="preserve">6.7 Synthetic Data and the Limits of the Demonstration</w:t>
      </w:r>
    </w:p>
    <w:p>
      <w:pPr>
        <w:pStyle w:val="BodyText"/>
      </w:pPr>
      <w:ins w:id="255" w:author="Arshad Akhtar Abbasia" w:date="2026-10-04T12:00:00Z">
        <w:r>
          <w:t xml:space="preserve">The patients in this thesis do not exist, and no result depends on who they are. </w:t>
        </w:r>
      </w:ins>
      <w:r>
        <w:t xml:space="preserve">Substituting real FHIR R4 resources for constructed payload strings changed all two hundred commitments and no reported figure (Chapter 5, Section 5.8, Table 5.7),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Chapter 3, Section 3.5;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w:t>
      </w:r>
      <w:del w:id="256" w:author="Arshad Akhtar Abbasia" w:date="2026-10-04T12:00:00Z">
        <w:r>
          <w:delText xml:space="preserve">check and </w:delText>
        </w:r>
      </w:del>
      <w:ins w:id="257" w:author="Arshad Akhtar Abbasia" w:date="2026-10-04T12:00:00Z">
        <w:r>
          <w:t xml:space="preserve">check, </w:t>
        </w:r>
      </w:ins>
      <w:r>
        <w:t xml:space="preserve">the exhaustive cross-check </w:t>
      </w:r>
      <w:ins w:id="258" w:author="Arshad Akhtar Abbasia" w:date="2026-10-04T12:00:00Z">
        <w:r>
          <w:t xml:space="preserve">and the bounded SMT check </w:t>
        </w:r>
      </w:ins>
      <w:r>
        <w:t xml:space="preserve">reduce the probability that an error in the proofs has gone unnoticed; they do not eliminate </w:t>
      </w:r>
      <w:del w:id="259" w:author="Arshad Akhtar Abbasia" w:date="2026-10-04T12:00:00Z">
        <w:r>
          <w:delText xml:space="preserve">it.</w:delText>
        </w:r>
      </w:del>
      <w:ins w:id="260" w:author="Arshad Akhtar Abbasia" w:date="2026-10-04T12:00:00Z">
        <w:r>
          <w:t xml:space="preserve">it, and none of them can show that the constraints translate the law.</w:t>
        </w:r>
      </w:ins>
    </w:p>
    <w:p>
      <w:pPr>
        <w:pStyle w:val="Heading2"/>
      </w:pPr>
      <w:r>
        <w:t xml:space="preserve">6.8 Implications for Practice and Policy</w:t>
      </w:r>
    </w:p>
    <w:p>
      <w:pPr>
        <w:pStyle w:val="BodyText"/>
      </w:pPr>
      <w:ins w:id="261" w:author="Arshad Akhtar Abbasia" w:date="2026-10-04T12:00:00Z">
        <w:r>
          <w:t xml:space="preserve">The provisions that create this collision do not yet apply, and that is the opportunity. </w:t>
        </w:r>
      </w:ins>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Chapter 2, Section 2.2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 what was invalidated, when, on what legal ground, and by whom 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(Section 6.2). Table 4.1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p>
      <w:pPr>
        <w:pStyle w:val="Heading2"/>
      </w:pPr>
      <w:r>
        <w:t xml:space="preserve">6.9 Theoretical Implications</w:t>
      </w:r>
    </w:p>
    <w:p>
      <w:pPr>
        <w:pStyle w:val="BodyText"/>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6.10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p>
      <w:pPr>
        <w:pStyle w:val="Heading2"/>
      </w:pPr>
      <w:r>
        <w:t xml:space="preserve">6.10 Where the Ceiling Is Anchored: a Cross-Sector Test</w:t>
      </w:r>
    </w:p>
    <w:p>
      <w:pPr>
        <w:pStyle w:val="BodyText"/>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 Opplysninger om bruk av systemet skal registreres og lagres i minst 1 år og slettes senest etter 3 år (Politiregisterloven,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 none 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p>
      <w:pPr>
        <w:pStyle w:val="Heading2"/>
      </w:pPr>
      <w:r>
        <w:t xml:space="preserve">6.11 Boundaries as Contribution</w:t>
      </w:r>
    </w:p>
    <w:p>
      <w:pPr>
        <w:pStyle w:val="BodyText"/>
        <w:rPr>
          <w:ins w:id="262" w:author="Arshad Akhtar Abbasia" w:date="2026-10-04T12:00:00Z"/>
        </w:rPr>
      </w:pPr>
      <w:ins w:id="263" w:author="Arshad Akhtar Abbasia" w:date="2026-10-04T12:00:00Z">
        <w:r>
          <w:t xml:space="preserve">The limitations that bound the claim are stated once, in Chapter 3, Section 3.7, and engaged where they bite. None of them was claimed, so none of them reduces what was: a contribution that states its boundaries can be checked at them.</w:t>
        </w:r>
      </w:ins>
    </w:p>
    <w:p>
      <w:pPr>
        <w:pStyle w:val="BodyText"/>
        <w:rPr>
          <w:del w:id="264" w:author="Arshad Akhtar Abbasia" w:date="2026-10-04T12:00:00Z"/>
        </w:rPr>
      </w:pPr>
      <w:del w:id="265" w:author="Arshad Akhtar Abbasia" w:date="2026-10-04T12:00:00Z">
        <w:r>
          <w:delText xml:space="preserve">The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(Chapter 2, Section 2.4; Chapter 4, Section 4.10). The interpretive move at the centre of the thesis is an argument without authority behind it. None of these was claimed, so none of them reduces what was: a contribution that states its boundaries can be checked at them.</w:delText>
        </w:r>
      </w:del>
    </w:p>
    <w:p>
      <w:pPr>
        <w:pStyle w:val="Heading2"/>
      </w:pPr>
      <w:r>
        <w:t xml:space="preserve">6.12 Summary</w:t>
      </w:r>
    </w:p>
    <w:p>
      <w:pPr>
        <w:pStyle w:val="BodyText"/>
      </w:pPr>
      <w:r>
        <w:t xml:space="preserve">The thesis establishes </w:t>
      </w:r>
      <w:del w:id="266" w:author="Arshad Akhtar Abbasia" w:date="2026-10-04T12:00:00Z">
        <w:r>
          <w:delText xml:space="preserve">that audit-retention </w:delText>
        </w:r>
      </w:del>
      <w:ins w:id="267" w:author="Arshad Akhtar Abbasia" w:date="2026-10-04T12:00:00Z">
        <w:r>
          <w:t xml:space="preserve">four things. Audit-retention </w:t>
        </w:r>
      </w:ins>
      <w:r>
        <w:t xml:space="preserve">floors, the right to erasure and the deletion ceiling conflict only under an assumption about verifiability, and not because of the obligations </w:t>
      </w:r>
      <w:del w:id="268" w:author="Arshad Akhtar Abbasia" w:date="2026-10-04T12:00:00Z">
        <w:r>
          <w:delText xml:space="preserve">themselves; that, on </w:delText>
        </w:r>
      </w:del>
      <w:ins w:id="269" w:author="Arshad Akhtar Abbasia" w:date="2026-10-04T12:00:00Z">
        <w:r>
          <w:t xml:space="preserve">themselves. On </w:t>
        </w:r>
      </w:ins>
      <w:r>
        <w:t xml:space="preserve">the broad reading of Article 68(12) and for logs kept at patient-record granularity, the conflict arises inside the European Health Data Space Regulation with no data subject </w:t>
      </w:r>
      <w:del w:id="270" w:author="Arshad Akhtar Abbasia" w:date="2026-10-04T12:00:00Z">
        <w:r>
          <w:delText xml:space="preserve">acting; that a </w:delText>
        </w:r>
      </w:del>
      <w:ins w:id="271" w:author="Arshad Akhtar Abbasia" w:date="2026-10-04T12:00:00Z">
        <w:r>
          <w:t xml:space="preserve">acting. A </w:t>
        </w:r>
      </w:ins>
      <w:r>
        <w:t xml:space="preserve">ceiling collides with a floor exactly when Proposition 3 </w:t>
      </w:r>
      <w:del w:id="272" w:author="Arshad Akhtar Abbasia" w:date="2026-10-04T12:00:00Z">
        <w:r>
          <w:delText xml:space="preserve">says, and that </w:delText>
        </w:r>
      </w:del>
      <w:ins w:id="273" w:author="Arshad Akhtar Abbasia" w:date="2026-10-04T12:00:00Z">
        <w:r>
          <w:t xml:space="preserve">says. And </w:t>
        </w:r>
      </w:ins>
      <w:r>
        <w:t xml:space="preserve">relocation escapes the ceiling but not the right (Proposition 4). It exhibits the mechanism that dissolves the conflict and </w:t>
      </w:r>
      <w:del w:id="274" w:author="Arshad Akhtar Abbasia" w:date="2026-10-04T12:00:00Z">
        <w:r>
          <w:delText xml:space="preserve">demonstrates </w:delText>
        </w:r>
      </w:del>
      <w:ins w:id="275" w:author="Arshad Akhtar Abbasia" w:date="2026-10-04T12:00:00Z">
        <w:r>
          <w:t xml:space="preserve">checks </w:t>
        </w:r>
      </w:ins>
      <w:r>
        <w:t xml:space="preserve">Propositions 1 and 2 </w:t>
      </w:r>
      <w:del w:id="276" w:author="Arshad Akhtar Abbasia" w:date="2026-10-04T12:00:00Z">
        <w:r>
          <w:delText xml:space="preserve">executably </w:delText>
        </w:r>
      </w:del>
      <w:ins w:id="277" w:author="Arshad Akhtar Abbasia" w:date="2026-10-04T12:00:00Z">
        <w:r>
          <w:t xml:space="preserve">executably, </w:t>
        </w:r>
      </w:ins>
      <w:r>
        <w:t xml:space="preserve">with </w:t>
      </w:r>
      <w:del w:id="278" w:author="Arshad Akhtar Abbasia" w:date="2026-10-04T12:00:00Z">
        <w:r>
          <w:delText xml:space="preserve">an independent cross-check.</w:delText>
        </w:r>
      </w:del>
      <w:ins w:id="279" w:author="Arshad Akhtar Abbasia" w:date="2026-10-04T12:00:00Z">
        <w:r>
          <w:t xml:space="preserve">a separately written cross-check and a bounded SMT check.</w:t>
        </w:r>
      </w:ins>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pPr>
        <w:pStyle w:val="Heading1"/>
      </w:pPr>
      <w:r>
        <w:t xml:space="preserve">Chapter 7. Conclusion</w:t>
      </w:r>
    </w:p>
    <w:p>
      <w:pPr>
        <w:pStyle w:val="Heading2"/>
      </w:pPr>
      <w:r>
        <w:t xml:space="preserve">7.1 The Problem and the Answer</w:t>
      </w:r>
    </w:p>
    <w:p>
      <w:pPr>
        <w:pStyle w:val="BodyText"/>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w:t>
      </w:r>
      <w:del w:id="280" w:author="Arshad Akhtar Abbasia" w:date="2026-10-04T12:00:00Z">
        <w:r>
          <w:delText xml:space="preserve">personal-data </w:delText>
        </w:r>
      </w:del>
      <w:r>
        <w:t xml:space="preserve">payload. The model has three constraint types, being a parameterised retention floor, an erasure deadline, and a deletion ceiling, and it makes the semantics of verifiability 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w:t>
      </w:r>
      <w:del w:id="281" w:author="Arshad Akhtar Abbasia" w:date="2026-10-04T12:00:00Z">
        <w:r>
          <w:delText xml:space="preserve">collides </w:delText>
        </w:r>
      </w:del>
      <w:ins w:id="282" w:author="Arshad Akhtar Abbasia" w:date="2026-10-04T12:00:00Z">
        <w:r>
          <w:t xml:space="preserve">can collide </w:t>
        </w:r>
      </w:ins>
      <w:r>
        <w:t xml:space="preserve">with a retention floor </w:t>
      </w:r>
      <w:del w:id="283" w:author="Arshad Akhtar Abbasia" w:date="2026-10-04T12:00:00Z">
        <w:r>
          <w:delText xml:space="preserve">exactly when </w:delText>
        </w:r>
      </w:del>
      <w:ins w:id="284" w:author="Arshad Akhtar Abbasia" w:date="2026-10-04T12:00:00Z">
        <w:r>
          <w:t xml:space="preserve">only if </w:t>
        </w:r>
      </w:ins>
      <w:r>
        <w:t xml:space="preserve">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w:t>
      </w:r>
      <w:del w:id="285" w:author="Arshad Akhtar Abbasia" w:date="2026-10-04T12:00:00Z">
        <w:r>
          <w:delText xml:space="preserve">ceiling. </w:delText>
        </w:r>
      </w:del>
      <w:ins w:id="286" w:author="Arshad Akhtar Abbasia" w:date="2026-10-04T12:00:00Z">
        <w:r>
          <w:t xml:space="preserve">ceiling, while cross-border records keep it, for at least the period the person’s right to learn who accessed their data requires and, on the deployment binding, for the rest of the floor. </w:t>
        </w:r>
      </w:ins>
      <w:r>
        <w:t xml:space="preserve">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w:t>
      </w:r>
      <w:del w:id="287" w:author="Arshad Akhtar Abbasia" w:date="2026-10-04T12:00:00Z">
        <w:r>
          <w:delText xml:space="preserve">residue.</w:delText>
        </w:r>
      </w:del>
      <w:ins w:id="288" w:author="Arshad Akhtar Abbasia" w:date="2026-10-04T12:00:00Z">
        <w:r>
          <w:t xml:space="preserve">residue; that transition, the per-entry nonce, consistency proofs and the accumulator layer are specified, not implemented.</w:t>
        </w:r>
      </w:ins>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p>
      <w:pPr>
        <w:pStyle w:val="Heading2"/>
      </w:pPr>
      <w:r>
        <w:t xml:space="preserve">7.2 Contributions</w:t>
      </w:r>
    </w:p>
    <w:p>
      <w:pPr>
        <w:pStyle w:val="BodyText"/>
      </w:pPr>
      <w:r>
        <w:t xml:space="preserve">Four contributions are claimed, each bounded.</w:t>
      </w:r>
    </w:p>
    <w:p>
      <w:pPr>
        <w:pStyle w:val="BodyText"/>
      </w:pPr>
      <w:r>
        <w:t xml:space="preserve">A formal characterisation of the tri-lateral retention conflict. 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t xml:space="preserve">Feasibility results with an executable witness. 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Chapter 6, Section 6.10 </w:t>
      </w:r>
      <w:del w:id="289" w:author="Arshad Akhtar Abbasia" w:date="2026-10-04T12:00:00Z">
        <w:r>
          <w:delText xml:space="preserve">confirmed </w:delText>
        </w:r>
      </w:del>
      <w:ins w:id="290" w:author="Arshad Akhtar Abbasia" w:date="2026-10-04T12:00:00Z">
        <w:r>
          <w:t xml:space="preserve">illustrated </w:t>
        </w:r>
      </w:ins>
      <w:r>
        <w:t xml:space="preserve">on a statute outside </w:t>
      </w:r>
      <w:del w:id="291" w:author="Arshad Akhtar Abbasia" w:date="2026-10-04T12:00:00Z">
        <w:r>
          <w:delText xml:space="preserve">health; </w:delText>
        </w:r>
      </w:del>
      <w:ins w:id="292" w:author="Arshad Akhtar Abbasia" w:date="2026-10-04T12:00:00Z">
        <w:r>
          <w:t xml:space="preserve">health (an instance generated by the thesis’s own code, which checks the code rather than independently confirming the proposition); </w:t>
        </w:r>
      </w:ins>
      <w:r>
        <w:t xml:space="preserve">Proposition 4 shows why relocation answers the ceiling and not the right. Both were </w:t>
      </w:r>
      <w:del w:id="293" w:author="Arshad Akhtar Abbasia" w:date="2026-10-04T12:00:00Z">
        <w:r>
          <w:delText xml:space="preserve">demonstrated </w:delText>
        </w:r>
      </w:del>
      <w:ins w:id="294" w:author="Arshad Akhtar Abbasia" w:date="2026-10-04T12:00:00Z">
        <w:r>
          <w:t xml:space="preserve">checked </w:t>
        </w:r>
      </w:ins>
      <w:r>
        <w:t xml:space="preserve">over two hundred </w:t>
      </w:r>
      <w:ins w:id="295" w:author="Arshad Akhtar Abbasia" w:date="2026-10-04T12:00:00Z">
        <w:r>
          <w:t xml:space="preserve">generated </w:t>
        </w:r>
      </w:ins>
      <w:r>
        <w:t xml:space="preserve">records, </w:t>
      </w:r>
      <w:del w:id="296" w:author="Arshad Akhtar Abbasia" w:date="2026-10-04T12:00:00Z">
        <w:r>
          <w:delText xml:space="preserve">producing ninety infeasible records and ninety-five </w:delText>
        </w:r>
      </w:del>
      <w:ins w:id="297" w:author="Arshad Akhtar Abbasia" w:date="2026-10-04T12:00:00Z">
        <w:r>
          <w:t xml:space="preserve">with </w:t>
        </w:r>
      </w:ins>
      <w:r>
        <w:t xml:space="preserve">violations under the first semantics and none under the </w:t>
      </w:r>
      <w:del w:id="298" w:author="Arshad Akhtar Abbasia" w:date="2026-10-04T12:00:00Z">
        <w:r>
          <w:delText xml:space="preserve">second, with </w:delText>
        </w:r>
      </w:del>
      <w:ins w:id="299" w:author="Arshad Akhtar Abbasia" w:date="2026-10-04T12:00:00Z">
        <w:r>
          <w:t xml:space="preserve">second (their number is set by the generator), </w:t>
        </w:r>
      </w:ins>
      <w:r>
        <w:t xml:space="preserve">a separately written exhaustive search </w:t>
      </w:r>
      <w:del w:id="300" w:author="Arshad Akhtar Abbasia" w:date="2026-10-04T12:00:00Z">
        <w:r>
          <w:delText xml:space="preserve">confirming </w:delText>
        </w:r>
      </w:del>
      <w:ins w:id="301" w:author="Arshad Akhtar Abbasia" w:date="2026-10-04T12:00:00Z">
        <w:r>
          <w:t xml:space="preserve">confirmed </w:t>
        </w:r>
      </w:ins>
      <w:r>
        <w:t xml:space="preserve">that under the first semantics no assignment of payload accessibility </w:t>
      </w:r>
      <w:del w:id="302" w:author="Arshad Akhtar Abbasia" w:date="2026-10-04T12:00:00Z">
        <w:r>
          <w:delText xml:space="preserve">whatsoever succeeds. </w:delText>
        </w:r>
      </w:del>
      <w:ins w:id="303" w:author="Arshad Akhtar Abbasia" w:date="2026-10-04T12:00:00Z">
        <w:r>
          <w:t xml:space="preserve">succeeds in the cases it covers, and a bounded SMT check found no counterexample to Propositions 1–3 within its bounds. </w:t>
        </w:r>
      </w:ins>
      <w:r>
        <w:t xml:space="preserve">The proofs are informal and the demonstration covers generated instances; neither is presented as more.</w:t>
      </w:r>
    </w:p>
    <w:p>
      <w:pPr>
        <w:pStyle w:val="BodyText"/>
      </w:pPr>
      <w:r>
        <w:t xml:space="preserve">A mechanism specification with its residue analysed. 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(Chapter 5, Section 5.7).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t xml:space="preserve">An integration analysis against verified Norwegian infrastructure. 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Table 4.1 traces the mechanism to each requirement of the regulation and of the Joint Action’s specification it touches, and places it in the activity-monitoring component of the specification’s reference architecture.</w:t>
      </w:r>
    </w:p>
    <w:p>
      <w:pPr>
        <w:pStyle w:val="Heading2"/>
      </w:pPr>
      <w:r>
        <w:t xml:space="preserve">7.3 What the Thesis Does Not Establish</w:t>
      </w:r>
    </w:p>
    <w:p>
      <w:pPr>
        <w:pStyle w:val="BodyText"/>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p>
      <w:pPr>
        <w:pStyle w:val="Heading2"/>
      </w:pPr>
      <w:r>
        <w:t xml:space="preserve">7.4 The Two Open Questions of Authority</w:t>
      </w:r>
    </w:p>
    <w:p>
      <w:pPr>
        <w:pStyle w:val="BodyText"/>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 “identifiable logs” in Article 73(1)(e) as requiring logs whose subject matter remains readable, Proposition 2 remains true of the model and inert in practice.</w:t>
      </w:r>
    </w:p>
    <w:p>
      <w:pPr>
        <w:pStyle w:val="BodyText"/>
      </w:pPr>
      <w:r>
        <w:t xml:space="preserve">The second concerns scope: whether Article 68(12), which requires “the electronic health data within the secure processing environment” to be deleted within six months of permit expiry, reaches, on the broad reading, access logs kept at patient-record granularity (Chapter 4, Section 4.6). Corollary 1.2 stands or falls with this question, </w:t>
      </w:r>
      <w:del w:id="304" w:author="Arshad Akhtar Abbasia" w:date="2026-10-04T12:00:00Z">
        <w:r>
          <w:delText xml:space="preserve">and </w:delText>
        </w:r>
      </w:del>
      <w:ins w:id="305" w:author="Arshad Akhtar Abbasia" w:date="2026-10-04T12:00:00Z">
        <w:r>
          <w:t xml:space="preserve">as does the conditional branch of Corollary 2.3; </w:t>
        </w:r>
      </w:ins>
      <w:r>
        <w:t xml:space="preserve">nothing else in the thesis does. A related question remains open on either reading: whether auditing “all processing operations” 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p>
      <w:pPr>
        <w:pStyle w:val="Heading2"/>
      </w:pPr>
      <w:r>
        <w:t xml:space="preserve">7.5 Future Work</w:t>
      </w:r>
    </w:p>
    <w:p>
      <w:pPr>
        <w:pStyle w:val="BodyText"/>
      </w:pPr>
      <w:r>
        <w:t xml:space="preserve">Four lines follow, the first immediate and the remainder in ascending order of difficulty.</w:t>
      </w:r>
    </w:p>
    <w:p>
      <w:pPr>
        <w:pStyle w:val="BodyText"/>
      </w:pPr>
      <w:r>
        <w:t xml:space="preserve">Execution of the expert evaluation. 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t xml:space="preserve">Selective disclosure of invalidation completeness. The mechanism creates a problem it does not solve. When a data subject exercises Article 17, every record relating to them is invalidated, and an auditor should be able to confirm that all of them were. But identifying which records those are </w:t>
      </w:r>
      <w:del w:id="306" w:author="Arshad Akhtar Abbasia" w:date="2026-10-04T12:00:00Z">
        <w:r>
          <w:delText xml:space="preserve">reveals </w:delText>
        </w:r>
      </w:del>
      <w:ins w:id="307" w:author="Arshad Akhtar Abbasia" w:date="2026-10-04T12:00:00Z">
        <w:r>
          <w:t xml:space="preserve">would show the auditor </w:t>
        </w:r>
      </w:ins>
      <w:r>
        <w:t xml:space="preserve">the subject’s cross-border care </w:t>
      </w:r>
      <w:del w:id="308" w:author="Arshad Akhtar Abbasia" w:date="2026-10-04T12:00:00Z">
        <w:r>
          <w:delText xml:space="preserve">history, which </w:delText>
        </w:r>
      </w:del>
      <w:ins w:id="309" w:author="Arshad Akhtar Abbasia" w:date="2026-10-04T12:00:00Z">
        <w:r>
          <w:t xml:space="preserve">history. The controller keeps the link to those records (Chapter 4, Section 4.2); the problem </w:t>
        </w:r>
      </w:ins>
      <w:r>
        <w:t xml:space="preserve">is </w:t>
      </w:r>
      <w:del w:id="310" w:author="Arshad Akhtar Abbasia" w:date="2026-10-04T12:00:00Z">
        <w:r>
          <w:delText xml:space="preserve">precisely what the erasure was meant </w:delText>
        </w:r>
      </w:del>
      <w:ins w:id="311" w:author="Arshad Akhtar Abbasia" w:date="2026-10-04T12:00:00Z">
        <w:r>
          <w:t xml:space="preserve">disclosing it </w:t>
        </w:r>
      </w:ins>
      <w:r>
        <w:t xml:space="preserve">to </w:t>
      </w:r>
      <w:del w:id="312" w:author="Arshad Akhtar Abbasia" w:date="2026-10-04T12:00:00Z">
        <w:r>
          <w:delText xml:space="preserve">protect. </w:delText>
        </w:r>
      </w:del>
      <w:ins w:id="313" w:author="Arshad Akhtar Abbasia" w:date="2026-10-04T12:00:00Z">
        <w:r>
          <w:t xml:space="preserve">a third party in order to prove completeness. </w:t>
        </w:r>
      </w:ins>
      <w:r>
        <w:t xml:space="preserve">Proving completeness of invalidation without revealing the invalidated set is a zero-knowledge problem, and it corresponds to the fourth of the five open problems identified by Aikebaier (2026), composition with zero-knowledge selective disclosure. This is where succinct arguments </w:t>
      </w:r>
      <w:ins w:id="314" w:author="Arshad Akhtar Abbasia" w:date="2026-10-04T12:00:00Z">
        <w:r>
          <w:t xml:space="preserve">may </w:t>
        </w:r>
      </w:ins>
      <w:r>
        <w:t xml:space="preserve">become necessary rather than decorative, and the audit log of Chapter 4, Section 4.8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w:t>
      </w:r>
      <w:del w:id="315" w:author="Arshad Akhtar Abbasia" w:date="2026-10-04T12:00:00Z">
        <w:r>
          <w:delText xml:space="preserve">shows </w:delText>
        </w:r>
      </w:del>
      <w:ins w:id="316" w:author="Arshad Akhtar Abbasia" w:date="2026-10-04T12:00:00Z">
        <w:r>
          <w:t xml:space="preserve">suggests </w:t>
        </w:r>
      </w:ins>
      <w:r>
        <w:t xml:space="preserve">it </w:t>
      </w:r>
      <w:del w:id="317" w:author="Arshad Akhtar Abbasia" w:date="2026-10-04T12:00:00Z">
        <w:r>
          <w:delText xml:space="preserve">unavoidable here.</w:delText>
        </w:r>
      </w:del>
      <w:ins w:id="318" w:author="Arshad Akhtar Abbasia" w:date="2026-10-04T12:00:00Z">
        <w:r>
          <w:t xml:space="preserve">may be necessary here, though alternatives are not excluded.</w:t>
        </w:r>
      </w:ins>
    </w:p>
    <w:p>
      <w:pPr>
        <w:pStyle w:val="BodyText"/>
      </w:pPr>
      <w:r>
        <w:t xml:space="preserve">Public verifiability of deletion certificates. 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t xml:space="preserve">Generalisation beyond health data. The structure the model captures (one or more retention floors, a subject-triggered erasure right, and a deletion ceiling) is not obviously specific to health, and Chapter 6, Section 6.10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p>
      <w:pPr>
        <w:pStyle w:val="Heading2"/>
      </w:pPr>
      <w:r>
        <w:t xml:space="preserve">7.6 Closing</w:t>
      </w:r>
    </w:p>
    <w:p>
      <w:pPr>
        <w:pStyle w:val="BodyText"/>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2026-10-05T14:20:37Z</dcterms:created>
  <dcterms:modified xsi:type="dcterms:W3CDTF">2026-10-05T14:20:37Z</dcterms:modified>
</cp:coreProperties>
</file>

<file path=docProps/custom.xml><?xml version="1.0" encoding="utf-8"?>
<Properties xmlns="http://schemas.openxmlformats.org/officeDocument/2006/custom-properties" xmlns:vt="http://schemas.openxmlformats.org/officeDocument/2006/docPropsVTypes"/>
</file>