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a National Digital Health Authority by June 2025, and healthcare providers and electronic health record vendors must certify their systems for interoperability and security compliance by January 2026 (Ernst &amp; Young,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the clinical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to read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content of the clinical document exchanged.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Personal data must not remain accessible in the Secure Processing Environment more than six months after permit expiry. Source: Article 68(12) EHDS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r>
          <m:t>m</m:t>
        </m:r>
        <m:d>
          <m:dPr>
            <m:begChr m:val="("/>
            <m:endChr m:val=")"/>
            <m:sepChr m:val=""/>
            <m:grow/>
          </m:dPr>
          <m:e>
            <m:r>
              <m:t>a</m:t>
            </m:r>
          </m:e>
        </m:d>
      </m:oMath>
      <w:r>
        <w:t xml:space="preserve"> </w:t>
      </w:r>
      <w:r>
        <w:t xml:space="preserve">is intact and unmodified;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w:t>
      </w:r>
      <w:r>
        <w:t xml:space="preserve"> </w:t>
      </w:r>
      <w:r>
        <w:rPr>
          <w:iCs/>
          <w:i/>
        </w:rPr>
        <w:t xml:space="preserve">On the broad reading of Article 68(12) defended below, no erasure request is required.</w:t>
      </w:r>
      <w:r>
        <w:t xml:space="preserve"> </w:t>
      </w:r>
      <w:r>
        <w:t xml:space="preserve">The infeasibility then follows from two provisions of a single regulation acting on a single environment. Article 73(1)(e) requires the identifiable log to remain verifiable for twelve months, and Article 68(12) requires personal data to be gone from the environment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must be stated as such rather than assumed, because the corollary is the sharpest claim in this thesis and a reader is entitled to see its weakest joint.</w:t>
      </w:r>
    </w:p>
    <w:p>
      <w:pPr>
        <w:pStyle w:val="BodyText"/>
      </w:pPr>
      <w:r>
        <w:t xml:space="preserve">The textual case for the broad reading is that the provision governs</w:t>
      </w:r>
      <w:r>
        <w:t xml:space="preserve"> </w:t>
      </w:r>
      <w:r>
        <w:rPr>
          <w:iCs/>
          <w:i/>
        </w:rPr>
        <w:t xml:space="preserve">the data within the secure processing environment</w:t>
      </w:r>
      <w:r>
        <w:t xml:space="preserve">, a formulation defined by location rather than by provenance. It does not say</w:t>
      </w:r>
      <w:r>
        <w:t xml:space="preserve"> </w:t>
      </w:r>
      <w:r>
        <w:t xml:space="preserve">“</w:t>
      </w:r>
      <w:r>
        <w:t xml:space="preserve">the data made available under the data permit,</w:t>
      </w:r>
      <w:r>
        <w:t xml:space="preserve">”</w:t>
      </w:r>
      <w:r>
        <w:t xml:space="preserve"> </w:t>
      </w:r>
      <w:r>
        <w:t xml:space="preserve">though the Regulation uses that narrower formulation freely elsewhere, and the access logs are indisputably data within the environment. On that reading Article 68(12) reaches them, and Corollary 1.2 follows.</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On that reading the obligation attaches to the permit dataset, the access logs fall outside it, and no collision between Articles 68(12) and 73(1)(e) arises.</w:t>
      </w:r>
    </w:p>
    <w:p>
      <w:pPr>
        <w:pStyle w:val="BodyText"/>
      </w:pPr>
      <w:r>
        <w:t xml:space="preserve">This thesis adopts the broad reading and states the grounds rather than asserting the conclusion.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therefore costs the thesis its sharpest instance and none of its results. The broad reading, if correct, adds a collision that requires no data subject to act.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and the authorising actor; retain</w:t>
      </w:r>
      <w:r>
        <w:t xml:space="preserve"> </w:t>
      </w:r>
      <m:oMath>
        <m:r>
          <m:t>m</m:t>
        </m:r>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r>
          <m:t>m</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personal-data content committed rather than retained in plaintext beyond the ceiling. At</w:t>
      </w:r>
      <w:r>
        <w:t xml:space="preserve"> </w:t>
      </w:r>
      <m:oMath>
        <m:sSub>
          <m:e>
            <m:r>
              <m:t>t</m:t>
            </m:r>
          </m:e>
          <m:sub>
            <m:r>
              <m:t>π</m:t>
            </m:r>
          </m:sub>
        </m:sSub>
        <m:d>
          <m:dPr>
            <m:begChr m:val="("/>
            <m:endChr m:val=")"/>
            <m:sepChr m:val=""/>
            <m:grow/>
          </m:dPr>
          <m:e>
            <m:r>
              <m:t>a</m:t>
            </m:r>
          </m:e>
        </m:d>
        <m:r>
          <m:rPr>
            <m:sty m:val="p"/>
          </m:rPr>
          <m:t>+</m:t>
        </m:r>
        <m:r>
          <m:t>6</m:t>
        </m:r>
      </m:oMath>
      <w:r>
        <w:t xml:space="preserve">, the environment therefore holds a complete, identifiable, verifiable log of access with no recoverable personal-data payload. The environment is thereby cleared of accessible personal data at the ceiling while continuing to satisfy the floor to its full twelve months.</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Five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witnesses of it in the model,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Ernst &amp; Young. (2025).</w:t>
      </w:r>
      <w:r>
        <w:t xml:space="preserve"> </w:t>
      </w:r>
      <w:r>
        <w:rPr>
          <w:iCs/>
          <w:i/>
        </w:rPr>
        <w:t xml:space="preserve">Regulation (EU) 2025/327: Establishing the European Health Data Space (EHDS)</w:t>
      </w:r>
      <w:r>
        <w:t xml:space="preserve"> </w:t>
      </w:r>
      <w:r>
        <w:t xml:space="preserve">[Law alert]. EY Greece. https://www.ey.com/en_gr/technical/tax/tax-alerts/regulation-2025-327-establishing-ehds</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2026-10-03T00:22:56Z</dcterms:created>
  <dcterms:modified xsi:type="dcterms:W3CDTF">2026-10-03T00:22:56Z</dcterms:modified>
</cp:coreProperties>
</file>

<file path=docProps/custom.xml><?xml version="1.0" encoding="utf-8"?>
<Properties xmlns="http://schemas.openxmlformats.org/officeDocument/2006/custom-properties" xmlns:vt="http://schemas.openxmlformats.org/officeDocument/2006/docPropsVTypes"/>
</file>