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8"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and removes the record’s link to the patient, while retaining the accessor’s identity, event metadata, a hiding commitment and a logged invalidation entry in a tamper-evident log.</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 the broad reading, 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fjerner 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Feasibility results with an executable witness.</w:t>
      </w:r>
      <w:r>
        <w:t xml:space="preserve"> </w:t>
      </w:r>
      <w:r>
        <w:t xml:space="preserve">Proposition 1 establishes infeasibility under the semantics implicit in current audit practice. Proposition 2 establishes satisfiability under an alternative and exhibits the trajectory achieving it. Both are proved informally and demonstrated executably, with an independent exhaustive cross-check.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with each record’s metadata partitioned into the accessor’s fields, which accountability requires and the mechanism retains, and the link to the patient, which it removes, 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table-of-contents"/>
    <w:p>
      <w:pPr>
        <w:pStyle w:val="Heading2"/>
      </w:pPr>
      <w:r>
        <w:t xml:space="preserve">Table of Contents</w:t>
      </w:r>
    </w:p>
    <w:p>
      <w:pPr>
        <w:pStyle w:val="FirstParagraph"/>
      </w:pPr>
      <w:r>
        <w:rPr>
          <w:bCs/>
          <w:b/>
        </w:rPr>
        <w:t xml:space="preserve">Chapter 1. Introduction</w:t>
      </w:r>
    </w:p>
    <w:p>
      <w:pPr>
        <w:numPr>
          <w:ilvl w:val="0"/>
          <w:numId w:val="1001"/>
        </w:numPr>
        <w:pStyle w:val="Compact"/>
      </w:pPr>
      <w:r>
        <w:t xml:space="preserve">1.1 Background and Context</w:t>
      </w:r>
    </w:p>
    <w:p>
      <w:pPr>
        <w:numPr>
          <w:ilvl w:val="0"/>
          <w:numId w:val="1001"/>
        </w:numPr>
        <w:pStyle w:val="Compact"/>
      </w:pPr>
      <w:r>
        <w:t xml:space="preserve">1.2 Problem Statement</w:t>
      </w:r>
    </w:p>
    <w:p>
      <w:pPr>
        <w:numPr>
          <w:ilvl w:val="0"/>
          <w:numId w:val="1001"/>
        </w:numPr>
        <w:pStyle w:val="Compact"/>
      </w:pPr>
      <w:r>
        <w:t xml:space="preserve">1.3 Research Objectives and Questions</w:t>
      </w:r>
    </w:p>
    <w:p>
      <w:pPr>
        <w:numPr>
          <w:ilvl w:val="0"/>
          <w:numId w:val="1001"/>
        </w:numPr>
        <w:pStyle w:val="Compact"/>
      </w:pPr>
      <w:r>
        <w:t xml:space="preserve">1.4 Significance and Relevance</w:t>
      </w:r>
    </w:p>
    <w:p>
      <w:pPr>
        <w:numPr>
          <w:ilvl w:val="0"/>
          <w:numId w:val="1001"/>
        </w:numPr>
        <w:pStyle w:val="Compact"/>
      </w:pPr>
      <w:r>
        <w:t xml:space="preserve">1.5 Scope and Out-of-Scope</w:t>
      </w:r>
    </w:p>
    <w:p>
      <w:pPr>
        <w:numPr>
          <w:ilvl w:val="0"/>
          <w:numId w:val="1001"/>
        </w:numPr>
        <w:pStyle w:val="Compact"/>
      </w:pPr>
      <w:r>
        <w:t xml:space="preserve">1.6 Methodological Approach</w:t>
      </w:r>
    </w:p>
    <w:p>
      <w:pPr>
        <w:numPr>
          <w:ilvl w:val="0"/>
          <w:numId w:val="1001"/>
        </w:numPr>
        <w:pStyle w:val="Compact"/>
      </w:pPr>
      <w:r>
        <w:t xml:space="preserve">1.7 Thesis Structure</w:t>
      </w:r>
    </w:p>
    <w:p>
      <w:pPr>
        <w:pStyle w:val="FirstParagraph"/>
      </w:pPr>
      <w:r>
        <w:rPr>
          <w:bCs/>
          <w:b/>
        </w:rPr>
        <w:t xml:space="preserve">Chapter 2. Literature Review and Theoretical Foundation</w:t>
      </w:r>
    </w:p>
    <w:p>
      <w:pPr>
        <w:numPr>
          <w:ilvl w:val="0"/>
          <w:numId w:val="1002"/>
        </w:numPr>
        <w:pStyle w:val="Compact"/>
      </w:pPr>
      <w:r>
        <w:t xml:space="preserve">2.1 Review Protocol</w:t>
      </w:r>
    </w:p>
    <w:p>
      <w:pPr>
        <w:numPr>
          <w:ilvl w:val="0"/>
          <w:numId w:val="1002"/>
        </w:numPr>
        <w:pStyle w:val="Compact"/>
      </w:pPr>
      <w:r>
        <w:t xml:space="preserve">2.2 The Cross-Border Health Data Exchange Landscape</w:t>
      </w:r>
    </w:p>
    <w:p>
      <w:pPr>
        <w:numPr>
          <w:ilvl w:val="0"/>
          <w:numId w:val="1002"/>
        </w:numPr>
        <w:pStyle w:val="Compact"/>
      </w:pPr>
      <w:r>
        <w:t xml:space="preserve">2.3 The Audit-Retention versus Right-to-Erasure Tension</w:t>
      </w:r>
    </w:p>
    <w:p>
      <w:pPr>
        <w:numPr>
          <w:ilvl w:val="0"/>
          <w:numId w:val="1002"/>
        </w:numPr>
        <w:pStyle w:val="Compact"/>
      </w:pPr>
      <w:r>
        <w:t xml:space="preserve">2.4 Cryptographic Approaches to Audit Compliance</w:t>
      </w:r>
    </w:p>
    <w:p>
      <w:pPr>
        <w:numPr>
          <w:ilvl w:val="0"/>
          <w:numId w:val="1002"/>
        </w:numPr>
        <w:pStyle w:val="Compact"/>
      </w:pPr>
      <w:r>
        <w:t xml:space="preserve">2.5 Formal Approaches to Regulatory-Compliance Verification</w:t>
      </w:r>
    </w:p>
    <w:p>
      <w:pPr>
        <w:numPr>
          <w:ilvl w:val="0"/>
          <w:numId w:val="1002"/>
        </w:numPr>
        <w:pStyle w:val="Compact"/>
      </w:pPr>
      <w:r>
        <w:t xml:space="preserve">2.6 Norwegian Secondary-Use Infrastructure</w:t>
      </w:r>
    </w:p>
    <w:p>
      <w:pPr>
        <w:numPr>
          <w:ilvl w:val="0"/>
          <w:numId w:val="1002"/>
        </w:numPr>
        <w:pStyle w:val="Compact"/>
      </w:pPr>
      <w:r>
        <w:t xml:space="preserve">2.7 Information Logistics Framing</w:t>
      </w:r>
    </w:p>
    <w:p>
      <w:pPr>
        <w:numPr>
          <w:ilvl w:val="0"/>
          <w:numId w:val="1002"/>
        </w:numPr>
        <w:pStyle w:val="Compact"/>
      </w:pPr>
      <w:r>
        <w:t xml:space="preserve">2.8 Comparative Analysis</w:t>
      </w:r>
    </w:p>
    <w:p>
      <w:pPr>
        <w:numPr>
          <w:ilvl w:val="0"/>
          <w:numId w:val="1002"/>
        </w:numPr>
        <w:pStyle w:val="Compact"/>
      </w:pPr>
      <w:r>
        <w:t xml:space="preserve">2.9 Identified Research Gaps</w:t>
      </w:r>
    </w:p>
    <w:p>
      <w:pPr>
        <w:numPr>
          <w:ilvl w:val="0"/>
          <w:numId w:val="1002"/>
        </w:numPr>
        <w:pStyle w:val="Compact"/>
      </w:pPr>
      <w:r>
        <w:t xml:space="preserve">2.10 Conceptual Positioning of the Thesis</w:t>
      </w:r>
    </w:p>
    <w:p>
      <w:pPr>
        <w:pStyle w:val="FirstParagraph"/>
      </w:pPr>
      <w:r>
        <w:rPr>
          <w:bCs/>
          <w:b/>
        </w:rPr>
        <w:t xml:space="preserve">Chapter 3. Methodology and Research Design</w:t>
      </w:r>
    </w:p>
    <w:p>
      <w:pPr>
        <w:numPr>
          <w:ilvl w:val="0"/>
          <w:numId w:val="1003"/>
        </w:numPr>
        <w:pStyle w:val="Compact"/>
      </w:pPr>
      <w:r>
        <w:t xml:space="preserve">3.1 Research Paradigm</w:t>
      </w:r>
    </w:p>
    <w:p>
      <w:pPr>
        <w:numPr>
          <w:ilvl w:val="0"/>
          <w:numId w:val="1003"/>
        </w:numPr>
        <w:pStyle w:val="Compact"/>
      </w:pPr>
      <w:r>
        <w:t xml:space="preserve">3.2 The Design Science Cycle Adopted</w:t>
      </w:r>
    </w:p>
    <w:p>
      <w:pPr>
        <w:numPr>
          <w:ilvl w:val="0"/>
          <w:numId w:val="1003"/>
        </w:numPr>
        <w:pStyle w:val="Compact"/>
      </w:pPr>
      <w:r>
        <w:t xml:space="preserve">3.3 The Specification-and-Demonstration Variant, Extended with Formal Modelling</w:t>
      </w:r>
    </w:p>
    <w:p>
      <w:pPr>
        <w:numPr>
          <w:ilvl w:val="0"/>
          <w:numId w:val="1003"/>
        </w:numPr>
        <w:pStyle w:val="Compact"/>
      </w:pPr>
      <w:r>
        <w:t xml:space="preserve">3.4 Formal-Modelling Methodology</w:t>
      </w:r>
    </w:p>
    <w:p>
      <w:pPr>
        <w:numPr>
          <w:ilvl w:val="0"/>
          <w:numId w:val="1003"/>
        </w:numPr>
        <w:pStyle w:val="Compact"/>
      </w:pPr>
      <w:r>
        <w:t xml:space="preserve">3.5 Synthetic Data</w:t>
      </w:r>
    </w:p>
    <w:p>
      <w:pPr>
        <w:numPr>
          <w:ilvl w:val="0"/>
          <w:numId w:val="1003"/>
        </w:numPr>
        <w:pStyle w:val="Compact"/>
      </w:pPr>
      <w:r>
        <w:t xml:space="preserve">3.6 Sandbox Implementation Approach</w:t>
      </w:r>
    </w:p>
    <w:p>
      <w:pPr>
        <w:numPr>
          <w:ilvl w:val="0"/>
          <w:numId w:val="1003"/>
        </w:numPr>
        <w:pStyle w:val="Compact"/>
      </w:pPr>
      <w:r>
        <w:t xml:space="preserve">3.7 Validity, Reliability, and Limitations</w:t>
      </w:r>
    </w:p>
    <w:p>
      <w:pPr>
        <w:numPr>
          <w:ilvl w:val="0"/>
          <w:numId w:val="1003"/>
        </w:numPr>
        <w:pStyle w:val="Compact"/>
      </w:pPr>
      <w:r>
        <w:t xml:space="preserve">3.8 Evaluation Design for the Next Cycle</w:t>
      </w:r>
    </w:p>
    <w:p>
      <w:pPr>
        <w:numPr>
          <w:ilvl w:val="0"/>
          <w:numId w:val="1003"/>
        </w:numPr>
        <w:pStyle w:val="Compact"/>
      </w:pPr>
      <w:r>
        <w:t xml:space="preserve">3.9 Ethical Considerations</w:t>
      </w:r>
    </w:p>
    <w:p>
      <w:pPr>
        <w:pStyle w:val="FirstParagraph"/>
      </w:pPr>
      <w:r>
        <w:rPr>
          <w:bCs/>
          <w:b/>
        </w:rPr>
        <w:t xml:space="preserve">Chapter 4. The Tri-Lateral Retention Feasibility Model and the Crypto-Erasure by Invalidation Mechanism</w:t>
      </w:r>
    </w:p>
    <w:p>
      <w:pPr>
        <w:numPr>
          <w:ilvl w:val="0"/>
          <w:numId w:val="1004"/>
        </w:numPr>
        <w:pStyle w:val="Compact"/>
      </w:pPr>
      <w:r>
        <w:t xml:space="preserve">4.1 Purpose and Structure of the Chapter</w:t>
      </w:r>
    </w:p>
    <w:p>
      <w:pPr>
        <w:numPr>
          <w:ilvl w:val="0"/>
          <w:numId w:val="1004"/>
        </w:numPr>
        <w:pStyle w:val="Compact"/>
      </w:pPr>
      <w:r>
        <w:t xml:space="preserve">4.2 What Must Be Retained: The Necessity Analysis</w:t>
      </w:r>
    </w:p>
    <w:p>
      <w:pPr>
        <w:numPr>
          <w:ilvl w:val="0"/>
          <w:numId w:val="1004"/>
        </w:numPr>
        <w:pStyle w:val="Compact"/>
      </w:pPr>
      <w:r>
        <w:t xml:space="preserve">4.3 The Model: Objects and Notation</w:t>
      </w:r>
    </w:p>
    <w:p>
      <w:pPr>
        <w:numPr>
          <w:ilvl w:val="0"/>
          <w:numId w:val="1004"/>
        </w:numPr>
        <w:pStyle w:val="Compact"/>
      </w:pPr>
      <w:r>
        <w:t xml:space="preserve">4.4 The Three Constraints</w:t>
      </w:r>
    </w:p>
    <w:p>
      <w:pPr>
        <w:numPr>
          <w:ilvl w:val="0"/>
          <w:numId w:val="1004"/>
        </w:numPr>
        <w:pStyle w:val="Compact"/>
      </w:pPr>
      <w:r>
        <w:t xml:space="preserve">4.5 Two Semantics of Verifiability</w:t>
      </w:r>
    </w:p>
    <w:p>
      <w:pPr>
        <w:numPr>
          <w:ilvl w:val="0"/>
          <w:numId w:val="1004"/>
        </w:numPr>
        <w:pStyle w:val="Compact"/>
      </w:pPr>
      <w:r>
        <w:t xml:space="preserve">4.6 Proposition 1: Infeasibility under Plaintext Verifiability</w:t>
      </w:r>
    </w:p>
    <w:p>
      <w:pPr>
        <w:numPr>
          <w:ilvl w:val="0"/>
          <w:numId w:val="1004"/>
        </w:numPr>
        <w:pStyle w:val="Compact"/>
      </w:pPr>
      <w:r>
        <w:t xml:space="preserve">4.7 Proposition 2: Feasibility under Accountability-Preserving Verifiability</w:t>
      </w:r>
    </w:p>
    <w:p>
      <w:pPr>
        <w:numPr>
          <w:ilvl w:val="0"/>
          <w:numId w:val="1004"/>
        </w:numPr>
        <w:pStyle w:val="Compact"/>
      </w:pPr>
      <w:r>
        <w:t xml:space="preserve">4.8 The Mechanism: Crypto-Erasure by Invalidation</w:t>
      </w:r>
    </w:p>
    <w:p>
      <w:pPr>
        <w:numPr>
          <w:ilvl w:val="0"/>
          <w:numId w:val="1004"/>
        </w:numPr>
        <w:pStyle w:val="Compact"/>
      </w:pPr>
      <w:r>
        <w:t xml:space="preserve">4.9 Residue Analysis</w:t>
      </w:r>
    </w:p>
    <w:p>
      <w:pPr>
        <w:numPr>
          <w:ilvl w:val="0"/>
          <w:numId w:val="1004"/>
        </w:numPr>
        <w:pStyle w:val="Compact"/>
      </w:pPr>
      <w:r>
        <w:t xml:space="preserve">4.10 Rival Designs</w:t>
      </w:r>
    </w:p>
    <w:p>
      <w:pPr>
        <w:numPr>
          <w:ilvl w:val="0"/>
          <w:numId w:val="1004"/>
        </w:numPr>
        <w:pStyle w:val="Compact"/>
      </w:pPr>
      <w:r>
        <w:t xml:space="preserve">4.11 Integration with the Norwegian Infrastructure</w:t>
      </w:r>
    </w:p>
    <w:p>
      <w:pPr>
        <w:numPr>
          <w:ilvl w:val="0"/>
          <w:numId w:val="1004"/>
        </w:numPr>
        <w:pStyle w:val="Compact"/>
      </w:pPr>
      <w:r>
        <w:t xml:space="preserve">4.12 Summary</w:t>
      </w:r>
    </w:p>
    <w:p>
      <w:pPr>
        <w:pStyle w:val="FirstParagraph"/>
      </w:pPr>
      <w:r>
        <w:rPr>
          <w:bCs/>
          <w:b/>
        </w:rPr>
        <w:t xml:space="preserve">Chapter 5. Demonstration</w:t>
      </w:r>
    </w:p>
    <w:p>
      <w:pPr>
        <w:numPr>
          <w:ilvl w:val="0"/>
          <w:numId w:val="1005"/>
        </w:numPr>
        <w:pStyle w:val="Compact"/>
      </w:pPr>
      <w:r>
        <w:t xml:space="preserve">5.1 Purpose and Claim</w:t>
      </w:r>
    </w:p>
    <w:p>
      <w:pPr>
        <w:numPr>
          <w:ilvl w:val="0"/>
          <w:numId w:val="1005"/>
        </w:numPr>
        <w:pStyle w:val="Compact"/>
      </w:pPr>
      <w:r>
        <w:t xml:space="preserve">5.2 Implementation</w:t>
      </w:r>
    </w:p>
    <w:p>
      <w:pPr>
        <w:numPr>
          <w:ilvl w:val="0"/>
          <w:numId w:val="1005"/>
        </w:numPr>
        <w:pStyle w:val="Compact"/>
      </w:pPr>
      <w:r>
        <w:t xml:space="preserve">5.3 Results under Semantics I</w:t>
      </w:r>
    </w:p>
    <w:p>
      <w:pPr>
        <w:numPr>
          <w:ilvl w:val="0"/>
          <w:numId w:val="1005"/>
        </w:numPr>
        <w:pStyle w:val="Compact"/>
      </w:pPr>
      <w:r>
        <w:t xml:space="preserve">5.4 Corollary 1.2: Infeasibility Without an Erasure Request</w:t>
      </w:r>
    </w:p>
    <w:p>
      <w:pPr>
        <w:numPr>
          <w:ilvl w:val="0"/>
          <w:numId w:val="1005"/>
        </w:numPr>
        <w:pStyle w:val="Compact"/>
      </w:pPr>
      <w:r>
        <w:t xml:space="preserve">5.5 Independent Cross-Check</w:t>
      </w:r>
    </w:p>
    <w:p>
      <w:pPr>
        <w:numPr>
          <w:ilvl w:val="0"/>
          <w:numId w:val="1005"/>
        </w:numPr>
        <w:pStyle w:val="Compact"/>
      </w:pPr>
      <w:r>
        <w:t xml:space="preserve">5.6 Witness at the Extended Response Period</w:t>
      </w:r>
    </w:p>
    <w:p>
      <w:pPr>
        <w:numPr>
          <w:ilvl w:val="0"/>
          <w:numId w:val="1005"/>
        </w:numPr>
        <w:pStyle w:val="Compact"/>
      </w:pPr>
      <w:r>
        <w:t xml:space="preserve">5.7 Results under Semantics II</w:t>
      </w:r>
    </w:p>
    <w:p>
      <w:pPr>
        <w:numPr>
          <w:ilvl w:val="0"/>
          <w:numId w:val="1005"/>
        </w:numPr>
        <w:pStyle w:val="Compact"/>
      </w:pPr>
      <w:r>
        <w:t xml:space="preserve">5.8 What the Demonstration Establishes, and What It Does Not</w:t>
      </w:r>
    </w:p>
    <w:p>
      <w:pPr>
        <w:pStyle w:val="FirstParagraph"/>
      </w:pPr>
      <w:r>
        <w:rPr>
          <w:bCs/>
          <w:b/>
        </w:rPr>
        <w:t xml:space="preserve">Chapter 6. Discussion</w:t>
      </w:r>
    </w:p>
    <w:p>
      <w:pPr>
        <w:numPr>
          <w:ilvl w:val="0"/>
          <w:numId w:val="1006"/>
        </w:numPr>
        <w:pStyle w:val="Compact"/>
      </w:pPr>
      <w:r>
        <w:t xml:space="preserve">6.1 What the Thesis Establishes</w:t>
      </w:r>
    </w:p>
    <w:p>
      <w:pPr>
        <w:numPr>
          <w:ilvl w:val="0"/>
          <w:numId w:val="1006"/>
        </w:numPr>
        <w:pStyle w:val="Compact"/>
      </w:pPr>
      <w:r>
        <w:t xml:space="preserve">6.2 The Authority Problem</w:t>
      </w:r>
    </w:p>
    <w:p>
      <w:pPr>
        <w:numPr>
          <w:ilvl w:val="0"/>
          <w:numId w:val="1006"/>
        </w:numPr>
        <w:pStyle w:val="Compact"/>
      </w:pPr>
      <w:r>
        <w:t xml:space="preserve">6.3 Key Destruction and the Limits of Assurance</w:t>
      </w:r>
    </w:p>
    <w:p>
      <w:pPr>
        <w:numPr>
          <w:ilvl w:val="0"/>
          <w:numId w:val="1006"/>
        </w:numPr>
        <w:pStyle w:val="Compact"/>
      </w:pPr>
      <w:r>
        <w:t xml:space="preserve">6.4 The Cost Objection</w:t>
      </w:r>
    </w:p>
    <w:p>
      <w:pPr>
        <w:numPr>
          <w:ilvl w:val="0"/>
          <w:numId w:val="1006"/>
        </w:numPr>
        <w:pStyle w:val="Compact"/>
      </w:pPr>
      <w:r>
        <w:t xml:space="preserve">6.5 Scalability</w:t>
      </w:r>
    </w:p>
    <w:p>
      <w:pPr>
        <w:numPr>
          <w:ilvl w:val="0"/>
          <w:numId w:val="1006"/>
        </w:numPr>
        <w:pStyle w:val="Compact"/>
      </w:pPr>
      <w:r>
        <w:t xml:space="preserve">6.6 Evaluation Design and the Role of Stakeholder Assessment</w:t>
      </w:r>
    </w:p>
    <w:p>
      <w:pPr>
        <w:numPr>
          <w:ilvl w:val="0"/>
          <w:numId w:val="1006"/>
        </w:numPr>
        <w:pStyle w:val="Compact"/>
      </w:pPr>
      <w:r>
        <w:t xml:space="preserve">6.7 Synthetic Data and the Limits of the Demonstration</w:t>
      </w:r>
    </w:p>
    <w:p>
      <w:pPr>
        <w:numPr>
          <w:ilvl w:val="0"/>
          <w:numId w:val="1006"/>
        </w:numPr>
        <w:pStyle w:val="Compact"/>
      </w:pPr>
      <w:r>
        <w:t xml:space="preserve">6.8 Implications for Practice and Policy</w:t>
      </w:r>
    </w:p>
    <w:p>
      <w:pPr>
        <w:numPr>
          <w:ilvl w:val="0"/>
          <w:numId w:val="1006"/>
        </w:numPr>
        <w:pStyle w:val="Compact"/>
      </w:pPr>
      <w:r>
        <w:t xml:space="preserve">6.9 Theoretical Implications</w:t>
      </w:r>
    </w:p>
    <w:p>
      <w:pPr>
        <w:numPr>
          <w:ilvl w:val="0"/>
          <w:numId w:val="1006"/>
        </w:numPr>
        <w:pStyle w:val="Compact"/>
      </w:pPr>
      <w:r>
        <w:t xml:space="preserve">6.10 Where the Ceiling Is Anchored: a Cross-Sector Test</w:t>
      </w:r>
    </w:p>
    <w:p>
      <w:pPr>
        <w:numPr>
          <w:ilvl w:val="0"/>
          <w:numId w:val="1006"/>
        </w:numPr>
        <w:pStyle w:val="Compact"/>
      </w:pPr>
      <w:r>
        <w:t xml:space="preserve">6.11 Boundaries as Contribution</w:t>
      </w:r>
    </w:p>
    <w:p>
      <w:pPr>
        <w:numPr>
          <w:ilvl w:val="0"/>
          <w:numId w:val="1006"/>
        </w:numPr>
        <w:pStyle w:val="Compact"/>
      </w:pPr>
      <w:r>
        <w:t xml:space="preserve">6.12 Summary</w:t>
      </w:r>
    </w:p>
    <w:p>
      <w:pPr>
        <w:pStyle w:val="FirstParagraph"/>
      </w:pPr>
      <w:r>
        <w:rPr>
          <w:bCs/>
          <w:b/>
        </w:rPr>
        <w:t xml:space="preserve">Chapter 7. Conclusion</w:t>
      </w:r>
    </w:p>
    <w:p>
      <w:pPr>
        <w:numPr>
          <w:ilvl w:val="0"/>
          <w:numId w:val="1007"/>
        </w:numPr>
        <w:pStyle w:val="Compact"/>
      </w:pPr>
      <w:r>
        <w:t xml:space="preserve">7.1 The Problem and the Answer</w:t>
      </w:r>
    </w:p>
    <w:p>
      <w:pPr>
        <w:numPr>
          <w:ilvl w:val="0"/>
          <w:numId w:val="1007"/>
        </w:numPr>
        <w:pStyle w:val="Compact"/>
      </w:pPr>
      <w:r>
        <w:t xml:space="preserve">7.2 Contributions</w:t>
      </w:r>
    </w:p>
    <w:p>
      <w:pPr>
        <w:numPr>
          <w:ilvl w:val="0"/>
          <w:numId w:val="1007"/>
        </w:numPr>
        <w:pStyle w:val="Compact"/>
      </w:pPr>
      <w:r>
        <w:t xml:space="preserve">7.3 What the Thesis Does Not Establish</w:t>
      </w:r>
    </w:p>
    <w:p>
      <w:pPr>
        <w:numPr>
          <w:ilvl w:val="0"/>
          <w:numId w:val="1007"/>
        </w:numPr>
        <w:pStyle w:val="Compact"/>
      </w:pPr>
      <w:r>
        <w:t xml:space="preserve">7.4 The Two Open Questions of Authority</w:t>
      </w:r>
    </w:p>
    <w:p>
      <w:pPr>
        <w:numPr>
          <w:ilvl w:val="0"/>
          <w:numId w:val="1007"/>
        </w:numPr>
        <w:pStyle w:val="Compact"/>
      </w:pPr>
      <w:r>
        <w:t xml:space="preserve">7.5 Future Work</w:t>
      </w:r>
    </w:p>
    <w:p>
      <w:pPr>
        <w:numPr>
          <w:ilvl w:val="0"/>
          <w:numId w:val="1007"/>
        </w:numPr>
        <w:pStyle w:val="Compact"/>
      </w:pPr>
      <w:r>
        <w:t xml:space="preserve">7.6 Closing</w:t>
      </w:r>
    </w:p>
    <w:p>
      <w:pPr>
        <w:pStyle w:val="FirstParagraph"/>
      </w:pPr>
      <w:r>
        <w:rPr>
          <w:bCs/>
          <w:b/>
        </w:rPr>
        <w:t xml:space="preserve">References</w:t>
      </w:r>
    </w:p>
    <w:p>
      <w:pPr>
        <w:pStyle w:val="BodyText"/>
      </w:pPr>
      <w:r>
        <w:rPr>
          <w:bCs/>
          <w:b/>
        </w:rPr>
        <w:t xml:space="preserve">Appendix A. Code Artefacts and Reproduction Record</w:t>
      </w:r>
    </w:p>
    <w:p>
      <w:pPr>
        <w:numPr>
          <w:ilvl w:val="0"/>
          <w:numId w:val="1008"/>
        </w:numPr>
        <w:pStyle w:val="Compact"/>
      </w:pPr>
      <w:r>
        <w:t xml:space="preserve">A.1 Availability</w:t>
      </w:r>
    </w:p>
    <w:p>
      <w:pPr>
        <w:numPr>
          <w:ilvl w:val="0"/>
          <w:numId w:val="1008"/>
        </w:numPr>
        <w:pStyle w:val="Compact"/>
      </w:pPr>
      <w:r>
        <w:t xml:space="preserve">A.2 Contents</w:t>
      </w:r>
    </w:p>
    <w:p>
      <w:pPr>
        <w:numPr>
          <w:ilvl w:val="0"/>
          <w:numId w:val="1008"/>
        </w:numPr>
        <w:pStyle w:val="Compact"/>
      </w:pPr>
      <w:r>
        <w:t xml:space="preserve">A.3 Environment and generation provenance</w:t>
      </w:r>
    </w:p>
    <w:p>
      <w:pPr>
        <w:numPr>
          <w:ilvl w:val="0"/>
          <w:numId w:val="1008"/>
        </w:numPr>
        <w:pStyle w:val="Compact"/>
      </w:pPr>
      <w:r>
        <w:t xml:space="preserve">A.4 Software environment</w:t>
      </w:r>
    </w:p>
    <w:p>
      <w:pPr>
        <w:numPr>
          <w:ilvl w:val="0"/>
          <w:numId w:val="1008"/>
        </w:numPr>
        <w:pStyle w:val="Compact"/>
      </w:pPr>
      <w:r>
        <w:t xml:space="preserve">A.5 Exact commands</w:t>
      </w:r>
    </w:p>
    <w:p>
      <w:pPr>
        <w:numPr>
          <w:ilvl w:val="0"/>
          <w:numId w:val="1008"/>
        </w:numPr>
        <w:pStyle w:val="Compact"/>
      </w:pPr>
      <w:r>
        <w:t xml:space="preserve">A.6 What the code does</w:t>
      </w:r>
    </w:p>
    <w:p>
      <w:pPr>
        <w:numPr>
          <w:ilvl w:val="0"/>
          <w:numId w:val="1008"/>
        </w:numPr>
        <w:pStyle w:val="Compact"/>
      </w:pPr>
      <w:r>
        <w:t xml:space="preserve">A.7 Data provenance</w:t>
      </w:r>
    </w:p>
    <w:p>
      <w:pPr>
        <w:numPr>
          <w:ilvl w:val="0"/>
          <w:numId w:val="1008"/>
        </w:numPr>
        <w:pStyle w:val="Compact"/>
      </w:pPr>
      <w:r>
        <w:t xml:space="preserve">A.8 Integrity record</w:t>
      </w:r>
    </w:p>
    <w:p>
      <w:pPr>
        <w:numPr>
          <w:ilvl w:val="0"/>
          <w:numId w:val="1008"/>
        </w:numPr>
        <w:pStyle w:val="Compact"/>
      </w:pPr>
      <w:r>
        <w:t xml:space="preserve">A.9 Known limitations of the artefact</w:t>
      </w:r>
    </w:p>
    <w:p>
      <w:pPr>
        <w:numPr>
          <w:ilvl w:val="0"/>
          <w:numId w:val="1008"/>
        </w:numPr>
        <w:pStyle w:val="Compact"/>
      </w:pPr>
      <w:r>
        <w:t xml:space="preserve">A.10 Source listing:</w:t>
      </w:r>
      <w:r>
        <w:t xml:space="preserve"> </w:t>
      </w:r>
      <w:r>
        <w:rPr>
          <w:rStyle w:val="VerbatimChar"/>
        </w:rPr>
        <w:t xml:space="preserve">trf_checker.py</w:t>
      </w:r>
    </w:p>
    <w:p>
      <w:pPr>
        <w:numPr>
          <w:ilvl w:val="0"/>
          <w:numId w:val="1008"/>
        </w:numPr>
        <w:pStyle w:val="Compact"/>
      </w:pPr>
      <w:r>
        <w:t xml:space="preserve">A.11 Source listing:</w:t>
      </w:r>
      <w:r>
        <w:t xml:space="preserve"> </w:t>
      </w:r>
      <w:r>
        <w:rPr>
          <w:rStyle w:val="VerbatimChar"/>
        </w:rPr>
        <w:t xml:space="preserve">synthea_layer.py</w:t>
      </w:r>
    </w:p>
    <w:p>
      <w:pPr>
        <w:numPr>
          <w:ilvl w:val="0"/>
          <w:numId w:val="1008"/>
        </w:numPr>
        <w:pStyle w:val="Compact"/>
      </w:pPr>
      <w:r>
        <w:t xml:space="preserve">A.12 Source listing:</w:t>
      </w:r>
      <w:r>
        <w:t xml:space="preserve"> </w:t>
      </w:r>
      <w:r>
        <w:rPr>
          <w:rStyle w:val="VerbatimChar"/>
        </w:rPr>
        <w:t xml:space="preserve">norwegian_layer.py</w:t>
      </w:r>
    </w:p>
    <w:p>
      <w:pPr>
        <w:numPr>
          <w:ilvl w:val="0"/>
          <w:numId w:val="1008"/>
        </w:numPr>
        <w:pStyle w:val="Compact"/>
      </w:pPr>
      <w:r>
        <w:t xml:space="preserve">A.13 Source listing:</w:t>
      </w:r>
      <w:r>
        <w:t xml:space="preserve"> </w:t>
      </w:r>
      <w:r>
        <w:rPr>
          <w:rStyle w:val="VerbatimChar"/>
        </w:rPr>
        <w:t xml:space="preserve">cross_sector_check.py</w:t>
      </w:r>
    </w:p>
    <w:p>
      <w:pPr>
        <w:numPr>
          <w:ilvl w:val="0"/>
          <w:numId w:val="1008"/>
        </w:numPr>
        <w:pStyle w:val="Compact"/>
      </w:pPr>
      <w:r>
        <w:t xml:space="preserve">A.14 Source listing:</w:t>
      </w:r>
      <w:r>
        <w:t xml:space="preserve"> </w:t>
      </w:r>
      <w:r>
        <w:rPr>
          <w:rStyle w:val="VerbatimChar"/>
        </w:rPr>
        <w:t xml:space="preserve">app.py</w:t>
      </w:r>
    </w:p>
    <w:p>
      <w:pPr>
        <w:numPr>
          <w:ilvl w:val="0"/>
          <w:numId w:val="1008"/>
        </w:numPr>
        <w:pStyle w:val="Compact"/>
      </w:pPr>
      <w:r>
        <w:t xml:space="preserve">A.15 Source listing:</w:t>
      </w:r>
      <w:r>
        <w:t xml:space="preserve"> </w:t>
      </w:r>
      <w:r>
        <w:rPr>
          <w:rStyle w:val="VerbatimChar"/>
        </w:rPr>
        <w:t xml:space="preserve">crypto_envelope.py</w:t>
      </w:r>
    </w:p>
    <w:p>
      <w:pPr>
        <w:numPr>
          <w:ilvl w:val="0"/>
          <w:numId w:val="1008"/>
        </w:numPr>
        <w:pStyle w:val="Compact"/>
      </w:pPr>
      <w:r>
        <w:t xml:space="preserve">A.16 Console output of the reported run</w:t>
      </w:r>
    </w:p>
    <w:p>
      <w:pPr>
        <w:numPr>
          <w:ilvl w:val="0"/>
          <w:numId w:val="1008"/>
        </w:numPr>
        <w:pStyle w:val="Compact"/>
      </w:pPr>
      <w:r>
        <w:t xml:space="preserve">A.17 Console output of the payload-provenance comparison, full cohort</w:t>
      </w:r>
    </w:p>
    <w:p>
      <w:pPr>
        <w:numPr>
          <w:ilvl w:val="0"/>
          <w:numId w:val="1008"/>
        </w:numPr>
        <w:pStyle w:val="Compact"/>
      </w:pPr>
      <w:r>
        <w:t xml:space="preserve">A.18 Console output of the erasure-response-period witness</w:t>
      </w:r>
    </w:p>
    <w:p>
      <w:pPr>
        <w:numPr>
          <w:ilvl w:val="0"/>
          <w:numId w:val="1008"/>
        </w:numPr>
        <w:pStyle w:val="Compact"/>
      </w:pPr>
      <w:r>
        <w:t xml:space="preserve">A.19 Console output of the Norwegian context module</w:t>
      </w:r>
    </w:p>
    <w:p>
      <w:pPr>
        <w:numPr>
          <w:ilvl w:val="0"/>
          <w:numId w:val="1008"/>
        </w:numPr>
        <w:pStyle w:val="Compact"/>
      </w:pPr>
      <w:r>
        <w:t xml:space="preserve">A.20 Console output of the cross-sector instance</w:t>
      </w:r>
    </w:p>
    <w:p>
      <w:pPr>
        <w:numPr>
          <w:ilvl w:val="0"/>
          <w:numId w:val="1008"/>
        </w:numPr>
        <w:pStyle w:val="Compact"/>
      </w:pPr>
      <w:r>
        <w:t xml:space="preserve">A.21 Console output of the payload-provenance comparison, committed subset</w:t>
      </w:r>
    </w:p>
    <w:p>
      <w:pPr>
        <w:numPr>
          <w:ilvl w:val="0"/>
          <w:numId w:val="1008"/>
        </w:numPr>
        <w:pStyle w:val="Compact"/>
      </w:pPr>
      <w:r>
        <w:t xml:space="preserve">A.22 Console output of the envelope-encryption module</w:t>
      </w:r>
    </w:p>
    <w:p>
      <w:pPr>
        <w:pStyle w:val="FirstParagraph"/>
      </w:pPr>
      <w:r>
        <w:rPr>
          <w:bCs/>
          <w:b/>
        </w:rPr>
        <w:t xml:space="preserve">Appendix B. Search Query Log</w:t>
      </w:r>
    </w:p>
    <w:p>
      <w:pPr>
        <w:pStyle w:val="BodyText"/>
      </w:pPr>
      <w:r>
        <w:rPr>
          <w:bCs/>
          <w:b/>
        </w:rPr>
        <w:t xml:space="preserve">Appendix C. Expert Evaluation Instrument</w:t>
      </w:r>
    </w:p>
    <w:p>
      <w:pPr>
        <w:numPr>
          <w:ilvl w:val="0"/>
          <w:numId w:val="1009"/>
        </w:numPr>
        <w:pStyle w:val="Compact"/>
      </w:pPr>
      <w:r>
        <w:t xml:space="preserve">C.1 Purpose and status</w:t>
      </w:r>
    </w:p>
    <w:p>
      <w:pPr>
        <w:numPr>
          <w:ilvl w:val="0"/>
          <w:numId w:val="1009"/>
        </w:numPr>
        <w:pStyle w:val="Compact"/>
      </w:pPr>
      <w:r>
        <w:t xml:space="preserve">C.2 Panel composition</w:t>
      </w:r>
    </w:p>
    <w:p>
      <w:pPr>
        <w:numPr>
          <w:ilvl w:val="0"/>
          <w:numId w:val="1009"/>
        </w:numPr>
        <w:pStyle w:val="Compact"/>
      </w:pPr>
      <w:r>
        <w:t xml:space="preserve">C.3 Session structure</w:t>
      </w:r>
    </w:p>
    <w:p>
      <w:pPr>
        <w:numPr>
          <w:ilvl w:val="0"/>
          <w:numId w:val="1009"/>
        </w:numPr>
        <w:pStyle w:val="Compact"/>
      </w:pPr>
      <w:r>
        <w:t xml:space="preserve">C.4 Demonstration script</w:t>
      </w:r>
    </w:p>
    <w:p>
      <w:pPr>
        <w:numPr>
          <w:ilvl w:val="0"/>
          <w:numId w:val="1009"/>
        </w:numPr>
        <w:pStyle w:val="Compact"/>
      </w:pPr>
      <w:r>
        <w:t xml:space="preserve">C.5 Semi-structured interview guide</w:t>
      </w:r>
    </w:p>
    <w:p>
      <w:pPr>
        <w:numPr>
          <w:ilvl w:val="0"/>
          <w:numId w:val="1009"/>
        </w:numPr>
        <w:pStyle w:val="Compact"/>
      </w:pPr>
      <w:r>
        <w:t xml:space="preserve">C.6 Closed-response questionnaire</w:t>
      </w:r>
    </w:p>
    <w:p>
      <w:pPr>
        <w:numPr>
          <w:ilvl w:val="0"/>
          <w:numId w:val="1009"/>
        </w:numPr>
        <w:pStyle w:val="Compact"/>
      </w:pPr>
      <w:r>
        <w:t xml:space="preserve">C.7 Analysis</w:t>
      </w:r>
    </w:p>
    <w:p>
      <w:pPr>
        <w:numPr>
          <w:ilvl w:val="0"/>
          <w:numId w:val="1009"/>
        </w:numPr>
        <w:pStyle w:val="Compact"/>
      </w:pPr>
      <w:r>
        <w:t xml:space="preserve">C.8 Data protection, if executed</w:t>
      </w:r>
    </w:p>
    <w:p>
      <w:r>
        <w:pict>
          <v:rect style="width:0;height:1.5pt" o:hralign="center" o:hrstd="t" o:hr="t"/>
        </w:pict>
      </w:r>
    </w:p>
    <w:bookmarkEnd w:id="27"/>
    <w:bookmarkEnd w:id="28"/>
    <w:bookmarkStart w:id="36" w:name="chapter-1.-introduction"/>
    <w:p>
      <w:pPr>
        <w:pStyle w:val="Heading1"/>
      </w:pPr>
      <w:r>
        <w:t xml:space="preserve">Chapter 1. Introduction</w:t>
      </w:r>
    </w:p>
    <w:p>
      <w:r>
        <w:pict>
          <v:rect style="width:0;height:1.5pt" o:hralign="center" o:hrstd="t" o:hr="t"/>
        </w:pict>
      </w:r>
    </w:p>
    <w:bookmarkStart w:id="29"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pilot run by the Norwegian Directorate of Health (Helsedirektoratet) and the Norwegian Health Network (Norsk Helsenett SF) is in production at the emergency clinics (legevakter) in Bodø and Stjørdal, receiving patient summaries for citizens of other participating states, and in 2026 the project began establishing NCP-A, the contact point through which Norwegian health data will be shared abroad (Helsedirektoratet, 2026). No relevant patients had yet presented when the Directorate last reported, so the volume of genuine cross-border audit records generated in Norway is still minimal. Chapter 2, Section 2.2 gives the details.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9"/>
    <w:bookmarkStart w:id="30"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0"/>
    <w:bookmarkStart w:id="31"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itself divided into the accessor’s fields and the link to the patient,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propositions, the mechanism specification in Chapter 4, and the executable demonstration in Chapter 5. SQ3 is addressed through Chapter 4’s integration analysis and Chapter 6’s discussion of implications for Norwegian implementing actors.</w:t>
      </w:r>
    </w:p>
    <w:bookmarkEnd w:id="31"/>
    <w:bookmarkStart w:id="32"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Section 1.1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bookmarkEnd w:id="32"/>
    <w:bookmarkStart w:id="33"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at the one point where it becomes necessary (Chapter 7, Section 7.5).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3"/>
    <w:bookmarkStart w:id="34"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4"/>
    <w:bookmarkStart w:id="35"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(Table 4.1).</w:t>
      </w:r>
    </w:p>
    <w:p>
      <w:pPr>
        <w:pStyle w:val="BodyText"/>
      </w:pPr>
      <w:r>
        <w:rPr>
          <w:iCs/>
          <w:i/>
        </w:rPr>
        <w:t xml:space="preserve">Chapter 5</w:t>
      </w:r>
      <w:r>
        <w:t xml:space="preserve"> </w:t>
      </w:r>
      <w:r>
        <w:t xml:space="preserve">presents the sandbox demonstration: the executable feasibility check, the independent exhaustive cross-check, the audit-log integrity and tamper tests, and the optional run with real envelope encryption.</w:t>
      </w:r>
      <w:r>
        <w:t xml:space="preserve"> </w:t>
      </w:r>
      <w:r>
        <w:rPr>
          <w:iCs/>
          <w:i/>
        </w:rPr>
        <w:t xml:space="preserve">Chapter 6</w:t>
      </w:r>
      <w:r>
        <w:t xml:space="preserve"> </w:t>
      </w:r>
      <w:r>
        <w:t xml:space="preserve">discusses findings and their implications for practice, theory, and policy, engages the principal counter-positions, and tests the model on a statute outside health.</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5"/>
    <w:bookmarkEnd w:id="36"/>
    <w:bookmarkStart w:id="54" w:name="X61356a8dd943f7272c3310c94cfa9c8ca767dda"/>
    <w:p>
      <w:pPr>
        <w:pStyle w:val="Heading1"/>
      </w:pPr>
      <w:r>
        <w:t xml:space="preserve">Chapter 2. Literature Review and Theoretical Foundation</w:t>
      </w:r>
    </w:p>
    <w:p>
      <w:r>
        <w:pict>
          <v:rect style="width:0;height:1.5pt" o:hralign="center" o:hrstd="t" o:hr="t"/>
        </w:pict>
      </w:r>
    </w:p>
    <w:bookmarkStart w:id="44" w:name="review-protocol"/>
    <w:p>
      <w:pPr>
        <w:pStyle w:val="Heading2"/>
      </w:pPr>
      <w:r>
        <w:t xml:space="preserve">2.1 Review Protocol</w:t>
      </w:r>
    </w:p>
    <w:bookmarkStart w:id="37"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7"/>
    <w:bookmarkStart w:id="38"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8"/>
    <w:bookmarkStart w:id="39"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9"/>
    <w:bookmarkStart w:id="40"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is the exploratory reading that preceded the documented rounds. Its queries were not recorded, and it contributes nothing to the absence claim of Section 2.9,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0"/>
    <w:bookmarkStart w:id="41"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1"/>
    <w:bookmarkStart w:id="42"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2"/>
    <w:bookmarkStart w:id="43"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3"/>
    <w:bookmarkEnd w:id="44"/>
    <w:bookmarkStart w:id="45"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5"/>
    <w:bookmarkStart w:id="46"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of why the conflict has not been addressed is procedural.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6"/>
    <w:bookmarkStart w:id="47"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Chapter 4, Section 4.8 keeps the construction and resolves the tension by deciding what an entry may contain.</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7"/>
    <w:bookmarkStart w:id="48"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8"/>
    <w:bookmarkStart w:id="49"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Section 2.2 in production (Helsedirektoratet, 2026), the cross-border audit records this thesis concerns are beginning to be generated in Norway,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9"/>
    <w:bookmarkStart w:id="50"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6.10,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0"/>
    <w:bookmarkStart w:id="51"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rPr>
                <w:iCs/>
                <w:i/>
                <w:bCs/>
                <w:b/>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rPr>
                <w:iCs/>
                <w:i/>
                <w:bCs/>
                <w:b/>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hearing version</w:t>
            </w:r>
          </w:p>
        </w:tc>
        <w:tc>
          <w:tcPr/>
          <w:p>
            <w:pPr>
              <w:pStyle w:val="Compact"/>
              <w:jc w:val="left"/>
            </w:pPr>
            <w:r>
              <w:t xml:space="preserve">No</w:t>
            </w:r>
          </w:p>
        </w:tc>
      </w:tr>
      <w:tr>
        <w:tc>
          <w:tcPr/>
          <w:p>
            <w:pPr>
              <w:pStyle w:val="Compact"/>
              <w:jc w:val="left"/>
            </w:pPr>
            <w:r>
              <w:rPr>
                <w:iCs/>
                <w:i/>
                <w:bCs/>
                <w:b/>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documented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1"/>
    <w:bookmarkStart w:id="52"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2"/>
    <w:bookmarkStart w:id="53"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3"/>
    <w:bookmarkEnd w:id="54"/>
    <w:bookmarkStart w:id="64" w:name="Xc642577019a76bd27fe42ea49bac447856470a9"/>
    <w:p>
      <w:pPr>
        <w:pStyle w:val="Heading1"/>
      </w:pPr>
      <w:r>
        <w:t xml:space="preserve">Chapter 3. Methodology and Research Design</w:t>
      </w:r>
    </w:p>
    <w:p>
      <w:r>
        <w:pict>
          <v:rect style="width:0;height:1.5pt" o:hralign="center" o:hrstd="t" o:hr="t"/>
        </w:pict>
      </w:r>
    </w:p>
    <w:bookmarkStart w:id="55"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5"/>
    <w:bookmarkStart w:id="56"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w:t>
      </w:r>
    </w:p>
    <w:bookmarkEnd w:id="56"/>
    <w:bookmarkStart w:id="57"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Section 3.7 and revisited in Chapter 6.</w:t>
      </w:r>
    </w:p>
    <w:bookmarkEnd w:id="57"/>
    <w:bookmarkStart w:id="58"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propositions,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(Chapter 4, Section 4.3).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(Section 3.7).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8"/>
    <w:bookmarkStart w:id="59"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5.8: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59"/>
    <w:bookmarkStart w:id="60" w:name="sandbox-implementation-approach"/>
    <w:p>
      <w:pPr>
        <w:pStyle w:val="Heading2"/>
      </w:pPr>
      <w:r>
        <w:t xml:space="preserve">3.6 Sandbox Implementation Approach</w:t>
      </w:r>
    </w:p>
    <w:p>
      <w:pPr>
        <w:pStyle w:val="FirstParagraph"/>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5.1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5.1)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w:t>
      </w:r>
      <w:r>
        <w:t xml:space="preserve"> </w:t>
      </w:r>
      <w:r>
        <w:rPr>
          <w:iCs/>
          <w:i/>
        </w:rPr>
        <w:t xml:space="preserve">No zero-knowledge proof system is implemented at any point</w:t>
      </w:r>
      <w:r>
        <w:t xml:space="preserve">,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(Chapter 5, Section 5.5). This is a robustness measure rather than a component of the contribution.</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0"/>
    <w:bookmarkStart w:id="61"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Table 4.1, each row naming its source, what the mechanism does, and whether the artefact executes it or meets it by specification.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Chapter 5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1"/>
    <w:bookmarkStart w:id="62"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2"/>
    <w:bookmarkStart w:id="63"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3"/>
    <w:bookmarkEnd w:id="64"/>
    <w:bookmarkStart w:id="77"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Proposition statements and proofs in this chapter are the author’s own. Regulatory claims are anchored to the primary instruments cited at each point.</w:t>
      </w:r>
    </w:p>
    <w:p>
      <w:r>
        <w:pict>
          <v:rect style="width:0;height:1.5pt" o:hralign="center" o:hrstd="t" o:hr="t"/>
        </w:pict>
      </w:r>
    </w:p>
    <w:bookmarkStart w:id="65"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the semantics implicit in current practice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first rival a reviewer would propose,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5"/>
    <w:bookmarkStart w:id="66"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6"/>
    <w:bookmarkStart w:id="67"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10"/>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10"/>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10"/>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10"/>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10"/>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10"/>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10"/>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11"/>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11"/>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propositions distinguish.</w:t>
      </w:r>
    </w:p>
    <w:bookmarkEnd w:id="67"/>
    <w:bookmarkStart w:id="68"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endChr m:val=")"/>
            <m:sep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endChr m:val=")"/>
            <m:sep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propositions.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8"/>
    <w:bookmarkStart w:id="69"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propositions below establish what follows from each.</w:t>
      </w:r>
    </w:p>
    <w:bookmarkEnd w:id="69"/>
    <w:bookmarkStart w:id="70" w:name="X83ea8ce7f647f6490c0f91608eb9a092fef3911"/>
    <w:p>
      <w:pPr>
        <w:pStyle w:val="Heading2"/>
      </w:pPr>
      <w:r>
        <w:t xml:space="preserve">4.6 Proposition 1: Infeasibility under Plaintext Verifiability</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(Chapter 3, Section 3.7).</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Chapter 6, Section 6.10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endChr m:val=")"/>
            <m:sep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endChr m:val=")"/>
            <m:sepChr m:val=""/>
            <m:grow/>
          </m:dPr>
          <m:e>
            <m:r>
              <m:t>a</m:t>
            </m:r>
          </m:e>
        </m:d>
        <m:r>
          <m:rPr>
            <m:sty m:val="p"/>
          </m:rPr>
          <m:t>+</m:t>
        </m:r>
        <m:r>
          <m:t>L</m:t>
        </m:r>
        <m:r>
          <m:rPr>
            <m:sty m:val="p"/>
          </m:rPr>
          <m:t>&gt;</m:t>
        </m:r>
        <m:r>
          <m:t>t</m:t>
        </m:r>
        <m:d>
          <m:dPr>
            <m:begChr m:val="("/>
            <m:endChr m:val=")"/>
            <m:sepChr m:val=""/>
            <m:grow/>
          </m:dPr>
          <m:e>
            <m:r>
              <m:t>a</m:t>
            </m:r>
          </m:e>
        </m:d>
        <m:r>
          <m:rPr>
            <m:sty m:val="p"/>
          </m:rPr>
          <m:t>+</m:t>
        </m:r>
        <m:r>
          <m:t>F</m:t>
        </m:r>
      </m:oMath>
      <w:r>
        <w:t xml:space="preserve">. Hence (i) if the ceiling is anchored to the same event as the floor,</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endChr m:val=")"/>
            <m:sepChr m:val=""/>
            <m:grow/>
          </m:dPr>
          <m:e>
            <m:r>
              <m:t>a</m:t>
            </m:r>
          </m:e>
        </m:d>
        <m:r>
          <m:rPr>
            <m:sty m:val="p"/>
          </m:rPr>
          <m:t>−</m:t>
        </m:r>
        <m:r>
          <m:t>t</m:t>
        </m:r>
        <m:d>
          <m:dPr>
            <m:begChr m:val="("/>
            <m:endChr m:val=")"/>
            <m:sep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endChr m:val=")"/>
            <m:sepChr m:val=""/>
            <m:grow/>
          </m:dPr>
          <m:e>
            <m:r>
              <m:t>a</m:t>
            </m:r>
          </m:e>
        </m:d>
        <m:r>
          <m:rPr>
            <m:sty m:val="p"/>
          </m:rPr>
          <m:t>+</m:t>
        </m:r>
        <m:r>
          <m:t>F</m:t>
        </m:r>
      </m:oMath>
      <w:r>
        <w:t xml:space="preserve">; the ceiling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endChr m:val=")"/>
            <m:sepChr m:val=""/>
            <m:grow/>
          </m:dPr>
          <m:e>
            <m:r>
              <m:t>a</m:t>
            </m:r>
          </m:e>
        </m:d>
        <m:r>
          <m:rPr>
            <m:sty m:val="p"/>
          </m:rPr>
          <m:t>+</m:t>
        </m:r>
        <m:r>
          <m:t>L</m:t>
        </m:r>
      </m:oMath>
      <w:r>
        <w:t xml:space="preserve">. Since</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oMath>
      <w:r>
        <w:t xml:space="preserve">, some month of the window carries both demands if and only if</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r>
          <m:rPr>
            <m:sty m:val="p"/>
          </m:rPr>
          <m:t>+</m:t>
        </m:r>
        <m:r>
          <m:t>F</m:t>
        </m:r>
      </m:oMath>
      <w:r>
        <w:t xml:space="preserve">. Cases (i) and (ii) substitute</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6.10).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70"/>
    <w:bookmarkStart w:id="71" w:name="X6dfe5408d6382a293db062cfe2ac490646497a6"/>
    <w:p>
      <w:pPr>
        <w:pStyle w:val="Heading2"/>
      </w:pPr>
      <w:r>
        <w:t xml:space="preserve">4.7 Proposition 2: Feasibility under Accountability-Preserving Verifiability</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12"/>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12"/>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12"/>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12"/>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The results of this chapter are stated as propositions rather than propositions, because their proofs are short once the semantics are fixed. The weight of the argument lies elsewhere: in Section 4.2’s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the status quo admits no solution at all. Proposition 2 then shows that a principled and minimal departure suffices. The legal defensibility of Semantics II is argued in Section 4.2 and its want of authority is confronted in Chapter 6, Section 6.2;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Proposition 2 is a mathematical result about a model, and its value is that it converts a question that has been debated qualitatively into one with a definite answer under stated assumptions.</w:t>
      </w:r>
    </w:p>
    <w:bookmarkEnd w:id="71"/>
    <w:bookmarkStart w:id="72" w:name="Xbab0c38be3b68c0190d99bdc4068769bc35fcf9"/>
    <w:p>
      <w:pPr>
        <w:pStyle w:val="Heading2"/>
      </w:pPr>
      <w:r>
        <w:t xml:space="preserve">4.8 The Mechanism: Crypto-Erasure by Invalidation</w:t>
      </w:r>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 This is the hierarchy that key-management guidance prescribes, in which data keys are protected by key-encrypting keys and destruction means removing</w:t>
      </w:r>
      <w:r>
        <w:t xml:space="preserve"> </w:t>
      </w:r>
      <w:r>
        <w:t xml:space="preserve">“</w:t>
      </w:r>
      <w:r>
        <w:t xml:space="preserve">all traces of a cryptographic key so that it cannot be recovered by either physical or electronic means</w:t>
      </w:r>
      <w:r>
        <w:t xml:space="preserve">”</w:t>
      </w:r>
      <w:r>
        <w:t xml:space="preserve"> </w:t>
      </w:r>
      <w:r>
        <w:t xml:space="preserve">(Barker, 2020, Section 2.1).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w:t>
      </w:r>
      <w:r>
        <w:t xml:space="preserve"> </w:t>
      </w:r>
      <w:r>
        <w:t xml:space="preserve">“</w:t>
      </w:r>
      <w:r>
        <w:t xml:space="preserve">its previous existence may be recorded (e.g., in metadata or audit logs)</w:t>
      </w:r>
      <w:r>
        <w:t xml:space="preserve">”</w:t>
      </w:r>
      <w:r>
        <w:t xml:space="preserve"> </w:t>
      </w:r>
      <w:r>
        <w:t xml:space="preserve">(Barker, 2020, Section 7.6). The invalidation entry is that record, given a legal ground and an authorising actor.</w:t>
      </w:r>
    </w:p>
    <w:p>
      <w:pPr>
        <w:pStyle w:val="BodyText"/>
      </w:pPr>
      <w:r>
        <w:rPr>
          <w:iCs/>
          <w:i/>
        </w:rPr>
        <w:t xml:space="preserve">Tamper evidence.</w:t>
      </w:r>
      <w:r>
        <w:t xml:space="preserve"> </w:t>
      </w:r>
      <w:r>
        <w:t xml:space="preserve">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(Chapter 5, Section 5.7). What enters a leaf is chosen so that the log never needs erasing: the accessor fields, the creation month and the commitment, never the payload and never the subject fields. The tension that Chapter 2, Section 2.4 found unresolved in blockchain audit logging, an immutable trail facing an erasure right, therefore does not arise: what the right and the ceiling reach is held outside the log and destroyed there, and what the log holds is what accountability requires.</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2"/>
    <w:bookmarkStart w:id="73" w:name="residue-analysis"/>
    <w:p>
      <w:pPr>
        <w:pStyle w:val="Heading2"/>
      </w:pPr>
      <w:r>
        <w:t xml:space="preserve">4.9 Residue Analysis</w:t>
      </w:r>
    </w:p>
    <w:p>
      <w:pPr>
        <w:pStyle w:val="FirstParagraph"/>
      </w:pPr>
      <w:r>
        <w:t xml:space="preserve">Proposition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the leaf hashes of the audit log 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(Section 6.1).</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3"/>
    <w:bookmarkStart w:id="74" w:name="rival-designs"/>
    <w:p>
      <w:pPr>
        <w:pStyle w:val="Heading2"/>
      </w:pPr>
      <w:r>
        <w:t xml:space="preserve">4.10 Rival Designs</w:t>
      </w:r>
    </w:p>
    <w:p>
      <w:pPr>
        <w:pStyle w:val="FirstParagraph"/>
      </w:pPr>
      <w:r>
        <w:t xml:space="preserve">Six alternative designs are considered.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4"/>
    <w:bookmarkStart w:id="75"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(Helsedirektoratet, 2026), as Chapter 2, Section 2.2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p>
      <w:pPr>
        <w:pStyle w:val="BodyText"/>
      </w:pPr>
      <w:r>
        <w:rPr>
          <w:iCs/>
          <w:i/>
        </w:rPr>
        <w:t xml:space="preserve">Traceability.</w:t>
      </w:r>
      <w:r>
        <w:t xml:space="preserve"> </w:t>
      </w:r>
      <w:r>
        <w:t xml:space="preserve">Table 4.1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BodyText"/>
      </w:pPr>
      <w:r>
        <w:rPr>
          <w:iCs/>
          <w:i/>
        </w:rPr>
        <w:t xml:space="preserve">Table 4.1. Requirements traced to the mechanism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Requirement</w:t>
            </w:r>
          </w:p>
        </w:tc>
        <w:tc>
          <w:tcPr/>
          <w:p>
            <w:pPr>
              <w:pStyle w:val="Compact"/>
              <w:jc w:val="left"/>
            </w:pPr>
            <w:r>
              <w:t xml:space="preserve">Source</w:t>
            </w:r>
          </w:p>
        </w:tc>
        <w:tc>
          <w:tcPr/>
          <w:p>
            <w:pPr>
              <w:pStyle w:val="Compact"/>
              <w:jc w:val="left"/>
            </w:pPr>
            <w:r>
              <w:t xml:space="preserve">What the mechanism does</w:t>
            </w:r>
          </w:p>
        </w:tc>
        <w:tc>
          <w:tcPr/>
          <w:p>
            <w:pPr>
              <w:pStyle w:val="Compact"/>
              <w:jc w:val="left"/>
            </w:pPr>
            <w:r>
              <w:t xml:space="preserve">Where</w:t>
            </w:r>
          </w:p>
        </w:tc>
        <w:tc>
          <w:tcPr/>
          <w:p>
            <w:pPr>
              <w:pStyle w:val="Compact"/>
              <w:jc w:val="left"/>
            </w:pPr>
            <w:r>
              <w:t xml:space="preserve">Status</w:t>
            </w:r>
          </w:p>
        </w:tc>
      </w:tr>
      <w:tr>
        <w:tc>
          <w:tcPr/>
          <w:p>
            <w:pPr>
              <w:pStyle w:val="Compact"/>
              <w:jc w:val="left"/>
            </w:pPr>
            <w:r>
              <w:t xml:space="preserve">Electronic health data within the SPE deleted within six months of permit expiry</w:t>
            </w:r>
          </w:p>
        </w:tc>
        <w:tc>
          <w:tcPr/>
          <w:p>
            <w:pPr>
              <w:pStyle w:val="Compact"/>
              <w:jc w:val="left"/>
            </w:pPr>
            <w:r>
              <w:t xml:space="preserve">EHDS Art. 68(12)</w:t>
            </w:r>
          </w:p>
        </w:tc>
        <w:tc>
          <w:tcPr/>
          <w:p>
            <w:pPr>
              <w:pStyle w:val="Compact"/>
              <w:jc w:val="left"/>
            </w:pPr>
            <w:r>
              <w:t xml:space="preserve">Payload key, salt and ciphertext destroyed at</w:t>
            </w:r>
            <w:r>
              <w:t xml:space="preserve"> </w:t>
            </w:r>
            <m:oMath>
              <m:sSub>
                <m:e>
                  <m:r>
                    <m:t>t</m:t>
                  </m:r>
                </m:e>
                <m:sub>
                  <m:r>
                    <m:t>π</m:t>
                  </m:r>
                </m:sub>
              </m:sSub>
              <m:r>
                <m:rPr>
                  <m:sty m:val="p"/>
                </m:rPr>
                <m:t>+</m:t>
              </m:r>
              <m:r>
                <m:t>6</m:t>
              </m:r>
            </m:oMath>
            <w:r>
              <w:t xml:space="preserve">; subject fields of patient-level logs removed at the same month</w:t>
            </w:r>
          </w:p>
        </w:tc>
        <w:tc>
          <w:tcPr/>
          <w:p>
            <w:pPr>
              <w:pStyle w:val="Compact"/>
              <w:jc w:val="left"/>
            </w:pPr>
            <w:r>
              <w:t xml:space="preserve">§4.7 steps 2–4;</w:t>
            </w:r>
            <w:r>
              <w:t xml:space="preserve"> </w:t>
            </w:r>
            <w:r>
              <w:rPr>
                <w:rStyle w:val="VerbatimChar"/>
              </w:rPr>
              <w:t xml:space="preserve">apply_invalidation()</w:t>
            </w:r>
          </w:p>
        </w:tc>
        <w:tc>
          <w:tcPr/>
          <w:p>
            <w:pPr>
              <w:pStyle w:val="Compact"/>
              <w:jc w:val="left"/>
            </w:pPr>
            <w:r>
              <w:t xml:space="preserve">Met in the artefact (C3 over</w:t>
            </w:r>
            <w:r>
              <w:t xml:space="preserve"> </w:t>
            </w:r>
            <m:oMath>
              <m:r>
                <m:t>α</m:t>
              </m:r>
            </m:oMath>
            <w:r>
              <w:t xml:space="preserve"> </w:t>
            </w:r>
            <w:r>
              <w:t xml:space="preserve">and</w:t>
            </w:r>
            <w:r>
              <w:t xml:space="preserve"> </w:t>
            </w:r>
            <m:oMath>
              <m:r>
                <m:t>β</m:t>
              </m:r>
            </m:oMath>
            <w:r>
              <w:t xml:space="preserve">: 0 violations)</w:t>
            </w:r>
          </w:p>
        </w:tc>
      </w:tr>
      <w:tr>
        <w:tc>
          <w:tcPr/>
          <w:p>
            <w:pPr>
              <w:pStyle w:val="Compact"/>
              <w:jc w:val="left"/>
            </w:pPr>
            <w:r>
              <w:t xml:space="preserve">Same,</w:t>
            </w:r>
            <w:r>
              <w:t xml:space="preserve"> </w:t>
            </w:r>
            <w:r>
              <w:t xml:space="preserve">“</w:t>
            </w:r>
            <w:r>
              <w:t xml:space="preserve">deleted or rendered unrecoverable … including any backups or redundant copies</w:t>
            </w:r>
            <w:r>
              <w:t xml:space="preserve">”</w:t>
            </w:r>
          </w:p>
        </w:tc>
        <w:tc>
          <w:tcPr/>
          <w:p>
            <w:pPr>
              <w:pStyle w:val="Compact"/>
              <w:jc w:val="left"/>
            </w:pPr>
            <w:r>
              <w:t xml:space="preserve">TEHDAS2 D7.4, Table 5.2, OPR-6, p. 43</w:t>
            </w:r>
          </w:p>
        </w:tc>
        <w:tc>
          <w:tcPr/>
          <w:p>
            <w:pPr>
              <w:pStyle w:val="Compact"/>
              <w:jc w:val="left"/>
            </w:pPr>
            <w:r>
              <w:t xml:space="preserve">Key destruction renders copies the store cannot delete at once unrecoverable</w:t>
            </w:r>
          </w:p>
        </w:tc>
        <w:tc>
          <w:tcPr/>
          <w:p>
            <w:pPr>
              <w:pStyle w:val="Compact"/>
              <w:jc w:val="left"/>
            </w:pPr>
            <w:r>
              <w:t xml:space="preserve">§4.8</w:t>
            </w:r>
            <w:r>
              <w:t xml:space="preserve"> </w:t>
            </w:r>
            <w:r>
              <w:rPr>
                <w:iCs/>
                <w:i/>
              </w:rPr>
              <w:t xml:space="preserve">Ciphertext</w:t>
            </w:r>
            <w:r>
              <w:t xml:space="preserve">;</w:t>
            </w:r>
            <w:r>
              <w:t xml:space="preserve"> </w:t>
            </w:r>
            <w:r>
              <w:rPr>
                <w:rStyle w:val="VerbatimChar"/>
              </w:rPr>
              <w:t xml:space="preserve">crypto_envelope.py</w:t>
            </w:r>
          </w:p>
        </w:tc>
        <w:tc>
          <w:tcPr/>
          <w:p>
            <w:pPr>
              <w:pStyle w:val="Compact"/>
              <w:jc w:val="left"/>
            </w:pPr>
            <w:r>
              <w:t xml:space="preserve">Met in the optional module with real AES-256-GCM (138 of 138 refused); destruction in program memory, not hardware (§4.9, §6.3)</w:t>
            </w:r>
          </w:p>
        </w:tc>
      </w:tr>
      <w:tr>
        <w:tc>
          <w:tcPr/>
          <w:p>
            <w:pPr>
              <w:pStyle w:val="Compact"/>
              <w:jc w:val="left"/>
            </w:pPr>
            <w:r>
              <w:t xml:space="preserve">Identifiable logs of access and activities, kept for the period needed to audit, at least one year</w:t>
            </w:r>
          </w:p>
        </w:tc>
        <w:tc>
          <w:tcPr/>
          <w:p>
            <w:pPr>
              <w:pStyle w:val="Compact"/>
              <w:jc w:val="left"/>
            </w:pPr>
            <w:r>
              <w:t xml:space="preserve">EHDS Art. 73(1)(e)</w:t>
            </w:r>
          </w:p>
        </w:tc>
        <w:tc>
          <w:tcPr/>
          <w:p>
            <w:pPr>
              <w:pStyle w:val="Compact"/>
              <w:jc w:val="left"/>
            </w:pPr>
            <w:r>
              <w:t xml:space="preserve">Accessor fields kept identifiable for the full floor; activity committed</w:t>
            </w:r>
          </w:p>
        </w:tc>
        <w:tc>
          <w:tcPr/>
          <w:p>
            <w:pPr>
              <w:pStyle w:val="Compact"/>
              <w:jc w:val="left"/>
            </w:pPr>
            <w:r>
              <w:t xml:space="preserve">§4.3, §4.7;</w:t>
            </w:r>
            <w:r>
              <w:t xml:space="preserve"> </w:t>
            </w:r>
            <w:r>
              <w:rPr>
                <w:rStyle w:val="VerbatimChar"/>
              </w:rPr>
              <w:t xml:space="preserve">V_II()</w:t>
            </w:r>
          </w:p>
        </w:tc>
        <w:tc>
          <w:tcPr/>
          <w:p>
            <w:pPr>
              <w:pStyle w:val="Compact"/>
              <w:jc w:val="left"/>
            </w:pPr>
            <w:r>
              <w:t xml:space="preserve">Met in the artefact (C1 under Semantics II: 0 violations)</w:t>
            </w:r>
          </w:p>
        </w:tc>
      </w:tr>
      <w:tr>
        <w:tc>
          <w:tcPr/>
          <w:p>
            <w:pPr>
              <w:pStyle w:val="Compact"/>
              <w:jc w:val="left"/>
            </w:pPr>
            <w:r>
              <w:t xml:space="preserve">“</w:t>
            </w:r>
            <w:r>
              <w:t xml:space="preserve">All SPE logs MUST identify the actor</w:t>
            </w:r>
            <w:r>
              <w:t xml:space="preserve">”</w:t>
            </w:r>
          </w:p>
        </w:tc>
        <w:tc>
          <w:tcPr/>
          <w:p>
            <w:pPr>
              <w:pStyle w:val="Compact"/>
              <w:jc w:val="left"/>
            </w:pPr>
            <w:r>
              <w:t xml:space="preserve">D7.4, Table 5.1, EHDSR-7, p. 31</w:t>
            </w:r>
          </w:p>
        </w:tc>
        <w:tc>
          <w:tcPr/>
          <w:p>
            <w:pPr>
              <w:pStyle w:val="Compact"/>
              <w:jc w:val="left"/>
            </w:pPr>
            <w:r>
              <w:t xml:space="preserve">Actor is an accessor field, never removed within the floor</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w:t>
            </w:r>
            <w:r>
              <w:t xml:space="preserve">All SPE logs MUST be kept at least for one year</w:t>
            </w:r>
            <w:r>
              <w:t xml:space="preserve">”</w:t>
            </w:r>
          </w:p>
        </w:tc>
        <w:tc>
          <w:tcPr/>
          <w:p>
            <w:pPr>
              <w:pStyle w:val="Compact"/>
              <w:jc w:val="left"/>
            </w:pPr>
            <w:r>
              <w:t xml:space="preserve">D7.4, Table 5.1, EHDSR-8, p. 31; OPR-18, p. 51 (five years recommended)</w:t>
            </w:r>
          </w:p>
        </w:tc>
        <w:tc>
          <w:tcPr/>
          <w:p>
            <w:pPr>
              <w:pStyle w:val="Compact"/>
              <w:jc w:val="left"/>
            </w:pPr>
            <w:r>
              <w:t xml:space="preserve">Floor parameter</w:t>
            </w:r>
            <w:r>
              <w:t xml:space="preserve"> </w:t>
            </w:r>
            <m:oMath>
              <m:r>
                <m:t>F</m:t>
              </m:r>
              <m:r>
                <m:rPr>
                  <m:sty m:val="p"/>
                </m:rPr>
                <m:t>=</m:t>
              </m:r>
              <m:r>
                <m:t>12</m:t>
              </m:r>
            </m:oMath>
            <w:r>
              <w:t xml:space="preserve">; any longer value is a parameter change (Corollary 2.2)</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Logs available for verification and auditing</w:t>
            </w:r>
          </w:p>
        </w:tc>
        <w:tc>
          <w:tcPr/>
          <w:p>
            <w:pPr>
              <w:pStyle w:val="Compact"/>
              <w:jc w:val="left"/>
            </w:pPr>
            <w:r>
              <w:t xml:space="preserve">D7.4, Table 5.1, EHDSR-6, p. 31; OPR-8, p. 46</w:t>
            </w:r>
          </w:p>
        </w:tc>
        <w:tc>
          <w:tcPr/>
          <w:p>
            <w:pPr>
              <w:pStyle w:val="Compact"/>
              <w:jc w:val="left"/>
            </w:pPr>
            <w:r>
              <w:t xml:space="preserve">Every access, invalidation and subject-link removal in an append-only Merkle log; inclusion proofs</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(200/200 verify; tamper tests fail)</w:t>
            </w:r>
          </w:p>
        </w:tc>
      </w:tr>
      <w:tr>
        <w:tc>
          <w:tcPr/>
          <w:p>
            <w:pPr>
              <w:pStyle w:val="Compact"/>
              <w:jc w:val="left"/>
            </w:pPr>
            <w:r>
              <w:t xml:space="preserve">Logs protected against tampering</w:t>
            </w:r>
          </w:p>
        </w:tc>
        <w:tc>
          <w:tcPr/>
          <w:p>
            <w:pPr>
              <w:pStyle w:val="Compact"/>
              <w:jc w:val="left"/>
            </w:pPr>
            <w:r>
              <w:t xml:space="preserve">D7.4, Table 5.4, OPR-17, and OPR-18, p. 51</w:t>
            </w:r>
          </w:p>
        </w:tc>
        <w:tc>
          <w:tcPr/>
          <w:p>
            <w:pPr>
              <w:pStyle w:val="Compact"/>
              <w:jc w:val="left"/>
            </w:pPr>
            <w:r>
              <w:t xml:space="preserve">Append-only Merkle log; an altered entry fails its inclusion proof</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(both tamper tests fail</w:t>
            </w:r>
            <w:r>
              <w:t xml:space="preserve"> </w:t>
            </w:r>
            <m:oMath>
              <m:sSup>
                <m:e>
                  <m:r>
                    <m:t>V</m:t>
                  </m:r>
                </m:e>
                <m:sup>
                  <m:r>
                    <m:t>I</m:t>
                  </m:r>
                  <m:r>
                    <m:t>I</m:t>
                  </m:r>
                </m:sup>
              </m:sSup>
            </m:oMath>
            <w:r>
              <w:t xml:space="preserve">)</w:t>
            </w:r>
          </w:p>
        </w:tc>
      </w:tr>
      <w:tr>
        <w:tc>
          <w:tcPr/>
          <w:p>
            <w:pPr>
              <w:pStyle w:val="Compact"/>
              <w:jc w:val="left"/>
            </w:pPr>
            <w:r>
              <w:t xml:space="preserve">Logging proportionate; no unnecessary detail on user behaviour; must cover access to electronic health data</w:t>
            </w:r>
          </w:p>
        </w:tc>
        <w:tc>
          <w:tcPr/>
          <w:p>
            <w:pPr>
              <w:pStyle w:val="Compact"/>
              <w:jc w:val="left"/>
            </w:pPr>
            <w:r>
              <w:t xml:space="preserve">D7.4, Table 5.4, OPR-17, p. 51</w:t>
            </w:r>
          </w:p>
        </w:tc>
        <w:tc>
          <w:tcPr/>
          <w:p>
            <w:pPr>
              <w:pStyle w:val="Compact"/>
              <w:jc w:val="left"/>
            </w:pPr>
            <w:r>
              <w:t xml:space="preserve">Accessor fields kept; subject fields only where the log is kept per patient record, and removed at the ceiling</w:t>
            </w:r>
          </w:p>
        </w:tc>
        <w:tc>
          <w:tcPr/>
          <w:p>
            <w:pPr>
              <w:pStyle w:val="Compact"/>
              <w:jc w:val="left"/>
            </w:pPr>
            <w:r>
              <w:t xml:space="preserve">§4.3, §4.10 Rival 3</w:t>
            </w:r>
          </w:p>
        </w:tc>
        <w:tc>
          <w:tcPr/>
          <w:p>
            <w:pPr>
              <w:pStyle w:val="Compact"/>
              <w:jc w:val="left"/>
            </w:pPr>
            <w:r>
              <w:t xml:space="preserve">Met by specification; granularity is the operator’s choice, which the specification leaves open</w:t>
            </w:r>
          </w:p>
        </w:tc>
      </w:tr>
      <w:tr>
        <w:tc>
          <w:tcPr/>
          <w:p>
            <w:pPr>
              <w:pStyle w:val="Compact"/>
              <w:jc w:val="left"/>
            </w:pPr>
            <w:r>
              <w:t xml:space="preserve">Deletion</w:t>
            </w:r>
            <w:r>
              <w:t xml:space="preserve"> </w:t>
            </w:r>
            <w:r>
              <w:t xml:space="preserve">“</w:t>
            </w:r>
            <w:r>
              <w:t xml:space="preserve">while ensuring compliance with applicable legal obligations and traceability or reproducibility requirements</w:t>
            </w:r>
            <w:r>
              <w:t xml:space="preserve">”</w:t>
            </w:r>
            <w:r>
              <w:t xml:space="preserve">; the deletion and retention policy to</w:t>
            </w:r>
            <w:r>
              <w:t xml:space="preserve"> </w:t>
            </w:r>
            <w:r>
              <w:t xml:space="preserve">“</w:t>
            </w:r>
            <w:r>
              <w:t xml:space="preserve">balance these obligations</w:t>
            </w:r>
            <w:r>
              <w:t xml:space="preserve">”</w:t>
            </w:r>
          </w:p>
        </w:tc>
        <w:tc>
          <w:tcPr/>
          <w:p>
            <w:pPr>
              <w:pStyle w:val="Compact"/>
              <w:jc w:val="left"/>
            </w:pPr>
            <w:r>
              <w:t xml:space="preserve">D7.4, Table 5.2, OPR-6, p. 43</w:t>
            </w:r>
          </w:p>
        </w:tc>
        <w:tc>
          <w:tcPr/>
          <w:p>
            <w:pPr>
              <w:pStyle w:val="Compact"/>
              <w:jc w:val="left"/>
            </w:pPr>
            <w:r>
              <w:t xml:space="preserve">Supplies the balance for the logs: what accountability needs is kept, what the ceiling reaches is invalidated</w:t>
            </w:r>
          </w:p>
        </w:tc>
        <w:tc>
          <w:tcPr/>
          <w:p>
            <w:pPr>
              <w:pStyle w:val="Compact"/>
              <w:jc w:val="left"/>
            </w:pPr>
            <w:r>
              <w:t xml:space="preserve">§4.7, §4.8</w:t>
            </w:r>
          </w:p>
        </w:tc>
        <w:tc>
          <w:tcPr/>
          <w:p>
            <w:pPr>
              <w:pStyle w:val="Compact"/>
              <w:jc w:val="left"/>
            </w:pPr>
            <w:r>
              <w:t xml:space="preserve">Met by specification: the specification asks for the balance and leaves its form open</w:t>
            </w:r>
          </w:p>
        </w:tc>
      </w:tr>
      <w:tr>
        <w:tc>
          <w:tcPr/>
          <w:p>
            <w:pPr>
              <w:pStyle w:val="Compact"/>
              <w:jc w:val="left"/>
            </w:pPr>
            <w:r>
              <w:t xml:space="preserve">Whether the audit purpose needs the subject link after the ceiling</w:t>
            </w:r>
          </w:p>
        </w:tc>
        <w:tc>
          <w:tcPr/>
          <w:p>
            <w:pPr>
              <w:pStyle w:val="Compact"/>
              <w:jc w:val="left"/>
            </w:pPr>
            <w:r>
              <w:t xml:space="preserve">EHDS Art. 73(1)(e) read with Art. 68(12)</w:t>
            </w:r>
          </w:p>
        </w:tc>
        <w:tc>
          <w:tcPr/>
          <w:p>
            <w:pPr>
              <w:pStyle w:val="Compact"/>
              <w:jc w:val="left"/>
            </w:pPr>
            <w:r>
              <w:t xml:space="preserve">Removes it; keeps accessor fields</w:t>
            </w:r>
          </w:p>
        </w:tc>
        <w:tc>
          <w:tcPr/>
          <w:p>
            <w:pPr>
              <w:pStyle w:val="Compact"/>
              <w:jc w:val="left"/>
            </w:pPr>
            <w:r>
              <w:t xml:space="preserve">§4.6, §7.4</w:t>
            </w:r>
          </w:p>
        </w:tc>
        <w:tc>
          <w:tcPr/>
          <w:p>
            <w:pPr>
              <w:pStyle w:val="Compact"/>
              <w:jc w:val="left"/>
            </w:pPr>
            <w:r>
              <w:t xml:space="preserve">Open: interpretation for the supervisory authority</w:t>
            </w:r>
          </w:p>
        </w:tc>
      </w:tr>
      <w:tr>
        <w:tc>
          <w:tcPr/>
          <w:p>
            <w:pPr>
              <w:pStyle w:val="Compact"/>
              <w:jc w:val="left"/>
            </w:pPr>
            <w:r>
              <w:t xml:space="preserve">Erasure without undue delay, within one month (extendable by two)</w:t>
            </w:r>
          </w:p>
        </w:tc>
        <w:tc>
          <w:tcPr/>
          <w:p>
            <w:pPr>
              <w:pStyle w:val="Compact"/>
              <w:jc w:val="left"/>
            </w:pPr>
            <w:r>
              <w:t xml:space="preserve">GDPR Arts. 17(1), 12(3)</w:t>
            </w:r>
          </w:p>
        </w:tc>
        <w:tc>
          <w:tcPr/>
          <w:p>
            <w:pPr>
              <w:pStyle w:val="Compact"/>
              <w:jc w:val="left"/>
            </w:pPr>
            <w:r>
              <w:t xml:space="preserve">Invalidation at</w:t>
            </w:r>
            <w:r>
              <w:t xml:space="preserve"> </w:t>
            </w:r>
            <m:oMath>
              <m:sSub>
                <m:e>
                  <m:r>
                    <m:t>t</m:t>
                  </m:r>
                </m:e>
                <m:sub>
                  <m:r>
                    <m:t>r</m:t>
                  </m:r>
                </m:sub>
              </m:sSub>
              <m:r>
                <m:rPr>
                  <m:sty m:val="p"/>
                </m:rPr>
                <m:t>+</m:t>
              </m:r>
              <m:r>
                <m:t>δ</m:t>
              </m:r>
            </m:oMath>
            <w:r>
              <w:t xml:space="preserve">,</w:t>
            </w:r>
            <w:r>
              <w:t xml:space="preserve"> </w:t>
            </w:r>
            <m:oMath>
              <m:r>
                <m:t>δ</m:t>
              </m:r>
              <m:r>
                <m:rPr>
                  <m:sty m:val="p"/>
                </m:rPr>
                <m:t>∈</m:t>
              </m:r>
              <m:r>
                <m:rPr>
                  <m:sty m:val="p"/>
                </m:rPr>
                <m:t>{</m:t>
              </m:r>
              <m:r>
                <m:t>1</m:t>
              </m:r>
              <m:r>
                <m:rPr>
                  <m:sty m:val="p"/>
                </m:rPr>
                <m:t>,</m:t>
              </m:r>
              <m:r>
                <m:t>3</m:t>
              </m:r>
              <m:r>
                <m:rPr>
                  <m:sty m:val="p"/>
                </m:rPr>
                <m:t>}</m:t>
              </m:r>
            </m:oMath>
          </w:p>
        </w:tc>
        <w:tc>
          <w:tcPr/>
          <w:p>
            <w:pPr>
              <w:pStyle w:val="Compact"/>
              <w:jc w:val="left"/>
            </w:pPr>
            <w:r>
              <w:t xml:space="preserve">§4.4 C2;</w:t>
            </w:r>
            <w:r>
              <w:t xml:space="preserve"> </w:t>
            </w:r>
            <w:r>
              <w:rPr>
                <w:rStyle w:val="VerbatimChar"/>
              </w:rPr>
              <w:t xml:space="preserve">--delta-witness</w:t>
            </w:r>
          </w:p>
        </w:tc>
        <w:tc>
          <w:tcPr/>
          <w:p>
            <w:pPr>
              <w:pStyle w:val="Compact"/>
              <w:jc w:val="left"/>
            </w:pPr>
            <w:r>
              <w:t xml:space="preserve">Met in the artefact (both</w:t>
            </w:r>
            <w:r>
              <w:t xml:space="preserve"> </w:t>
            </w:r>
            <m:oMath>
              <m:r>
                <m:t>δ</m:t>
              </m:r>
            </m:oMath>
            <w:r>
              <w:t xml:space="preserve">)</w:t>
            </w:r>
          </w:p>
        </w:tc>
      </w:tr>
      <w:tr>
        <w:tc>
          <w:tcPr/>
          <w:p>
            <w:pPr>
              <w:pStyle w:val="Compact"/>
              <w:jc w:val="left"/>
            </w:pPr>
            <w:r>
              <w:t xml:space="preserve">Retention only as far as the legal obligation requires</w:t>
            </w:r>
          </w:p>
        </w:tc>
        <w:tc>
          <w:tcPr/>
          <w:p>
            <w:pPr>
              <w:pStyle w:val="Compact"/>
              <w:jc w:val="left"/>
            </w:pPr>
            <w:r>
              <w:t xml:space="preserve">GDPR Arts. 17(3)(b), 5(1)(c)</w:t>
            </w:r>
          </w:p>
        </w:tc>
        <w:tc>
          <w:tcPr/>
          <w:p>
            <w:pPr>
              <w:pStyle w:val="Compact"/>
              <w:jc w:val="left"/>
            </w:pPr>
            <w:r>
              <w:t xml:space="preserve">Keeps accountability content and commitment; removes payload</w:t>
            </w:r>
          </w:p>
        </w:tc>
        <w:tc>
          <w:tcPr/>
          <w:p>
            <w:pPr>
              <w:pStyle w:val="Compact"/>
              <w:jc w:val="left"/>
            </w:pPr>
            <w:r>
              <w:t xml:space="preserve">§4.2</w:t>
            </w:r>
          </w:p>
        </w:tc>
        <w:tc>
          <w:tcPr/>
          <w:p>
            <w:pPr>
              <w:pStyle w:val="Compact"/>
              <w:jc w:val="left"/>
            </w:pPr>
            <w:r>
              <w:t xml:space="preserve">Met by specification (necessity argument)</w:t>
            </w:r>
          </w:p>
        </w:tc>
      </w:tr>
      <w:tr>
        <w:tc>
          <w:tcPr/>
          <w:p>
            <w:pPr>
              <w:pStyle w:val="Compact"/>
              <w:jc w:val="left"/>
            </w:pPr>
            <w:r>
              <w:t xml:space="preserve">Not kept in identifiable form longer than necessary</w:t>
            </w:r>
          </w:p>
        </w:tc>
        <w:tc>
          <w:tcPr/>
          <w:p>
            <w:pPr>
              <w:pStyle w:val="Compact"/>
              <w:jc w:val="left"/>
            </w:pPr>
            <w:r>
              <w:t xml:space="preserve">GDPR Art. 5(1)(e)</w:t>
            </w:r>
          </w:p>
        </w:tc>
        <w:tc>
          <w:tcPr/>
          <w:p>
            <w:pPr>
              <w:pStyle w:val="Compact"/>
              <w:jc w:val="left"/>
            </w:pPr>
            <w:r>
              <w:t xml:space="preserve">Terminal transition after the floor</w:t>
            </w:r>
          </w:p>
        </w:tc>
        <w:tc>
          <w:tcPr/>
          <w:p>
            <w:pPr>
              <w:pStyle w:val="Compact"/>
              <w:jc w:val="left"/>
            </w:pPr>
            <w:r>
              <w:t xml:space="preserve">§4.8</w:t>
            </w:r>
            <w:r>
              <w:t xml:space="preserve"> </w:t>
            </w:r>
            <w:r>
              <w:rPr>
                <w:iCs/>
                <w:i/>
              </w:rPr>
              <w:t xml:space="preserve">End of life</w:t>
            </w:r>
          </w:p>
        </w:tc>
        <w:tc>
          <w:tcPr/>
          <w:p>
            <w:pPr>
              <w:pStyle w:val="Compact"/>
              <w:jc w:val="left"/>
            </w:pPr>
            <w:r>
              <w:t xml:space="preserve">Met by specification; not implemented in the checker (§6.1)</w:t>
            </w:r>
          </w:p>
        </w:tc>
      </w:tr>
      <w:tr>
        <w:tc>
          <w:tcPr/>
          <w:p>
            <w:pPr>
              <w:pStyle w:val="Compact"/>
              <w:jc w:val="left"/>
            </w:pPr>
            <w:r>
              <w:t xml:space="preserve">Key deletion may serve erasure where physical deletion is not possible; threat model documented</w:t>
            </w:r>
          </w:p>
        </w:tc>
        <w:tc>
          <w:tcPr/>
          <w:p>
            <w:pPr>
              <w:pStyle w:val="Compact"/>
              <w:jc w:val="left"/>
            </w:pPr>
            <w:r>
              <w:t xml:space="preserve">EDPB Guidelines 02/2025 v2.0; Aikebaier (2026) on the threat model</w:t>
            </w:r>
          </w:p>
        </w:tc>
        <w:tc>
          <w:tcPr/>
          <w:p>
            <w:pPr>
              <w:pStyle w:val="Compact"/>
              <w:jc w:val="left"/>
            </w:pPr>
            <w:r>
              <w:t xml:space="preserve">Per-record keys under a key-encrypting key; trust assumptions stated</w:t>
            </w:r>
          </w:p>
        </w:tc>
        <w:tc>
          <w:tcPr/>
          <w:p>
            <w:pPr>
              <w:pStyle w:val="Compact"/>
              <w:jc w:val="left"/>
            </w:pPr>
            <w:r>
              <w:t xml:space="preserve">§4.8, §4.9;</w:t>
            </w:r>
            <w:r>
              <w:t xml:space="preserve"> </w:t>
            </w:r>
            <w:r>
              <w:rPr>
                <w:rStyle w:val="VerbatimChar"/>
              </w:rPr>
              <w:t xml:space="preserve">crypto_envelope.py</w:t>
            </w:r>
          </w:p>
        </w:tc>
        <w:tc>
          <w:tcPr/>
          <w:p>
            <w:pPr>
              <w:pStyle w:val="Compact"/>
              <w:jc w:val="left"/>
            </w:pPr>
            <w:r>
              <w:t xml:space="preserve">Hierarchy met in the optional module; hardware custody and the threat model by specification</w:t>
            </w:r>
          </w:p>
        </w:tc>
      </w:tr>
      <w:tr>
        <w:tc>
          <w:tcPr/>
          <w:p>
            <w:pPr>
              <w:pStyle w:val="Compact"/>
              <w:jc w:val="left"/>
            </w:pPr>
            <w:r>
              <w:t xml:space="preserve">Audit message records the query segment</w:t>
            </w:r>
          </w:p>
        </w:tc>
        <w:tc>
          <w:tcPr/>
          <w:p>
            <w:pPr>
              <w:pStyle w:val="Compact"/>
              <w:jc w:val="left"/>
            </w:pPr>
            <w:r>
              <w:t xml:space="preserve">IHE ITI-55, §3.55.5.1</w:t>
            </w:r>
          </w:p>
        </w:tc>
        <w:tc>
          <w:tcPr/>
          <w:p>
            <w:pPr>
              <w:pStyle w:val="Compact"/>
              <w:jc w:val="left"/>
            </w:pPr>
            <w:r>
              <w:t xml:space="preserve">Treated as payload: committed, then invalidated on request</w:t>
            </w:r>
          </w:p>
        </w:tc>
        <w:tc>
          <w:tcPr/>
          <w:p>
            <w:pPr>
              <w:pStyle w:val="Compact"/>
              <w:jc w:val="left"/>
            </w:pPr>
            <w:r>
              <w:t xml:space="preserve">§4.3</w:t>
            </w:r>
          </w:p>
        </w:tc>
        <w:tc>
          <w:tcPr/>
          <w:p>
            <w:pPr>
              <w:pStyle w:val="Compact"/>
              <w:jc w:val="left"/>
            </w:pPr>
            <w:r>
              <w:t xml:space="preserve">Met in the artefact (cross-border payload models the query)</w:t>
            </w:r>
          </w:p>
        </w:tc>
      </w:tr>
      <w:tr>
        <w:tc>
          <w:tcPr/>
          <w:p>
            <w:pPr>
              <w:pStyle w:val="Compact"/>
              <w:jc w:val="left"/>
            </w:pPr>
            <w:r>
              <w:t xml:space="preserve">Information-security management system (mandatory); ISO 27001 (recommended); eID login at defined assurance levels; personnel security</w:t>
            </w:r>
          </w:p>
        </w:tc>
        <w:tc>
          <w:tcPr/>
          <w:p>
            <w:pPr>
              <w:pStyle w:val="Compact"/>
              <w:jc w:val="left"/>
            </w:pPr>
            <w:r>
              <w:t xml:space="preserve">SPUHiN (2025), hearing version</w:t>
            </w:r>
          </w:p>
        </w:tc>
        <w:tc>
          <w:tcPr/>
          <w:p>
            <w:pPr>
              <w:pStyle w:val="Compact"/>
              <w:jc w:val="left"/>
            </w:pPr>
            <w:r>
              <w:t xml:space="preserve">Requires none of these to change; operates at the logging boundary</w:t>
            </w:r>
          </w:p>
        </w:tc>
        <w:tc>
          <w:tcPr/>
          <w:p>
            <w:pPr>
              <w:pStyle w:val="Compact"/>
              <w:jc w:val="left"/>
            </w:pPr>
            <w:r>
              <w:t xml:space="preserve">§4.11</w:t>
            </w:r>
          </w:p>
        </w:tc>
        <w:tc>
          <w:tcPr/>
          <w:p>
            <w:pPr>
              <w:pStyle w:val="Compact"/>
              <w:jc w:val="left"/>
            </w:pPr>
            <w:r>
              <w:t xml:space="preserve">No conflict</w:t>
            </w:r>
          </w:p>
        </w:tc>
      </w:tr>
      <w:tr>
        <w:tc>
          <w:tcPr/>
          <w:p>
            <w:pPr>
              <w:pStyle w:val="Compact"/>
              <w:jc w:val="left"/>
            </w:pPr>
            <w:r>
              <w:t xml:space="preserve">Reconciliation of log retention with deletion</w:t>
            </w:r>
          </w:p>
        </w:tc>
        <w:tc>
          <w:tcPr/>
          <w:p>
            <w:pPr>
              <w:pStyle w:val="Compact"/>
              <w:jc w:val="left"/>
            </w:pPr>
            <w:r>
              <w:t xml:space="preserve">SPUHiN (2025), hearing version</w:t>
            </w:r>
          </w:p>
        </w:tc>
        <w:tc>
          <w:tcPr/>
          <w:p>
            <w:pPr>
              <w:pStyle w:val="Compact"/>
              <w:jc w:val="left"/>
            </w:pPr>
            <w:r>
              <w:t xml:space="preserve">Not addressed by the criteria at any grade; the mechanism supplies one</w:t>
            </w:r>
          </w:p>
        </w:tc>
        <w:tc>
          <w:tcPr/>
          <w:p>
            <w:pPr>
              <w:pStyle w:val="Compact"/>
              <w:jc w:val="left"/>
            </w:pPr>
            <w:r>
              <w:t xml:space="preserve">§2.6, §4.11</w:t>
            </w:r>
          </w:p>
        </w:tc>
        <w:tc>
          <w:tcPr/>
          <w:p>
            <w:pPr>
              <w:pStyle w:val="Compact"/>
              <w:jc w:val="left"/>
            </w:pPr>
            <w:r>
              <w:t xml:space="preserve">Gap the thesis addresses</w:t>
            </w:r>
          </w:p>
        </w:tc>
      </w:tr>
    </w:tbl>
    <w:p>
      <w:pPr>
        <w:pStyle w:val="BodyText"/>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Chapter 3, Section 3.8 is designed to test with practitioners.</w:t>
      </w:r>
    </w:p>
    <w:bookmarkEnd w:id="75"/>
    <w:bookmarkStart w:id="76"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both propositions executably, over synthetic records generated as described in Chapter 3.</w:t>
      </w:r>
    </w:p>
    <w:p>
      <w:r>
        <w:pict>
          <v:rect style="width:0;height:1.5pt" o:hralign="center" o:hrstd="t" o:hr="t"/>
        </w:pict>
      </w:r>
    </w:p>
    <w:bookmarkEnd w:id="76"/>
    <w:bookmarkEnd w:id="77"/>
    <w:bookmarkStart w:id="86"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8"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w:t>
      </w:r>
    </w:p>
    <w:p>
      <w:pPr>
        <w:pStyle w:val="BodyText"/>
      </w:pPr>
      <w:r>
        <w:t xml:space="preserve">The chapter demonstrates that Propositions 1 and 2 of Chapter 4 hold on the instances examined; Propositions 3 and 4 are analytic and are not executed here, although Section 5.4 computes the condition of Proposition 3.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The demonstration produces thirty-nine such witnesses.</w:t>
      </w:r>
    </w:p>
    <w:bookmarkEnd w:id="78"/>
    <w:bookmarkStart w:id="79" w:name="implementation"/>
    <w:p>
      <w:pPr>
        <w:pStyle w:val="Heading2"/>
      </w:pPr>
      <w:r>
        <w:t xml:space="preserve">5.2 Implementation</w:t>
      </w:r>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The checker uses no cryptographic library, no solver, and no zero-knowledge proof system, consistent with the scope commitments of Chapter 1, Section 1.5; the optional envelope-encryption module below is the only component that imports one.</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5.1.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Constraint evaluation under both semantics, plus the independent exhaustive cross-check and the audit-log integrity check</w:t>
            </w:r>
          </w:p>
        </w:tc>
        <w:tc>
          <w:tcPr/>
          <w:p>
            <w:pPr>
              <w:pStyle w:val="Compact"/>
              <w:jc w:val="left"/>
            </w:pPr>
            <w:r>
              <w:t xml:space="preserve">Yes — Tables 5.3, 5.5, 5.6</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5.7</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6.10</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671</w:t>
            </w:r>
          </w:p>
        </w:tc>
        <w:tc>
          <w:tcPr/>
          <w:p>
            <w:pPr>
              <w:pStyle w:val="Compact"/>
              <w:jc w:val="left"/>
            </w:pPr>
            <w:r>
              <w:t xml:space="preserve">Six-tab viewer over the artefact; never a source of results</w:t>
            </w:r>
          </w:p>
        </w:tc>
        <w:tc>
          <w:tcPr/>
          <w:p>
            <w:pPr>
              <w:pStyle w:val="Compact"/>
              <w:jc w:val="left"/>
            </w:pPr>
            <w:r>
              <w:t xml:space="preserve">No</w:t>
            </w:r>
          </w:p>
        </w:tc>
      </w:tr>
      <w:tr>
        <w:tc>
          <w:tcPr/>
          <w:p>
            <w:pPr>
              <w:pStyle w:val="Compact"/>
              <w:jc w:val="left"/>
            </w:pPr>
            <w:r>
              <w:rPr>
                <w:rStyle w:val="VerbatimChar"/>
              </w:rPr>
              <w:t xml:space="preserve">crypto_envelope.py</w:t>
            </w:r>
          </w:p>
        </w:tc>
        <w:tc>
          <w:tcPr/>
          <w:p>
            <w:pPr>
              <w:pStyle w:val="Compact"/>
              <w:jc w:val="left"/>
            </w:pPr>
            <w:r>
              <w:t xml:space="preserve">118</w:t>
            </w:r>
          </w:p>
        </w:tc>
        <w:tc>
          <w:tcPr/>
          <w:p>
            <w:pPr>
              <w:pStyle w:val="Compact"/>
              <w:jc w:val="left"/>
            </w:pPr>
            <w:r>
              <w:t xml:space="preserve">Optional: the same lifecycle with real AES-256-GCM envelope encryption (needs</w:t>
            </w:r>
            <w:r>
              <w:t xml:space="preserve"> </w:t>
            </w:r>
            <w:r>
              <w:rPr>
                <w:rStyle w:val="VerbatimChar"/>
              </w:rPr>
              <w:t xml:space="preserve">cryptography</w:t>
            </w:r>
            <w:r>
              <w:t xml:space="preserve">)</w:t>
            </w:r>
          </w:p>
        </w:tc>
        <w:tc>
          <w:tcPr/>
          <w:p>
            <w:pPr>
              <w:pStyle w:val="Compact"/>
              <w:jc w:val="left"/>
            </w:pPr>
            <w:r>
              <w:t xml:space="preserve">No</w:t>
            </w:r>
          </w:p>
        </w:tc>
      </w:tr>
    </w:tbl>
    <w:p>
      <w:pPr>
        <w:pStyle w:val="BodyText"/>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Table 5.7.</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13"/>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13"/>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5.2.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5.8 reports the comparison between the two.</w:t>
      </w:r>
    </w:p>
    <w:bookmarkEnd w:id="79"/>
    <w:bookmarkStart w:id="80"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5.3.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Table 5.2 and are not estimates of real frequency; in particular, the generator treats every erasure request as valid, whereas many would be lawfully refused under Article 17(3) (Chapter 3, Section 3.7).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record,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inversion has a simple mechanism: the secondary pathway carries more constraints.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0"/>
    <w:bookmarkStart w:id="81"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broad reading of Article 68(12), and for logs kept at patient-record granularity (Chapter 4, Section 4.6),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w:t>
      </w:r>
    </w:p>
    <w:p>
      <w:pPr>
        <w:pStyle w:val="BodyText"/>
      </w:pPr>
      <w:r>
        <w:t xml:space="preserve">The fifty per cent figure has a structural explanation.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the condition of Proposition 3(ii) with</w:t>
      </w:r>
      <w:r>
        <w:t xml:space="preserve"> </w:t>
      </w:r>
      <m:oMath>
        <m:r>
          <m:t>F</m:t>
        </m:r>
        <m:r>
          <m:rPr>
            <m:sty m:val="p"/>
          </m:rPr>
          <m:t>=</m:t>
        </m:r>
        <m:r>
          <m:t>12</m:t>
        </m:r>
      </m:oMath>
      <w:r>
        <w:t xml:space="preserve">,</w:t>
      </w:r>
      <w:r>
        <w:t xml:space="preserve"> </w:t>
      </w:r>
      <m:oMath>
        <m:r>
          <m:t>L</m:t>
        </m:r>
        <m:r>
          <m:rPr>
            <m:sty m:val="p"/>
          </m:rPr>
          <m:t>=</m:t>
        </m:r>
        <m:r>
          <m:t>6</m:t>
        </m:r>
      </m:oMath>
      <w:r>
        <w:t xml:space="preserve"> </w:t>
      </w:r>
      <w:r>
        <w:t xml:space="preserve">and the ceiling anchored to permit expiry. Permit lengths were drawn uniformly from one to twelve months, so half the draws fall at or below six. The figure is therefore a consequence of the permit-length distribution; what the demonstration establishes is that the collision arises under ordinary parameters rather than contrived ones. Nor was the twelve-month horizon chosen to produce it: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Proposition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1"/>
    <w:bookmarkStart w:id="82"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5.4.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demonstration where a parameter was altered for tractability.</w:t>
      </w:r>
    </w:p>
    <w:bookmarkEnd w:id="82"/>
    <w:bookmarkStart w:id="83" w:name="witness-at-the-extended-response-period"/>
    <w:p>
      <w:pPr>
        <w:pStyle w:val="Heading2"/>
      </w:pPr>
      <w:r>
        <w:t xml:space="preserve">5.6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BodyText"/>
      </w:pPr>
      <w:r>
        <w:rPr>
          <w:iCs/>
          <w:i/>
        </w:rPr>
        <w:t xml:space="preserve">Table 5.5.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3"/>
    <w:bookmarkStart w:id="84" w:name="results-under-semantics-ii"/>
    <w:p>
      <w:pPr>
        <w:pStyle w:val="Heading2"/>
      </w:pPr>
      <w:r>
        <w:t xml:space="preserve">5.7 Results under Semantics II</w:t>
      </w:r>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5.6.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A.16). The Semantics II result of Table 5.6 therefore rests on a check that can fail, which the earlier presence test could not.</w:t>
      </w:r>
    </w:p>
    <w:bookmarkEnd w:id="84"/>
    <w:bookmarkStart w:id="85" w:name="X118c29104845627cee32a0e9a3002454d83401c"/>
    <w:p>
      <w:pPr>
        <w:pStyle w:val="Heading2"/>
      </w:pPr>
      <w:r>
        <w:t xml:space="preserve">5.8 What the Demonstration Establishes, and What It Does Not</w:t>
      </w:r>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5.6 holds by construction: the checker derives payload accessibility from the same invalidation month that the trajectory of Proposition 2 prescribes, so zero violations is the expected outcome, and a failure would expose an implementation error and not a modelling error. The rates of Table 5.3 are read as Section 5.3 states.</w:t>
      </w:r>
    </w:p>
    <w:p>
      <w:pPr>
        <w:pStyle w:val="BodyText"/>
      </w:pPr>
      <w:r>
        <w:rPr>
          <w:iCs/>
          <w:i/>
        </w:rPr>
        <w:t xml:space="preserve">Payload provenance.</w:t>
      </w:r>
      <w:r>
        <w:t xml:space="preserve"> </w:t>
      </w:r>
      <w:r>
        <w:t xml:space="preserve">The realism layer specified in Chapter 3, Section 3.6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A.17). All two hundred commitments change, confirming that the payloads genuinely differ.</w:t>
      </w:r>
    </w:p>
    <w:p>
      <w:pPr>
        <w:pStyle w:val="BodyText"/>
      </w:pPr>
      <w:r>
        <w:rPr>
          <w:iCs/>
          <w:i/>
        </w:rPr>
        <w:t xml:space="preserve">Table 5.7.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Chapter 1 made for it: the artefact behaves as specified, and Propositions 1 and 2 are checkable by a reader who declines to take the proofs on trust. Chapter 6 takes up what follows from them.</w:t>
      </w:r>
    </w:p>
    <w:p>
      <w:r>
        <w:pict>
          <v:rect style="width:0;height:1.5pt" o:hralign="center" o:hrstd="t" o:hr="t"/>
        </w:pict>
      </w:r>
    </w:p>
    <w:bookmarkEnd w:id="85"/>
    <w:bookmarkEnd w:id="86"/>
    <w:bookmarkStart w:id="99" w:name="chapter-6.-discussion"/>
    <w:p>
      <w:pPr>
        <w:pStyle w:val="Heading1"/>
      </w:pPr>
      <w:r>
        <w:t xml:space="preserve">Chapter 6. Discussion</w:t>
      </w:r>
    </w:p>
    <w:p>
      <w:r>
        <w:pict>
          <v:rect style="width:0;height:1.5pt" o:hralign="center" o:hrstd="t" o:hr="t"/>
        </w:pict>
      </w:r>
    </w:p>
    <w:bookmarkStart w:id="87" w:name="what-the-thesis-establishes"/>
    <w:p>
      <w:pPr>
        <w:pStyle w:val="Heading2"/>
      </w:pPr>
      <w:r>
        <w:t xml:space="preserve">6.1 What the Thesis Establishes</w:t>
      </w:r>
    </w:p>
    <w:p>
      <w:pPr>
        <w:pStyle w:val="FirstParagraph"/>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across the full population of two hundred, cross-border records included, ninety records were infeasible under Semantics I, most of them through erasure requests (Chapter 5, Table 5.3). 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Section 4.8 specifies and the checker does not implement; nor does it implement the per-entry nonce that keeps surviving leaf hashes from confirming guesses (Chapter 4, Section 4.9).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7"/>
    <w:bookmarkStart w:id="88" w:name="the-authority-problem"/>
    <w:p>
      <w:pPr>
        <w:pStyle w:val="Heading2"/>
      </w:pPr>
      <w:r>
        <w:t xml:space="preserve">6.2 The Authority Problem</w:t>
      </w:r>
    </w:p>
    <w:p>
      <w:pPr>
        <w:pStyle w:val="FirstParagraph"/>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w:t>
      </w:r>
      <w:r>
        <w:t xml:space="preserve">and leaves the deletion and retention policy to</w:t>
      </w:r>
      <w:r>
        <w:t xml:space="preserve"> </w:t>
      </w:r>
      <w:r>
        <w:t xml:space="preserve">“</w:t>
      </w:r>
      <w:r>
        <w:t xml:space="preserve">balance these obligations</w:t>
      </w:r>
      <w:r>
        <w:t xml:space="preserve">”</w:t>
      </w:r>
      <w:r>
        <w:t xml:space="preserve"> </w:t>
      </w:r>
      <w:r>
        <w:t xml:space="preserve">(TEHDAS2, 2026, Table 5.2, OPR-6, p. 43), and it records that further guidance is needed on how accountability and anonymisation obligations intersect (Annex 7, p. 96). A specification that asks for a balance it does not define has not adopted plaintext verifiability; Table 4.1 sets out one balance requirement by requirement.</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Chapter 4, Section 4.6.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8"/>
    <w:bookmarkStart w:id="89"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(Chapter 4, Section 4.8).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(Chapter 5, Section 5.8),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89"/>
    <w:bookmarkStart w:id="90"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0"/>
    <w:bookmarkStart w:id="91"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w:t>
      </w:r>
      <w:r>
        <w:t xml:space="preserve"> </w:t>
      </w:r>
      <m:oMath>
        <m:r>
          <m:t>n</m:t>
        </m:r>
      </m:oMath>
      <w:r>
        <w:t xml:space="preserve"> </w:t>
      </w:r>
      <w:r>
        <w:t xml:space="preserve">entries needs about</w:t>
      </w:r>
      <w:r>
        <w:t xml:space="preserve"> </w:t>
      </w:r>
      <m:oMath>
        <m:sSub>
          <m:e>
            <m:r>
              <m:rPr>
                <m:sty m:val="p"/>
              </m:rPr>
              <m:t>log</m:t>
            </m:r>
          </m:e>
          <m:sub>
            <m:r>
              <m:t>2</m:t>
            </m:r>
          </m:sub>
        </m:sSub>
        <m:r>
          <m:t>n</m:t>
        </m:r>
      </m:oMath>
      <w:r>
        <w:t xml:space="preserve"> </w:t>
      </w:r>
      <w:r>
        <w:t xml:space="preserve">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w:t>
      </w:r>
      <w:r>
        <w:t xml:space="preserve"> </w:t>
      </w:r>
      <w:r>
        <w:rPr>
          <w:iCs/>
          <w:i/>
        </w:rPr>
        <w:t xml:space="preserve">not</w:t>
      </w:r>
      <w:r>
        <w:t xml:space="preserve"> </w:t>
      </w:r>
      <w:r>
        <w:t xml:space="preserve">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1"/>
    <w:bookmarkStart w:id="92"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2"/>
    <w:bookmarkStart w:id="93"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all two hundred commitments and no reported figure (Chapter 5, Section 5.8, Table 5.7), as it must, since no constraint in the TRF Model reads payload content.</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3"/>
    <w:bookmarkStart w:id="94"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corrected picture of Norwegian cross-border operations reinforces rather than weakens this. Norway’s National Contact Point is in live pilot operation, but no relevant patients had yet presented when the Directorate last reported (Helsedirektoratet, 2026), as Chapter 2, Section 2.2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(Section 6.2). Table 4.1 is written in the specification’s own requirement identifiers so that it can be read as a proposal against them.</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4"/>
    <w:bookmarkStart w:id="95"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6.10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5"/>
    <w:bookmarkStart w:id="96" w:name="Xf98bccb8ca371ce0fd1679988a5911c6b05ad19"/>
    <w:p>
      <w:pPr>
        <w:pStyle w:val="Heading2"/>
      </w:pPr>
      <w:r>
        <w:t xml:space="preserve">6.10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(Chapter 4,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6"/>
    <w:bookmarkStart w:id="97" w:name="boundaries-as-contribution"/>
    <w:p>
      <w:pPr>
        <w:pStyle w:val="Heading2"/>
      </w:pPr>
      <w:r>
        <w:t xml:space="preserve">6.11 Boundaries as Contribution</w:t>
      </w:r>
    </w:p>
    <w:p>
      <w:pPr>
        <w:pStyle w:val="FirstParagraph"/>
      </w:pPr>
      <w:r>
        <w:t xml:space="preserve">The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(Chapter 2, Section 2.4; Chapter 4, Section 4.10). The interpretive move at the centre of the thesis is an argument without authority behind it. None of these was claimed, so none of them reduces what was: a contribution that states its boundaries can be checked at them.</w:t>
      </w:r>
    </w:p>
    <w:bookmarkEnd w:id="97"/>
    <w:bookmarkStart w:id="98" w:name="summary-1"/>
    <w:p>
      <w:pPr>
        <w:pStyle w:val="Heading2"/>
      </w:pPr>
      <w:r>
        <w:t xml:space="preserve">6.12 Summary</w:t>
      </w:r>
    </w:p>
    <w:p>
      <w:pPr>
        <w:pStyle w:val="FirstParagraph"/>
      </w:pPr>
      <w:r>
        <w:t xml:space="preserve">The thesis establishes that audit-retention floors, the right to erasure and the deletion ceiling conflict only under an assumption about verifiability, and not because of the obligations themselves; that, on the broad reading of Article 68(12) and for logs kept at patient-record granularity, the conflict arises inside the European Health Data Space Regulation with no data subject acting; that a ceiling collides with a floor exactly when Proposition 3 says, and that relocation escapes the ceiling but not the right (Proposition 4). It exhibits the mechanism that dissolves the conflict and demonstrates Propositions 1 and 2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8"/>
    <w:bookmarkEnd w:id="99"/>
    <w:bookmarkStart w:id="106" w:name="chapter-7.-conclusion"/>
    <w:p>
      <w:pPr>
        <w:pStyle w:val="Heading1"/>
      </w:pPr>
      <w:r>
        <w:t xml:space="preserve">Chapter 7. Conclusion</w:t>
      </w:r>
    </w:p>
    <w:p>
      <w:r>
        <w:pict>
          <v:rect style="width:0;height:1.5pt" o:hralign="center" o:hrstd="t" o:hr="t"/>
        </w:pict>
      </w:r>
    </w:p>
    <w:bookmarkStart w:id="100"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collides with a retention floor exactly when 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ceiling. 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0"/>
    <w:bookmarkStart w:id="101"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Feasibility results with an executable witness.</w:t>
      </w:r>
      <w:r>
        <w:t xml:space="preserve"> </w:t>
      </w:r>
      <w:r>
        <w:t xml:space="preserve">Proposition 1 establishes infeasibility under the status-quo semantics; Proposition 2 establishes satisfiability under the alternative and exhibits the trajectory that achieves it. Proposition 3 gives the condition under which a ceiling and a floor collide, which the cross-sector test of Chapter 6, Section 6.10 confirmed on a statute outside health; Proposition 4 shows why relocation answers the ceiling and not the right.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(Chapter 5, Section 5.7).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Table 4.1 traces the mechanism to each requirement of the regulation and of the Joint Action’s specification it touches, and places it in the activity-monitoring component of the specification’s reference architecture.</w:t>
      </w:r>
    </w:p>
    <w:bookmarkEnd w:id="101"/>
    <w:bookmarkStart w:id="102"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102"/>
    <w:bookmarkStart w:id="103"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whether Article 68(12), which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reaches, on the broad reading, access logs kept at patient-record granularity (Chapter 4, Section 4.6). Corollary 1.2 stands or falls with this question, and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3"/>
    <w:bookmarkStart w:id="104"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and the audit log of Chapter 4, Section 4.8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and Chapter 6, Section 6.10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bookmarkEnd w:id="104"/>
    <w:bookmarkStart w:id="105"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p>
      <w:r>
        <w:pict>
          <v:rect style="width:0;height:1.5pt" o:hralign="center" o:hrstd="t" o:hr="t"/>
        </w:pict>
      </w:r>
    </w:p>
    <w:bookmarkEnd w:id="105"/>
    <w:bookmarkEnd w:id="106"/>
    <w:bookmarkStart w:id="107"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Barker, E. (2020).</w:t>
      </w:r>
      <w:r>
        <w:t xml:space="preserve"> </w:t>
      </w:r>
      <w:r>
        <w:rPr>
          <w:iCs/>
          <w:i/>
        </w:rPr>
        <w:t xml:space="preserve">Recommendation for key management: Part 1 – General</w:t>
      </w:r>
      <w:r>
        <w:t xml:space="preserve"> </w:t>
      </w:r>
      <w:r>
        <w:t xml:space="preserve">(NIST Special Publication 800-57 Part 1, Rev. 5). National Institute of Standards and Technology. https://doi.org/10.6028/NIST.SP.800-57pt1r5</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Boneh, D., &amp; Lipton, R. J. (1996). A revocable backup system. In</w:t>
      </w:r>
      <w:r>
        <w:t xml:space="preserve"> </w:t>
      </w:r>
      <w:r>
        <w:rPr>
          <w:iCs/>
          <w:i/>
        </w:rPr>
        <w:t xml:space="preserve">Proceedings of the 6th USENIX Security Symposium</w:t>
      </w:r>
      <w:r>
        <w:t xml:space="preserve"> </w:t>
      </w:r>
      <w:r>
        <w:t xml:space="preserve">(pp. 91–96). USENIX Association. https://www.usenix.org/legacy/publications/library/proceedings/sec96/boneh.html</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Crosby, S. A., &amp; Wallach, D. S. (2009). Efficient data structures for tamper-evident logging. In</w:t>
      </w:r>
      <w:r>
        <w:t xml:space="preserve"> </w:t>
      </w:r>
      <w:r>
        <w:rPr>
          <w:iCs/>
          <w:i/>
        </w:rPr>
        <w:t xml:space="preserve">Proceedings of the 18th USENIX Security Symposium</w:t>
      </w:r>
      <w:r>
        <w:t xml:space="preserve"> </w:t>
      </w:r>
      <w:r>
        <w:t xml:space="preserve">(pp. 317–334). USENIX Association. https://www.usenix.org/legacy/events/sec09/tech/full_papers/crosby.pdf</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Dworkin, M. J. (2007).</w:t>
      </w:r>
      <w:r>
        <w:t xml:space="preserve"> </w:t>
      </w:r>
      <w:r>
        <w:rPr>
          <w:iCs/>
          <w:i/>
        </w:rPr>
        <w:t xml:space="preserve">Recommendation for block cipher modes of operation: Galois/Counter Mode (GCM) and GMAC</w:t>
      </w:r>
      <w:r>
        <w:t xml:space="preserve"> </w:t>
      </w:r>
      <w:r>
        <w:t xml:space="preserve">(NIST Special Publication 800-38D). National Institute of Standards and Technology. https://doi.org/10.6028/NIST.SP.800-38D</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Gabizon, A., Williamson, Z. J., &amp; Ciobotaru, O. (2019).</w:t>
      </w:r>
      <w:r>
        <w:t xml:space="preserve"> </w:t>
      </w:r>
      <w:r>
        <w:rPr>
          <w:iCs/>
          <w:i/>
        </w:rPr>
        <w:t xml:space="preserve">PLONK: Permutations over Lagrange-bases for oecumenical noninteractive arguments of knowledge</w:t>
      </w:r>
      <w:r>
        <w:t xml:space="preserve"> </w:t>
      </w:r>
      <w:r>
        <w:t xml:space="preserve">(Cryptology ePrint Archive, Paper 2019/953). https://eprint.iacr.org/2019/953</w:t>
      </w:r>
    </w:p>
    <w:p>
      <w:pPr>
        <w:pStyle w:val="BodyText"/>
      </w:pPr>
      <w:r>
        <w:t xml:space="preserve">Groth, J. (2016). On the size of pairing-based non-interactive arguments. In</w:t>
      </w:r>
      <w:r>
        <w:t xml:space="preserve"> </w:t>
      </w:r>
      <w:r>
        <w:rPr>
          <w:iCs/>
          <w:i/>
        </w:rPr>
        <w:t xml:space="preserve">Advances in Cryptology — EUROCRYPT 2016</w:t>
      </w:r>
      <w:r>
        <w:t xml:space="preserve"> </w:t>
      </w:r>
      <w:r>
        <w:t xml:space="preserve">(LNCS 9666, pp. 305–326). Springer. https://doi.org/10.1007/978-3-662-49896-5_11</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Laurie, B. (2014). Certificate transparency.</w:t>
      </w:r>
      <w:r>
        <w:t xml:space="preserve"> </w:t>
      </w:r>
      <w:r>
        <w:rPr>
          <w:iCs/>
          <w:i/>
        </w:rPr>
        <w:t xml:space="preserve">Communications of the ACM, 57</w:t>
      </w:r>
      <w:r>
        <w:t xml:space="preserve">(10), 40–46. https://doi.org/10.1145/2659897</w:t>
      </w:r>
    </w:p>
    <w:p>
      <w:pPr>
        <w:pStyle w:val="BodyText"/>
      </w:pPr>
      <w:r>
        <w:t xml:space="preserve">Laurie, B., Langley, A., &amp; Kasper, E. (2013).</w:t>
      </w:r>
      <w:r>
        <w:t xml:space="preserve"> </w:t>
      </w:r>
      <w:r>
        <w:rPr>
          <w:iCs/>
          <w:i/>
        </w:rPr>
        <w:t xml:space="preserve">Certificate Transparency</w:t>
      </w:r>
      <w:r>
        <w:t xml:space="preserve"> </w:t>
      </w:r>
      <w:r>
        <w:t xml:space="preserve">(RFC 6962). RFC Editor. https://doi.org/10.17487/RFC6962</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Merkle, R. C. (1988). A digital signature based on a conventional encryption function. In C. Pomerance (Ed.),</w:t>
      </w:r>
      <w:r>
        <w:t xml:space="preserve"> </w:t>
      </w:r>
      <w:r>
        <w:rPr>
          <w:iCs/>
          <w:i/>
        </w:rPr>
        <w:t xml:space="preserve">Advances in Cryptology — CRYPTO ’87</w:t>
      </w:r>
      <w:r>
        <w:t xml:space="preserve"> </w:t>
      </w:r>
      <w:r>
        <w:t xml:space="preserve">(LNCS 293, pp. 369–378). Springer. https://doi.org/10.1007/3-540-48184-2_32</w:t>
      </w:r>
    </w:p>
    <w:p>
      <w:pPr>
        <w:pStyle w:val="BodyText"/>
      </w:pPr>
      <w:r>
        <w:t xml:space="preserve">National Institute of Standards and Technology. (2019).</w:t>
      </w:r>
      <w:r>
        <w:t xml:space="preserve"> </w:t>
      </w:r>
      <w:r>
        <w:rPr>
          <w:iCs/>
          <w:i/>
        </w:rPr>
        <w:t xml:space="preserve">Security requirements for cryptographic modules</w:t>
      </w:r>
      <w:r>
        <w:t xml:space="preserve"> </w:t>
      </w:r>
      <w:r>
        <w:t xml:space="preserve">(Federal Information Processing Standards Publication 140-3). U.S. Department of Commerce. https://doi.org/10.6028/NIST.FIPS.140-3</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Schneier, B., &amp; Kelsey, J. (1999). Secure audit logs to support computer forensics.</w:t>
      </w:r>
      <w:r>
        <w:t xml:space="preserve"> </w:t>
      </w:r>
      <w:r>
        <w:rPr>
          <w:iCs/>
          <w:i/>
        </w:rPr>
        <w:t xml:space="preserve">ACM Transactions on Information and System Security, 2</w:t>
      </w:r>
      <w:r>
        <w:t xml:space="preserve">(2), 159–176. https://doi.org/10.1145/317087.317089</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7"/>
    <w:bookmarkStart w:id="132"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8"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six tabs. Tab 1 runs the thesis configuration, reproduces Tables 5.3 and 5.6, and shows the audit-log integrity check and both tamper tests of Section 5.7. Tab 2 varies population parameters as a teaching aid and is explicitly outside the thesis claims. Tab 3 runs the realism layer and reproduces Table 5.7. Tab 4 runs the Norwegian context modules, which are illustrative and report no thesis figure. Tab 5 runs the robustness checks: the independent exhaustive cross-check of Section 5.5, the erasure-response-period witness of Section 5.6, and the optional envelope-encryption module of Section 5.8. Tab 6 evaluates the condition of Proposition 3 for any floor and ceiling, with Article 68(12) and politiregisterloven § 17 as presets.</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8"/>
    <w:bookmarkStart w:id="109" w:name="a.2-contents"/>
    <w:p>
      <w:pPr>
        <w:pStyle w:val="Heading2"/>
      </w:pPr>
      <w:r>
        <w:t xml:space="preserve">A.2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Propositions 1 and 2, including the independent exhaustive cross-check and the audit-log integrity check</w:t>
            </w:r>
          </w:p>
        </w:tc>
        <w:tc>
          <w:tcPr/>
          <w:p>
            <w:pPr>
              <w:pStyle w:val="Compact"/>
              <w:jc w:val="left"/>
            </w:pPr>
            <w:r>
              <w:t xml:space="preserve">533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Six-tab demonstration viewer over the artefact, never a source of results</w:t>
            </w:r>
          </w:p>
        </w:tc>
        <w:tc>
          <w:tcPr/>
          <w:p>
            <w:pPr>
              <w:pStyle w:val="Compact"/>
              <w:jc w:val="left"/>
            </w:pPr>
            <w:r>
              <w:t xml:space="preserve">671</w:t>
            </w:r>
          </w:p>
        </w:tc>
      </w:tr>
      <w:tr>
        <w:tc>
          <w:tcPr/>
          <w:p>
            <w:pPr>
              <w:pStyle w:val="Compact"/>
              <w:jc w:val="left"/>
            </w:pPr>
            <w:r>
              <w:rPr>
                <w:rStyle w:val="VerbatimChar"/>
              </w:rPr>
              <w:t xml:space="preserve">crypto_envelope.py</w:t>
            </w:r>
          </w:p>
        </w:tc>
        <w:tc>
          <w:tcPr/>
          <w:p>
            <w:pPr>
              <w:pStyle w:val="Compact"/>
              <w:jc w:val="left"/>
            </w:pPr>
            <w:r>
              <w:t xml:space="preserve">Optional: the same lifecycle with real AES-256-GCM envelope encryption; needs the</w:t>
            </w:r>
            <w:r>
              <w:t xml:space="preserve"> </w:t>
            </w:r>
            <w:r>
              <w:rPr>
                <w:rStyle w:val="VerbatimChar"/>
              </w:rPr>
              <w:t xml:space="preserve">cryptography</w:t>
            </w:r>
            <w:r>
              <w:t xml:space="preserve"> </w:t>
            </w:r>
            <w:r>
              <w:t xml:space="preserve">package and reports no thesis figure</w:t>
            </w:r>
          </w:p>
        </w:tc>
        <w:tc>
          <w:tcPr/>
          <w:p>
            <w:pPr>
              <w:pStyle w:val="Compact"/>
              <w:jc w:val="left"/>
            </w:pPr>
            <w:r>
              <w:t xml:space="preserve">118</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A.5, deterministically, under the seeds given. The eight-bundle subset that is included is drawn from that cohort and is sufficient to run the realism layer; Chapter 5, Section 5.8 reports the comparison at both cohort sizes and finds every figure identical.</w:t>
      </w:r>
    </w:p>
    <w:bookmarkEnd w:id="109"/>
    <w:bookmarkStart w:id="110" w:name="X20b72384906d28028a424f180cf911ab99ef6d5"/>
    <w:p>
      <w:pPr>
        <w:pStyle w:val="Heading2"/>
      </w:pPr>
      <w:r>
        <w:t xml:space="preserve">A.3 Environment and generation provenance</w:t>
      </w:r>
    </w:p>
    <w:p>
      <w:pPr>
        <w:pStyle w:val="FirstParagraph"/>
      </w:pPr>
      <w:r>
        <w:t xml:space="preserve">The synthetic cohort was generated by the official Synthea release jar, downloaded from the project’s own GitHub releases and executed with the command in Section A.5.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0"/>
    <w:bookmarkStart w:id="111" w:name="a.4-software-environment"/>
    <w:p>
      <w:pPr>
        <w:pStyle w:val="Heading2"/>
      </w:pPr>
      <w:r>
        <w:t xml:space="preserve">A.4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1"/>
    <w:bookmarkStart w:id="112" w:name="a.5-exact-commands"/>
    <w:p>
      <w:pPr>
        <w:pStyle w:val="Heading2"/>
      </w:pPr>
      <w:r>
        <w:t xml:space="preserve">A.5 Exact commands</w:t>
      </w:r>
    </w:p>
    <w:p>
      <w:pPr>
        <w:pStyle w:val="FirstParagraph"/>
      </w:pPr>
      <w:r>
        <w:rPr>
          <w:iCs/>
          <w:i/>
        </w:rPr>
        <w:t xml:space="preserve">1. Run the feasibility checker (produces every figure in Chapter 5, Sections 5.3–5.7):</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5.7):</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5.5):</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6.10.</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A.2. A difference means a file changed, not that the result changed.</w:t>
      </w:r>
    </w:p>
    <w:p>
      <w:r>
        <w:pict>
          <v:rect style="width:0;height:1.5pt" o:hralign="center" o:hrstd="t" o:hr="t"/>
        </w:pict>
      </w:r>
    </w:p>
    <w:bookmarkEnd w:id="112"/>
    <w:bookmarkStart w:id="115" w:name="a.6-what-the-code-does"/>
    <w:p>
      <w:pPr>
        <w:pStyle w:val="Heading2"/>
      </w:pPr>
      <w:r>
        <w:t xml:space="preserve">A.6 What the code does</w:t>
      </w:r>
    </w:p>
    <w:bookmarkStart w:id="113"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Chapter 5, Table 5.2.</w:t>
      </w:r>
    </w:p>
    <w:p>
      <w:pPr>
        <w:pStyle w:val="BodyText"/>
      </w:pPr>
      <w:r>
        <w:t xml:space="preserve">Three components matter for the thesis’s claims:</w:t>
      </w:r>
    </w:p>
    <w:p>
      <w:pPr>
        <w:numPr>
          <w:ilvl w:val="0"/>
          <w:numId w:val="1014"/>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numPr>
          <w:ilvl w:val="0"/>
          <w:numId w:val="1014"/>
        </w:numPr>
        <w:pStyle w:val="Compact"/>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numPr>
          <w:ilvl w:val="0"/>
          <w:numId w:val="1014"/>
        </w:numPr>
        <w:pStyle w:val="Compact"/>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numPr>
          <w:ilvl w:val="0"/>
          <w:numId w:val="1014"/>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Chapter 5, Section 5.8 and treated in Chapter 6.</w:t>
      </w:r>
    </w:p>
    <w:bookmarkEnd w:id="113"/>
    <w:bookmarkStart w:id="114"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A.17).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4"/>
    <w:bookmarkEnd w:id="115"/>
    <w:bookmarkStart w:id="116" w:name="a.7-data-provenance"/>
    <w:p>
      <w:pPr>
        <w:pStyle w:val="Heading2"/>
      </w:pPr>
      <w:r>
        <w:t xml:space="preserve">A.7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5.7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5.8 reports both and every other figure is identical.</w:t>
      </w:r>
    </w:p>
    <w:p>
      <w:r>
        <w:pict>
          <v:rect style="width:0;height:1.5pt" o:hralign="center" o:hrstd="t" o:hr="t"/>
        </w:pict>
      </w:r>
    </w:p>
    <w:bookmarkEnd w:id="116"/>
    <w:bookmarkStart w:id="117" w:name="a.8-integrity-record"/>
    <w:p>
      <w:pPr>
        <w:pStyle w:val="Heading2"/>
      </w:pPr>
      <w:r>
        <w:t xml:space="preserve">A.8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5.3</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5.4</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5.4</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5.6</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5.6</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5.7</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5.7</w:t>
            </w:r>
          </w:p>
        </w:tc>
      </w:tr>
      <w:tr>
        <w:tc>
          <w:tcPr/>
          <w:p>
            <w:pPr>
              <w:pStyle w:val="Compact"/>
              <w:jc w:val="left"/>
            </w:pPr>
            <w:r>
              <w:t xml:space="preserve">Audit-log integrity</w:t>
            </w:r>
          </w:p>
        </w:tc>
        <w:tc>
          <w:tcPr/>
          <w:p>
            <w:pPr>
              <w:pStyle w:val="Compact"/>
              <w:jc w:val="left"/>
            </w:pPr>
            <w:r>
              <w:t xml:space="preserve">200 / 200 records verify; both tamper tests fail V_II</w:t>
            </w:r>
          </w:p>
        </w:tc>
        <w:tc>
          <w:tcPr/>
          <w:p>
            <w:pPr>
              <w:pStyle w:val="Compact"/>
              <w:jc w:val="left"/>
            </w:pPr>
            <w:r>
              <w:t xml:space="preserve">§5.7</w:t>
            </w:r>
          </w:p>
        </w:tc>
      </w:tr>
      <w:tr>
        <w:tc>
          <w:tcPr/>
          <w:p>
            <w:pPr>
              <w:pStyle w:val="Compact"/>
              <w:jc w:val="left"/>
            </w:pPr>
            <w:r>
              <w:t xml:space="preserve">Reference commitment, record 100</w:t>
            </w:r>
          </w:p>
        </w:tc>
        <w:tc>
          <w:tcPr/>
          <w:p>
            <w:pPr>
              <w:pStyle w:val="Compact"/>
              <w:jc w:val="left"/>
            </w:pPr>
            <w:r>
              <w:rPr>
                <w:rStyle w:val="VerbatimChar"/>
              </w:rPr>
              <w:t xml:space="preserve">678ade47c1e6dc03…</w:t>
            </w:r>
          </w:p>
        </w:tc>
        <w:tc>
          <w:tcPr/>
          <w:p>
            <w:pPr>
              <w:pStyle w:val="Compact"/>
              <w:jc w:val="left"/>
            </w:pPr>
            <w:r>
              <w:t xml:space="preserve">§5.7</w:t>
            </w:r>
          </w:p>
        </w:tc>
      </w:tr>
    </w:tbl>
    <w:p>
      <w:pPr>
        <w:pStyle w:val="BodyText"/>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(Chapter 4, Section 4.3). Under</w:t>
      </w:r>
      <w:r>
        <w:t xml:space="preserve"> </w:t>
      </w:r>
      <w:r>
        <w:rPr>
          <w:rStyle w:val="VerbatimChar"/>
        </w:rPr>
        <w:t xml:space="preserve">--random-salts</w:t>
      </w:r>
      <w:r>
        <w:t xml:space="preserve"> </w:t>
      </w:r>
      <w:r>
        <w:t xml:space="preserve">it differs on every run, by design.</w:t>
      </w:r>
    </w:p>
    <w:p>
      <w:r>
        <w:pict>
          <v:rect style="width:0;height:1.5pt" o:hralign="center" o:hrstd="t" o:hr="t"/>
        </w:pict>
      </w:r>
    </w:p>
    <w:bookmarkEnd w:id="117"/>
    <w:bookmarkStart w:id="118" w:name="a.9-known-limitations-of-the-artefact"/>
    <w:p>
      <w:pPr>
        <w:pStyle w:val="Heading2"/>
      </w:pPr>
      <w:r>
        <w:t xml:space="preserve">A.9 Known limitations of the artefact</w:t>
      </w:r>
    </w:p>
    <w:p>
      <w:pPr>
        <w:pStyle w:val="FirstParagraph"/>
      </w:pPr>
      <w:r>
        <w:t xml:space="preserve">Stated here so that they are not inferred from silence:</w:t>
      </w:r>
    </w:p>
    <w:p>
      <w:pPr>
        <w:numPr>
          <w:ilvl w:val="0"/>
          <w:numId w:val="1015"/>
        </w:numPr>
        <w:pStyle w:val="Compact"/>
      </w:pPr>
      <w:r>
        <w:t xml:space="preserve">The demonstration checks the propositions on the instances generated under one seed. The general claims rest on the proofs in Chapter 4, not on this code.</w:t>
      </w:r>
    </w:p>
    <w:p>
      <w:pPr>
        <w:numPr>
          <w:ilvl w:val="0"/>
          <w:numId w:val="1015"/>
        </w:numPr>
        <w:pStyle w:val="Compact"/>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numPr>
          <w:ilvl w:val="0"/>
          <w:numId w:val="1015"/>
        </w:numPr>
        <w:pStyle w:val="Compact"/>
      </w:pPr>
      <w:r>
        <w:t xml:space="preserve">No performance measurement is offered as a result. The runtime figure in Chapter 5 indicates only that reproduction is cheap.</w:t>
      </w:r>
    </w:p>
    <w:p>
      <w:pPr>
        <w:numPr>
          <w:ilvl w:val="0"/>
          <w:numId w:val="1015"/>
        </w:numPr>
        <w:pStyle w:val="Compact"/>
      </w:pPr>
      <w:r>
        <w:t xml:space="preserve">Key destruction is simulated in program state. The artefact demonstrates the mechanism’s logic and says nothing about whether destruction can be assured in deployment.</w:t>
      </w:r>
    </w:p>
    <w:p>
      <w:pPr>
        <w:numPr>
          <w:ilvl w:val="0"/>
          <w:numId w:val="1015"/>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8"/>
    <w:bookmarkStart w:id="119" w:name="a.10-source-listing-trf_checker.py"/>
    <w:p>
      <w:pPr>
        <w:pStyle w:val="Heading2"/>
      </w:pPr>
      <w:r>
        <w:t xml:space="preserve">A.10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Revised 3 Oct 2026 for the supervisor review of 30 Sept (thesis patches P04, P06; D-15..D-17):</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 (supervisor's M4)</w:t>
      </w:r>
      <w:r>
        <w:br/>
      </w:r>
      <w:r>
        <w:rPr>
          <w:rStyle w:val="CommentTok"/>
        </w:rPr>
        <w:t xml:space="preserve">  - the dead `os.urandom(16) if False` branch replaced by make_salt() and --random-salts</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A.6)."""</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5.6)</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19"/>
    <w:bookmarkStart w:id="120" w:name="a.11-source-listing-synthea_layer.py"/>
    <w:p>
      <w:pPr>
        <w:pStyle w:val="Heading2"/>
      </w:pPr>
      <w:r>
        <w:t xml:space="preserve">A.11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0"/>
    <w:bookmarkStart w:id="121" w:name="a.12-source-listing-norwegian_layer.py"/>
    <w:p>
      <w:pPr>
        <w:pStyle w:val="Heading2"/>
      </w:pPr>
      <w:r>
        <w:t xml:space="preserve">A.12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1"/>
    <w:bookmarkStart w:id="122" w:name="Xe879672c389eaed76a8bcf89632a4b72896578a"/>
    <w:p>
      <w:pPr>
        <w:pStyle w:val="Heading2"/>
      </w:pPr>
      <w:r>
        <w:t xml:space="preserve">A.13 Source listing:</w:t>
      </w:r>
      <w:r>
        <w:t xml:space="preserve"> </w:t>
      </w:r>
      <w:r>
        <w:rPr>
          <w:rStyle w:val="VerbatimChar"/>
        </w:rPr>
        <w:t xml:space="preserve">cross_sector_check.py</w:t>
      </w:r>
    </w:p>
    <w:p>
      <w:pPr>
        <w:pStyle w:val="FirstParagraph"/>
      </w:pPr>
      <w:r>
        <w:t xml:space="preserve">The cross-sector instance discussed in Chapter 6, Section 6.10.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2"/>
    <w:bookmarkStart w:id="123" w:name="a.14-source-listing-app.py"/>
    <w:p>
      <w:pPr>
        <w:pStyle w:val="Heading2"/>
      </w:pPr>
      <w:r>
        <w:t xml:space="preserve">A.14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5.7.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"with an explorer for Proposition 3.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tab6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     </w:t>
      </w:r>
      <w:r>
        <w:rPr>
          <w:rStyle w:val="StringTok"/>
        </w:rPr>
        <w:t xml:space="preserve">"Where the ceiling is anchored"</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5.3 and 5.6, "</w:t>
      </w:r>
      <w:r>
        <w:br/>
      </w:r>
      <w:r>
        <w:rPr>
          <w:rStyle w:val="NormalTok"/>
        </w:rPr>
        <w:t xml:space="preserve">        </w:t>
      </w:r>
      <w:r>
        <w:rPr>
          <w:rStyle w:val="StringTok"/>
        </w:rPr>
        <w:t xml:space="preserve">"and the audit-log integrity check of Section 5.7.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5.3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on the broad reading of "</w:t>
      </w:r>
      <w:r>
        <w:br/>
      </w:r>
      <w:r>
        <w:rPr>
          <w:rStyle w:val="NormalTok"/>
        </w:rPr>
        <w:t xml:space="preserve">            </w:t>
      </w:r>
      <w:r>
        <w:rPr>
          <w:rStyle w:val="StringTok"/>
        </w:rPr>
        <w:t xml:space="preserve">"Article 68(12) and for logs kept at patient-record granularity "</w:t>
      </w:r>
      <w:r>
        <w:br/>
      </w:r>
      <w:r>
        <w:rPr>
          <w:rStyle w:val="NormalTok"/>
        </w:rPr>
        <w:t xml:space="preserve">            </w:t>
      </w:r>
      <w:r>
        <w:rPr>
          <w:rStyle w:val="StringTok"/>
        </w:rPr>
        <w:t xml:space="preserve">"(Chapter 4, Section 4.6). On the narrow reading these witnesses lapse."</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5.6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st.markdown(</w:t>
      </w:r>
      <w:r>
        <w:rPr>
          <w:rStyle w:val="StringTok"/>
        </w:rPr>
        <w:t xml:space="preserve">"**Audit-log integrity — Chapter 5, Section 5.7**"</w:t>
      </w:r>
      <w:r>
        <w:rPr>
          <w:rStyle w:val="NormalTok"/>
        </w:rPr>
        <w:t xml:space="preserve">)</w:t>
      </w:r>
      <w:r>
        <w:br/>
      </w:r>
      <w:r>
        <w:rPr>
          <w:rStyle w:val="NormalTok"/>
        </w:rPr>
        <w:t xml:space="preserve">        st.write(</w:t>
      </w:r>
      <w:r>
        <w:br/>
      </w:r>
      <w:r>
        <w:rPr>
          <w:rStyle w:val="NormalTok"/>
        </w:rPr>
        <w:t xml:space="preserve">            </w:t>
      </w:r>
      <w:r>
        <w:rPr>
          <w:rStyle w:val="StringTok"/>
        </w:rPr>
        <w:t xml:space="preserve">"Every access, invalidation and subject-link removal is a leaf of an "</w:t>
      </w:r>
      <w:r>
        <w:br/>
      </w:r>
      <w:r>
        <w:rPr>
          <w:rStyle w:val="NormalTok"/>
        </w:rPr>
        <w:t xml:space="preserve">            </w:t>
      </w:r>
      <w:r>
        <w:rPr>
          <w:rStyle w:val="StringTok"/>
        </w:rPr>
        <w:t xml:space="preserve">"append-only Merkle log (RFC 6962 hashing). A record counts as verifiable "</w:t>
      </w:r>
      <w:r>
        <w:br/>
      </w:r>
      <w:r>
        <w:rPr>
          <w:rStyle w:val="NormalTok"/>
        </w:rPr>
        <w:t xml:space="preserve">            </w:t>
      </w:r>
      <w:r>
        <w:rPr>
          <w:rStyle w:val="StringTok"/>
        </w:rPr>
        <w:t xml:space="preserve">"under Semantics II only if each of its entries passes an inclusion proof "</w:t>
      </w:r>
      <w:r>
        <w:br/>
      </w:r>
      <w:r>
        <w:rPr>
          <w:rStyle w:val="NormalTok"/>
        </w:rPr>
        <w:t xml:space="preserve">            </w:t>
      </w:r>
      <w:r>
        <w:rPr>
          <w:rStyle w:val="StringTok"/>
        </w:rPr>
        <w:t xml:space="preserve">"against the log root. Leaves hold the accessor fields and the commitment, "</w:t>
      </w:r>
      <w:r>
        <w:br/>
      </w:r>
      <w:r>
        <w:rPr>
          <w:rStyle w:val="NormalTok"/>
        </w:rPr>
        <w:t xml:space="preserve">            </w:t>
      </w:r>
      <w:r>
        <w:rPr>
          <w:rStyle w:val="StringTok"/>
        </w:rPr>
        <w:t xml:space="preserve">"never the payload or the patient link, so the log never needs erasing."</w:t>
      </w:r>
      <w:r>
        <w:br/>
      </w:r>
      <w:r>
        <w:rPr>
          <w:rStyle w:val="NormalTok"/>
        </w:rPr>
        <w:t xml:space="preserve">        )</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trf.integrity(r)[</w:t>
      </w:r>
      <w:r>
        <w:rPr>
          <w:rStyle w:val="DecValTok"/>
        </w:rPr>
        <w:t xml:space="preserve">0</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br/>
      </w:r>
      <w:r>
        <w:rPr>
          <w:rStyle w:val="NormalTok"/>
        </w:rPr>
        <w:t xml:space="preserve">        ok_t, why_t </w:t>
      </w:r>
      <w:r>
        <w:rPr>
          <w:rStyle w:val="OperatorTok"/>
        </w:rPr>
        <w:t xml:space="preserve">=</w:t>
      </w:r>
      <w:r>
        <w:rPr>
          <w:rStyle w:val="NormalTok"/>
        </w:rPr>
        <w:t xml:space="preserve"> trf.V_II(demo,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br/>
      </w:r>
      <w:r>
        <w:rPr>
          <w:rStyle w:val="NormalTok"/>
        </w:rPr>
        <w:t xml:space="preserve">        ok_g, why_g </w:t>
      </w:r>
      <w:r>
        <w:rPr>
          <w:rStyle w:val="OperatorTok"/>
        </w:rPr>
        <w:t xml:space="preserve">=</w:t>
      </w:r>
      <w:r>
        <w:rPr>
          <w:rStyle w:val="NormalTok"/>
        </w:rPr>
        <w:t xml:space="preserve"> trf.V_II(demo,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ok_r </w:t>
      </w:r>
      <w:r>
        <w:rPr>
          <w:rStyle w:val="OperatorTok"/>
        </w:rPr>
        <w:t xml:space="preserve">=</w:t>
      </w:r>
      <w:r>
        <w:rPr>
          <w:rStyle w:val="NormalTok"/>
        </w:rPr>
        <w:t xml:space="preserve"> trf.V_II(demo, demo.t_a)[</w:t>
      </w:r>
      <w:r>
        <w:rPr>
          <w:rStyle w:val="DecValTok"/>
        </w:rPr>
        <w:t xml:space="preserve">0</w:t>
      </w:r>
      <w:r>
        <w:rPr>
          <w:rStyle w:val="NormalTok"/>
        </w:rPr>
        <w:t xml:space="preserve">]</w:t>
      </w:r>
      <w:r>
        <w:br/>
      </w:r>
      <w:r>
        <w:rPr>
          <w:rStyle w:val="NormalTok"/>
        </w:rPr>
        <w:t xml:space="preserve">        i1, i2, i3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i1.metric(</w:t>
      </w:r>
      <w:r>
        <w:rPr>
          <w:rStyle w:val="StringTok"/>
        </w:rPr>
        <w:t xml:space="preserve">"Records verifying"</w:t>
      </w:r>
      <w:r>
        <w:rPr>
          <w:rStyle w:val="NormalTok"/>
        </w:rPr>
        <w:t xml:space="preserve">, </w:t>
      </w:r>
      <w:r>
        <w:rPr>
          <w:rStyle w:val="SpecialStringTok"/>
        </w:rPr>
        <w:t xml:space="preserve">f"</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i2.metric(</w:t>
      </w:r>
      <w:r>
        <w:rPr>
          <w:rStyle w:val="StringTok"/>
        </w:rPr>
        <w:t xml:space="preserve">"Tamper: actor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ok_t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i3.metric(</w:t>
      </w:r>
      <w:r>
        <w:rPr>
          <w:rStyle w:val="StringTok"/>
        </w:rPr>
        <w:t xml:space="preserve">"Tamper: ground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ok_g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st.code(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R-008 -&gt; R-999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-&gt; 'none'    :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f"after restoring both          : V_II=</w:t>
      </w:r>
      <w:r>
        <w:rPr>
          <w:rStyle w:val="SpecialCharTok"/>
        </w:rPr>
        <w:t xml:space="preserve">{</w:t>
      </w:r>
      <w:r>
        <w:rPr>
          <w:rStyle w:val="NormalTok"/>
        </w:rPr>
        <w:t xml:space="preserve">ok_r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br/>
      </w:r>
      <w:r>
        <w:rPr>
          <w:rStyle w:val="NormalTok"/>
        </w:rPr>
        <w:t xml:space="preserve">                </w:t>
      </w:r>
      <w:r>
        <w:rPr>
          <w:rStyle w:val="KeywordTok"/>
        </w:rPr>
        <w:t xml:space="preserve">and</w:t>
      </w:r>
      <w:r>
        <w:rPr>
          <w:rStyle w:val="NormalTok"/>
        </w:rPr>
        <w:t xml:space="preserve"> n_ok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w:t>
      </w:r>
      <w:r>
        <w:rPr>
          <w:rStyle w:val="KeywordTok"/>
        </w:rPr>
        <w:t xml:space="preserve">not</w:t>
      </w:r>
      <w:r>
        <w:rPr>
          <w:rStyle w:val="NormalTok"/>
        </w:rPr>
        <w:t xml:space="preserve"> ok_t </w:t>
      </w:r>
      <w:r>
        <w:rPr>
          <w:rStyle w:val="KeywordTok"/>
        </w:rPr>
        <w:t xml:space="preserve">and</w:t>
      </w:r>
      <w:r>
        <w:rPr>
          <w:rStyle w:val="NormalTok"/>
        </w:rPr>
        <w:t xml:space="preserve"> </w:t>
      </w:r>
      <w:r>
        <w:rPr>
          <w:rStyle w:val="KeywordTok"/>
        </w:rPr>
        <w:t xml:space="preserve">not</w:t>
      </w:r>
      <w:r>
        <w:rPr>
          <w:rStyle w:val="NormalTok"/>
        </w:rPr>
        <w:t xml:space="preserve"> ok_g </w:t>
      </w:r>
      <w:r>
        <w:rPr>
          <w:rStyle w:val="KeywordTok"/>
        </w:rPr>
        <w:t xml:space="preserve">and</w:t>
      </w:r>
      <w:r>
        <w:rPr>
          <w:rStyle w:val="NormalTok"/>
        </w:rPr>
        <w:t xml:space="preserve"> ok_r):</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 200/200 records verifying, both tamper tests failing."</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5.7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§5.5, §5.6 and §5.8)</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§5.5**"</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§5.6**"</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§5.6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"**Real envelope encryption — optional module, Chapter 5 §5.8**"</w:t>
      </w:r>
      <w:r>
        <w:rPr>
          <w:rStyle w:val="NormalTok"/>
        </w:rPr>
        <w:t xml:space="preserve">)</w:t>
      </w:r>
      <w:r>
        <w:br/>
      </w:r>
      <w:r>
        <w:rPr>
          <w:rStyle w:val="NormalTok"/>
        </w:rPr>
        <w:t xml:space="preserve">    st.write(</w:t>
      </w:r>
      <w:r>
        <w:br/>
      </w:r>
      <w:r>
        <w:rPr>
          <w:rStyle w:val="NormalTok"/>
        </w:rPr>
        <w:t xml:space="preserve">        </w:t>
      </w:r>
      <w:r>
        <w:rPr>
          <w:rStyle w:val="StringTok"/>
        </w:rPr>
        <w:t xml:space="preserve">"The checker models key destruction as removing a reference. This module "</w:t>
      </w:r>
      <w:r>
        <w:br/>
      </w:r>
      <w:r>
        <w:rPr>
          <w:rStyle w:val="NormalTok"/>
        </w:rPr>
        <w:t xml:space="preserve">        </w:t>
      </w:r>
      <w:r>
        <w:rPr>
          <w:rStyle w:val="StringTok"/>
        </w:rPr>
        <w:t xml:space="preserve">"repeats the lifecycle with real AES-256-GCM: each record under its own data "</w:t>
      </w:r>
      <w:r>
        <w:br/>
      </w:r>
      <w:r>
        <w:rPr>
          <w:rStyle w:val="NormalTok"/>
        </w:rPr>
        <w:t xml:space="preserve">        </w:t>
      </w:r>
      <w:r>
        <w:rPr>
          <w:rStyle w:val="StringTok"/>
        </w:rPr>
        <w:t xml:space="preserve">"key, each data key wrapped under a key-encrypting key, and the wrapped key "</w:t>
      </w:r>
      <w:r>
        <w:br/>
      </w:r>
      <w:r>
        <w:rPr>
          <w:rStyle w:val="NormalTok"/>
        </w:rPr>
        <w:t xml:space="preserve">        </w:t>
      </w:r>
      <w:r>
        <w:rPr>
          <w:rStyle w:val="StringTok"/>
        </w:rPr>
        <w:t xml:space="preserve">"destroyed at the record's invalidation month. Keys are random on every run; "</w:t>
      </w:r>
      <w:r>
        <w:br/>
      </w:r>
      <w:r>
        <w:rPr>
          <w:rStyle w:val="NormalTok"/>
        </w:rPr>
        <w:t xml:space="preserve">        </w:t>
      </w:r>
      <w:r>
        <w:rPr>
          <w:rStyle w:val="StringTok"/>
        </w:rPr>
        <w:t xml:space="preserve">"the counts are not."</w:t>
      </w:r>
      <w:r>
        <w:br/>
      </w:r>
      <w:r>
        <w:rPr>
          <w:rStyle w:val="NormalTok"/>
        </w:rPr>
        <w:t xml:space="preserve">    )</w:t>
      </w:r>
      <w:r>
        <w:br/>
      </w:r>
      <w:r>
        <w:rPr>
          <w:rStyle w:val="NormalTok"/>
        </w:rPr>
        <w:t xml:space="preserve">    </w:t>
      </w:r>
      <w:r>
        <w:rPr>
          <w:rStyle w:val="ControlFlowTok"/>
        </w:rPr>
        <w:t xml:space="preserve">if</w:t>
      </w:r>
      <w:r>
        <w:rPr>
          <w:rStyle w:val="NormalTok"/>
        </w:rPr>
        <w:t xml:space="preserve"> st.button(</w:t>
      </w:r>
      <w:r>
        <w:rPr>
          <w:rStyle w:val="StringTok"/>
        </w:rPr>
        <w:t xml:space="preserve">"Run envelope encryption"</w:t>
      </w:r>
      <w:r>
        <w:rPr>
          <w:rStyle w:val="NormalTok"/>
        </w:rPr>
        <w:t xml:space="preserve">, key</w:t>
      </w:r>
      <w:r>
        <w:rPr>
          <w:rStyle w:val="OperatorTok"/>
        </w:rPr>
        <w:t xml:space="preserve">=</w:t>
      </w:r>
      <w:r>
        <w:rPr>
          <w:rStyle w:val="StringTok"/>
        </w:rPr>
        <w:t xml:space="preserve">"run_crypto"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crypto_envelope </w:t>
      </w:r>
      <w:r>
        <w:rPr>
          <w:rStyle w:val="ImportTok"/>
        </w:rPr>
        <w:t xml:space="preserve">as</w:t>
      </w:r>
      <w:r>
        <w:rPr>
          <w:rStyle w:val="NormalTok"/>
        </w:rPr>
        <w:t xml:space="preserve"> ce</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"Encrypting 200 records, destroying keys, decrypting ..."</w:t>
      </w:r>
      <w:r>
        <w:rPr>
          <w:rStyle w:val="NormalTok"/>
        </w:rPr>
        <w:t xml:space="preserve">):</w:t>
      </w:r>
      <w:r>
        <w:br/>
      </w:r>
      <w:r>
        <w:rPr>
          <w:rStyle w:val="NormalTok"/>
        </w:rPr>
        <w:t xml:space="preserve">                recs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ce.Custody()</w:t>
      </w:r>
      <w:r>
        <w:br/>
      </w:r>
      <w:r>
        <w:rPr>
          <w:rStyle w:val="NormalTok"/>
        </w:rPr>
        <w:t xml:space="preserve">                store </w:t>
      </w:r>
      <w:r>
        <w:rPr>
          <w:rStyle w:val="OperatorTok"/>
        </w:rPr>
        <w:t xml:space="preserve">=</w:t>
      </w:r>
      <w:r>
        <w:rPr>
          <w:rStyle w:val="NormalTok"/>
        </w:rPr>
        <w:t xml:space="preserve"> {r.rid: ce.encrypt(custody,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inval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w:t>
      </w:r>
      <w:r>
        <w:br/>
      </w:r>
      <w:r>
        <w:rPr>
          <w:rStyle w:val="NormalTok"/>
        </w:rPr>
        <w:t xml:space="preserve">                    custody.destroy(r.rid)</w:t>
      </w:r>
      <w:r>
        <w:br/>
      </w:r>
      <w:r>
        <w:rPr>
          <w:rStyle w:val="NormalTok"/>
        </w:rPr>
        <w:t xml:space="preserve">                readable </w:t>
      </w:r>
      <w:r>
        <w:rPr>
          <w:rStyle w:val="OperatorTok"/>
        </w:rPr>
        <w:t xml:space="preserve">=</w:t>
      </w:r>
      <w:r>
        <w:rPr>
          <w:rStyle w:val="NormalTok"/>
        </w:rPr>
        <w:t xml:space="preserve"> refused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try</w:t>
      </w:r>
      <w:r>
        <w:rPr>
          <w:rStyle w:val="NormalTok"/>
        </w:rPr>
        <w:t xml:space="preserve">:</w:t>
      </w:r>
      <w:r>
        <w:br/>
      </w:r>
      <w:r>
        <w:rPr>
          <w:rStyle w:val="NormalTok"/>
        </w:rPr>
        <w:t xml:space="preserve">                        ce.decrypt(custody,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e1, e2, e3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e1.metric(</w:t>
      </w:r>
      <w:r>
        <w:rPr>
          <w:rStyle w:val="StringTok"/>
        </w:rPr>
        <w:t xml:space="preserve">"Records encrypted"</w:t>
      </w:r>
      <w:r>
        <w:rPr>
          <w:rStyle w:val="NormalTok"/>
        </w:rPr>
        <w:t xml:space="preserve">, </w:t>
      </w:r>
      <w:r>
        <w:rPr>
          <w:rStyle w:val="BuiltInTok"/>
        </w:rPr>
        <w:t xml:space="preserve">len</w:t>
      </w:r>
      <w:r>
        <w:rPr>
          <w:rStyle w:val="NormalTok"/>
        </w:rPr>
        <w:t xml:space="preserve">(recs))</w:t>
      </w:r>
      <w:r>
        <w:br/>
      </w:r>
      <w:r>
        <w:rPr>
          <w:rStyle w:val="NormalTok"/>
        </w:rPr>
        <w:t xml:space="preserve">            e2.metric(</w:t>
      </w:r>
      <w:r>
        <w:rPr>
          <w:rStyle w:val="StringTok"/>
        </w:rPr>
        <w:t xml:space="preserve">"Refused after key destruction"</w:t>
      </w:r>
      <w:r>
        <w:rPr>
          <w:rStyle w:val="NormalTok"/>
        </w:rPr>
        <w:t xml:space="preserve">, refused)</w:t>
      </w:r>
      <w:r>
        <w:br/>
      </w:r>
      <w:r>
        <w:rPr>
          <w:rStyle w:val="NormalTok"/>
        </w:rPr>
        <w:t xml:space="preserve">            e3.metric(</w:t>
      </w:r>
      <w:r>
        <w:rPr>
          <w:rStyle w:val="StringTok"/>
        </w:rPr>
        <w:t xml:space="preserve">"Still readable"</w:t>
      </w:r>
      <w:r>
        <w:rPr>
          <w:rStyle w:val="NormalTok"/>
        </w:rPr>
        <w:t xml:space="preserve">, readable)</w:t>
      </w:r>
      <w:r>
        <w:br/>
      </w:r>
      <w:r>
        <w:rPr>
          <w:rStyle w:val="NormalTok"/>
        </w:rPr>
        <w:t xml:space="preserve">            </w:t>
      </w:r>
      <w:r>
        <w:rPr>
          <w:rStyle w:val="ControlFlowTok"/>
        </w:rPr>
        <w:t xml:space="preserve">if</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 </w:t>
      </w:r>
      <w:r>
        <w:rPr>
          <w:rStyle w:val="OperatorTok"/>
        </w:rPr>
        <w:t xml:space="preserve">==</w:t>
      </w:r>
      <w:r>
        <w:rPr>
          <w:rStyle w:val="NormalTok"/>
        </w:rPr>
        <w:t xml:space="preserve"> </w:t>
      </w:r>
      <w:r>
        <w:rPr>
          <w:rStyle w:val="DecValTok"/>
        </w:rPr>
        <w:t xml:space="preserve">138</w:t>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DecValTok"/>
        </w:rPr>
        <w:t xml:space="preserve">62</w:t>
      </w:r>
      <w:r>
        <w:rPr>
          <w:rStyle w:val="NormalTok"/>
        </w:rPr>
        <w:t xml:space="preserve">:</w:t>
      </w:r>
      <w:r>
        <w:br/>
      </w:r>
      <w:r>
        <w:rPr>
          <w:rStyle w:val="NormalTok"/>
        </w:rPr>
        <w:t xml:space="preserve">                st.success(</w:t>
      </w:r>
      <w:r>
        <w:br/>
      </w:r>
      <w:r>
        <w:rPr>
          <w:rStyle w:val="NormalTok"/>
        </w:rPr>
        <w:t xml:space="preserve">                    </w:t>
      </w:r>
      <w:r>
        <w:rPr>
          <w:rStyle w:val="StringTok"/>
        </w:rPr>
        <w:t xml:space="preserve">"Exactly the 138 invalidated records refuse to decrypt and the "</w:t>
      </w:r>
      <w:r>
        <w:br/>
      </w:r>
      <w:r>
        <w:rPr>
          <w:rStyle w:val="NormalTok"/>
        </w:rPr>
        <w:t xml:space="preserve">                    </w:t>
      </w:r>
      <w:r>
        <w:rPr>
          <w:rStyle w:val="StringTok"/>
        </w:rPr>
        <w:t xml:space="preserve">"other 62 read, as Appendix A.22 records. Unreadability follows "</w:t>
      </w:r>
      <w:r>
        <w:br/>
      </w:r>
      <w:r>
        <w:rPr>
          <w:rStyle w:val="NormalTok"/>
        </w:rPr>
        <w:t xml:space="preserve">                    </w:t>
      </w:r>
      <w:r>
        <w:rPr>
          <w:rStyle w:val="StringTok"/>
        </w:rPr>
        <w:t xml:space="preserve">"from destruction; that destruction happened in hardware is still "</w:t>
      </w:r>
      <w:r>
        <w:br/>
      </w:r>
      <w:r>
        <w:rPr>
          <w:rStyle w:val="NormalTok"/>
        </w:rPr>
        <w:t xml:space="preserve">                    </w:t>
      </w:r>
      <w:r>
        <w:rPr>
          <w:rStyle w:val="StringTok"/>
        </w:rPr>
        <w:t xml:space="preserve">"an attestation (Chapter 6, Section 6.3)."</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tringTok"/>
        </w:rPr>
        <w:t xml:space="preserve">"Counts differ from Appendix A.22. Investigate before citing."</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st.info(</w:t>
      </w:r>
      <w:r>
        <w:rPr>
          <w:rStyle w:val="StringTok"/>
        </w:rPr>
        <w:t xml:space="preserve">"The `cryptography` package is not installed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and it does not implement the terminal "</w:t>
      </w:r>
      <w:r>
        <w:br/>
      </w:r>
      <w:r>
        <w:rPr>
          <w:rStyle w:val="NormalTok"/>
        </w:rPr>
        <w:t xml:space="preserve">        </w:t>
      </w:r>
      <w:r>
        <w:rPr>
          <w:rStyle w:val="StringTok"/>
        </w:rPr>
        <w:t xml:space="preserve">"transition at floor expiry. Key destruction is simulated by removing a "</w:t>
      </w:r>
      <w:r>
        <w:br/>
      </w:r>
      <w:r>
        <w:rPr>
          <w:rStyle w:val="NormalTok"/>
        </w:rPr>
        <w:t xml:space="preserve">        </w:t>
      </w:r>
      <w:r>
        <w:rPr>
          <w:rStyle w:val="StringTok"/>
        </w:rPr>
        <w:t xml:space="preserve">"reference in program state, or in the optional module by discarding a "</w:t>
      </w:r>
      <w:r>
        <w:br/>
      </w:r>
      <w:r>
        <w:rPr>
          <w:rStyle w:val="NormalTok"/>
        </w:rPr>
        <w:t xml:space="preserve">        </w:t>
      </w:r>
      <w:r>
        <w:rPr>
          <w:rStyle w:val="StringTok"/>
        </w:rPr>
        <w:t xml:space="preserve">"wrapped key in memory: either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§5.8 and Chapter 6 state these limits in full."</w:t>
      </w:r>
      <w:r>
        <w:br/>
      </w:r>
      <w:r>
        <w:rPr>
          <w:rStyle w:val="NormalTok"/>
        </w:rPr>
        <w:t xml:space="preserve">    )</w:t>
      </w:r>
      <w:r>
        <w:br/>
      </w:r>
      <w:r>
        <w:br/>
      </w:r>
      <w:r>
        <w:br/>
      </w:r>
      <w:r>
        <w:br/>
      </w:r>
      <w:r>
        <w:rPr>
          <w:rStyle w:val="CommentTok"/>
        </w:rPr>
        <w:t xml:space="preserve"># ----------------------------------------------------------------------</w:t>
      </w:r>
      <w:r>
        <w:br/>
      </w:r>
      <w:r>
        <w:rPr>
          <w:rStyle w:val="CommentTok"/>
        </w:rPr>
        <w:t xml:space="preserve"># Tab 6 — Proposition 3: where the ceiling is anchored (Chapter 4, Section 4.6)</w:t>
      </w:r>
      <w:r>
        <w:br/>
      </w:r>
      <w:r>
        <w:rPr>
          <w:rStyle w:val="CommentTok"/>
        </w:rPr>
        <w:t xml:space="preserve"># ----------------------------------------------------------------------</w:t>
      </w:r>
      <w:r>
        <w:br/>
      </w:r>
      <w:r>
        <w:br/>
      </w:r>
      <w:r>
        <w:rPr>
          <w:rStyle w:val="ControlFlowTok"/>
        </w:rPr>
        <w:t xml:space="preserve">with</w:t>
      </w:r>
      <w:r>
        <w:rPr>
          <w:rStyle w:val="NormalTok"/>
        </w:rPr>
        <w:t xml:space="preserve"> tab6:</w:t>
      </w:r>
      <w:r>
        <w:br/>
      </w:r>
      <w:r>
        <w:rPr>
          <w:rStyle w:val="NormalTok"/>
        </w:rPr>
        <w:t xml:space="preserve">    st.subheader(</w:t>
      </w:r>
      <w:r>
        <w:rPr>
          <w:rStyle w:val="StringTok"/>
        </w:rPr>
        <w:t xml:space="preserve">"Where the ceiling is anchored — Proposition 3"</w:t>
      </w:r>
      <w:r>
        <w:rPr>
          <w:rStyle w:val="NormalTok"/>
        </w:rPr>
        <w:t xml:space="preserve">)</w:t>
      </w:r>
      <w:r>
        <w:br/>
      </w:r>
      <w:r>
        <w:rPr>
          <w:rStyle w:val="NormalTok"/>
        </w:rPr>
        <w:t xml:space="preserve">    st.write(</w:t>
      </w:r>
      <w:r>
        <w:br/>
      </w:r>
      <w:r>
        <w:rPr>
          <w:rStyle w:val="NormalTok"/>
        </w:rPr>
        <w:t xml:space="preserve">        </w:t>
      </w:r>
      <w:r>
        <w:rPr>
          <w:rStyle w:val="StringTok"/>
        </w:rPr>
        <w:t xml:space="preserve">"A retention floor of F months runs from the record's creation t(a). A deletion "</w:t>
      </w:r>
      <w:r>
        <w:br/>
      </w:r>
      <w:r>
        <w:rPr>
          <w:rStyle w:val="NormalTok"/>
        </w:rPr>
        <w:t xml:space="preserve">        </w:t>
      </w:r>
      <w:r>
        <w:rPr>
          <w:rStyle w:val="StringTok"/>
        </w:rPr>
        <w:t xml:space="preserve">"ceiling of L months runs from an event e(a) at or after creation. Under plaintext "</w:t>
      </w:r>
      <w:r>
        <w:br/>
      </w:r>
      <w:r>
        <w:rPr>
          <w:rStyle w:val="NormalTok"/>
        </w:rPr>
        <w:t xml:space="preserve">        </w:t>
      </w:r>
      <w:r>
        <w:rPr>
          <w:rStyle w:val="StringTok"/>
        </w:rPr>
        <w:t xml:space="preserve">"verifiability the two collide for a record exactly when e(a) + L &lt;= t(a) + F. "</w:t>
      </w:r>
      <w:r>
        <w:br/>
      </w:r>
      <w:r>
        <w:rPr>
          <w:rStyle w:val="NormalTok"/>
        </w:rPr>
        <w:t xml:space="preserve">        </w:t>
      </w:r>
      <w:r>
        <w:rPr>
          <w:rStyle w:val="StringTok"/>
        </w:rPr>
        <w:t xml:space="preserve">"A collision therefore needs L &lt;= F; where the ceiling is anchored decides "</w:t>
      </w:r>
      <w:r>
        <w:br/>
      </w:r>
      <w:r>
        <w:rPr>
          <w:rStyle w:val="NormalTok"/>
        </w:rPr>
        <w:t xml:space="preserve">        </w:t>
      </w:r>
      <w:r>
        <w:rPr>
          <w:rStyle w:val="StringTok"/>
        </w:rPr>
        <w:t xml:space="preserve">"whether the collision can be read from the text or only from each record's history."</w:t>
      </w:r>
      <w:r>
        <w:br/>
      </w:r>
      <w:r>
        <w:rPr>
          <w:rStyle w:val="NormalTok"/>
        </w:rPr>
        <w:t xml:space="preserve">    )</w:t>
      </w:r>
      <w:r>
        <w:br/>
      </w:r>
      <w:r>
        <w:rPr>
          <w:rStyle w:val="NormalTok"/>
        </w:rPr>
        <w:t xml:space="preserve">    preset </w:t>
      </w:r>
      <w:r>
        <w:rPr>
          <w:rStyle w:val="OperatorTok"/>
        </w:rPr>
        <w:t xml:space="preserve">=</w:t>
      </w:r>
      <w:r>
        <w:rPr>
          <w:rStyle w:val="NormalTok"/>
        </w:rPr>
        <w:t xml:space="preserve"> st.radio(</w:t>
      </w:r>
      <w:r>
        <w:br/>
      </w:r>
      <w:r>
        <w:rPr>
          <w:rStyle w:val="NormalTok"/>
        </w:rPr>
        <w:t xml:space="preserve">        </w:t>
      </w:r>
      <w:r>
        <w:rPr>
          <w:rStyle w:val="StringTok"/>
        </w:rPr>
        <w:t xml:space="preserve">"Preset"</w:t>
      </w:r>
      <w:r>
        <w:rPr>
          <w:rStyle w:val="NormalTok"/>
        </w:rPr>
        <w:t xml:space="preserve">,</w:t>
      </w:r>
      <w:r>
        <w:br/>
      </w:r>
      <w:r>
        <w:rPr>
          <w:rStyle w:val="NormalTok"/>
        </w:rPr>
        <w:t xml:space="preserve">        [</w:t>
      </w:r>
      <w:r>
        <w:rPr>
          <w:rStyle w:val="StringTok"/>
        </w:rPr>
        <w:t xml:space="preserve">"EHDS Art 73(1)(e) floor, Art 68(12) ceiling"</w:t>
      </w:r>
      <w:r>
        <w:rPr>
          <w:rStyle w:val="NormalTok"/>
        </w:rPr>
        <w:t xml:space="preserve">, </w:t>
      </w:r>
      <w:r>
        <w:rPr>
          <w:rStyle w:val="StringTok"/>
        </w:rPr>
        <w:t xml:space="preserve">"politiregisterloven § 17"</w:t>
      </w:r>
      <w:r>
        <w:rPr>
          <w:rStyle w:val="NormalTok"/>
        </w:rPr>
        <w:t xml:space="preserve">,</w:t>
      </w:r>
      <w:r>
        <w:br/>
      </w:r>
      <w:r>
        <w:rPr>
          <w:rStyle w:val="NormalTok"/>
        </w:rPr>
        <w:t xml:space="preserve">         </w:t>
      </w:r>
      <w:r>
        <w:rPr>
          <w:rStyle w:val="StringTok"/>
        </w:rPr>
        <w:t xml:space="preserve">"Free"</w:t>
      </w:r>
      <w:r>
        <w:rPr>
          <w:rStyle w:val="NormalTok"/>
        </w:rPr>
        <w:t xml:space="preserve">], horizontal</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preset.startswith(</w:t>
      </w:r>
      <w:r>
        <w:rPr>
          <w:rStyle w:val="StringTok"/>
        </w:rPr>
        <w:t xml:space="preserve">"EHDS"</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 </w:t>
      </w:r>
      <w:r>
        <w:rPr>
          <w:rStyle w:val="VariableTok"/>
        </w:rPr>
        <w:t xml:space="preserve">False</w:t>
      </w:r>
      <w:r>
        <w:br/>
      </w:r>
      <w:r>
        <w:rPr>
          <w:rStyle w:val="NormalTok"/>
        </w:rPr>
        <w:t xml:space="preserve">    </w:t>
      </w:r>
      <w:r>
        <w:rPr>
          <w:rStyle w:val="ControlFlowTok"/>
        </w:rPr>
        <w:t xml:space="preserve">elif</w:t>
      </w:r>
      <w:r>
        <w:rPr>
          <w:rStyle w:val="NormalTok"/>
        </w:rPr>
        <w:t xml:space="preserve"> preset.startswith(</w:t>
      </w:r>
      <w:r>
        <w:rPr>
          <w:rStyle w:val="StringTok"/>
        </w:rPr>
        <w:t xml:space="preserve">"politi"</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36</w:t>
      </w:r>
      <w:r>
        <w:rPr>
          <w:rStyle w:val="NormalTok"/>
        </w:rPr>
        <w:t xml:space="preserve">, </w:t>
      </w:r>
      <w:r>
        <w:rPr>
          <w:rStyle w:val="VariableTok"/>
        </w:rPr>
        <w:t xml:space="preserve">True</w:t>
      </w:r>
      <w:r>
        <w:br/>
      </w:r>
      <w:r>
        <w:rPr>
          <w:rStyle w:val="NormalTok"/>
        </w:rPr>
        <w:t xml:space="preserve">    </w:t>
      </w:r>
      <w:r>
        <w:rPr>
          <w:rStyle w:val="ControlFlowTok"/>
        </w:rPr>
        <w:t xml:space="preserve">else</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24</w:t>
      </w:r>
      <w:r>
        <w:rPr>
          <w:rStyle w:val="NormalTok"/>
        </w:rPr>
        <w:t xml:space="preserve">, </w:t>
      </w:r>
      <w:r>
        <w:rPr>
          <w:rStyle w:val="DecValTok"/>
        </w:rPr>
        <w:t xml:space="preserve">12</w:t>
      </w:r>
      <w:r>
        <w:rPr>
          <w:rStyle w:val="NormalTok"/>
        </w:rPr>
        <w:t xml:space="preserve">, </w:t>
      </w:r>
      <w:r>
        <w:rPr>
          <w:rStyle w:val="VariableTok"/>
        </w:rPr>
        <w:t xml:space="preserve">False</w:t>
      </w:r>
      <w:r>
        <w:br/>
      </w:r>
      <w:r>
        <w:rPr>
          <w:rStyle w:val="NormalTok"/>
        </w:rPr>
        <w:t xml:space="preserve">    F </w:t>
      </w:r>
      <w:r>
        <w:rPr>
          <w:rStyle w:val="OperatorTok"/>
        </w:rPr>
        <w:t xml:space="preserve">=</w:t>
      </w:r>
      <w:r>
        <w:rPr>
          <w:rStyle w:val="NormalTok"/>
        </w:rPr>
        <w:t xml:space="preserve"> st.slider(</w:t>
      </w:r>
      <w:r>
        <w:rPr>
          <w:rStyle w:val="StringTok"/>
        </w:rPr>
        <w:t xml:space="preserve">"Floor F (months, from creation)"</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F0, key</w:t>
      </w:r>
      <w:r>
        <w:rPr>
          <w:rStyle w:val="OperatorTok"/>
        </w:rPr>
        <w:t xml:space="preserve">=</w:t>
      </w:r>
      <w:r>
        <w:rPr>
          <w:rStyle w:val="SpecialStringTok"/>
        </w:rPr>
        <w:t xml:space="preserve">f"F_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L </w:t>
      </w:r>
      <w:r>
        <w:rPr>
          <w:rStyle w:val="OperatorTok"/>
        </w:rPr>
        <w:t xml:space="preserve">=</w:t>
      </w:r>
      <w:r>
        <w:rPr>
          <w:rStyle w:val="NormalTok"/>
        </w:rPr>
        <w:t xml:space="preserve"> st.slider(</w:t>
      </w:r>
      <w:r>
        <w:rPr>
          <w:rStyle w:val="StringTok"/>
        </w:rPr>
        <w:t xml:space="preserve">"Ceiling L (months, from its anchor)"</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L0, key</w:t>
      </w:r>
      <w:r>
        <w:rPr>
          <w:rStyle w:val="OperatorTok"/>
        </w:rPr>
        <w:t xml:space="preserve">=</w:t>
      </w:r>
      <w:r>
        <w:rPr>
          <w:rStyle w:val="SpecialStringTok"/>
        </w:rPr>
        <w:t xml:space="preserve">f"L_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same </w:t>
      </w:r>
      <w:r>
        <w:rPr>
          <w:rStyle w:val="OperatorTok"/>
        </w:rPr>
        <w:t xml:space="preserve">=</w:t>
      </w:r>
      <w:r>
        <w:rPr>
          <w:rStyle w:val="NormalTok"/>
        </w:rPr>
        <w:t xml:space="preserve"> st.checkbox(</w:t>
      </w:r>
      <w:r>
        <w:rPr>
          <w:rStyle w:val="StringTok"/>
        </w:rPr>
        <w:t xml:space="preserve">"Ceiling anchored to creation, the same event as the floor"</w:t>
      </w:r>
      <w:r>
        <w:rPr>
          <w:rStyle w:val="NormalTok"/>
        </w:rPr>
        <w:t xml:space="preserve">,</w:t>
      </w:r>
      <w:r>
        <w:br/>
      </w:r>
      <w:r>
        <w:rPr>
          <w:rStyle w:val="NormalTok"/>
        </w:rPr>
        <w:t xml:space="preserve">                       value</w:t>
      </w:r>
      <w:r>
        <w:rPr>
          <w:rStyle w:val="OperatorTok"/>
        </w:rPr>
        <w:t xml:space="preserve">=</w:t>
      </w:r>
      <w:r>
        <w:rPr>
          <w:rStyle w:val="NormalTok"/>
        </w:rPr>
        <w:t xml:space="preserve">same0, key</w:t>
      </w:r>
      <w:r>
        <w:rPr>
          <w:rStyle w:val="OperatorTok"/>
        </w:rPr>
        <w:t xml:space="preserve">=</w:t>
      </w:r>
      <w:r>
        <w:rPr>
          <w:rStyle w:val="SpecialStringTok"/>
        </w:rPr>
        <w:t xml:space="preserve">f"same_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same: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The two limits bound one "</w:t>
      </w:r>
      <w:r>
        <w:br/>
      </w:r>
      <w:r>
        <w:rPr>
          <w:rStyle w:val="NormalTok"/>
        </w:rPr>
        <w:t xml:space="preserve">                       </w:t>
      </w:r>
      <w:r>
        <w:rPr>
          <w:rStyle w:val="StringTok"/>
        </w:rPr>
        <w:t xml:space="preserve">"retention window, readable from the text alone."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every record collides, and the text "</w:t>
      </w:r>
      <w:r>
        <w:br/>
      </w:r>
      <w:r>
        <w:rPr>
          <w:rStyle w:val="NormalTok"/>
        </w:rPr>
        <w:t xml:space="preserve">                     </w:t>
      </w:r>
      <w:r>
        <w:rPr>
          <w:rStyle w:val="StringTok"/>
        </w:rPr>
        <w:t xml:space="preserve">"contradicts itself on its face."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wherever its anchor "</w:t>
      </w:r>
      <w:r>
        <w:br/>
      </w:r>
      <w:r>
        <w:rPr>
          <w:rStyle w:val="NormalTok"/>
        </w:rPr>
        <w:t xml:space="preserve">                       </w:t>
      </w:r>
      <w:r>
        <w:rPr>
          <w:rStyle w:val="StringTok"/>
        </w:rPr>
        <w:t xml:space="preserve">"event falls."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gap </w:t>
      </w:r>
      <w:r>
        <w:rPr>
          <w:rStyle w:val="OperatorTok"/>
        </w:rPr>
        <w:t xml:space="preserve">=</w:t>
      </w:r>
      <w:r>
        <w:rPr>
          <w:rStyle w:val="NormalTok"/>
        </w:rPr>
        <w:t xml:space="preserve"> F </w:t>
      </w:r>
      <w:r>
        <w:rPr>
          <w:rStyle w:val="OperatorTok"/>
        </w:rPr>
        <w:t xml:space="preserve">-</w:t>
      </w:r>
      <w:r>
        <w:rPr>
          <w:rStyle w:val="NormalTok"/>
        </w:rPr>
        <w:t xml:space="preserve"> L</w:t>
      </w:r>
      <w:r>
        <w:br/>
      </w:r>
      <w:r>
        <w:rPr>
          <w:rStyle w:val="NormalTok"/>
        </w:rPr>
        <w:t xml:space="preserve">            st.warning(</w:t>
      </w:r>
      <w:r>
        <w:br/>
      </w:r>
      <w:r>
        <w:rPr>
          <w:rStyle w:val="NormalTok"/>
        </w:rPr>
        <w:t xml:space="preserve">                </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a record collides exactly when its anchor event "</w:t>
      </w:r>
      <w:r>
        <w:br/>
      </w:r>
      <w:r>
        <w:rPr>
          <w:rStyle w:val="NormalTok"/>
        </w:rPr>
        <w:t xml:space="preserve">                </w:t>
      </w:r>
      <w:r>
        <w:rPr>
          <w:rStyle w:val="SpecialStringTok"/>
        </w:rPr>
        <w:t xml:space="preserve">f"falls within </w:t>
      </w:r>
      <w:r>
        <w:rPr>
          <w:rStyle w:val="SpecialCharTok"/>
        </w:rPr>
        <w:t xml:space="preserve">{</w:t>
      </w:r>
      <w:r>
        <w:rPr>
          <w:rStyle w:val="NormalTok"/>
        </w:rPr>
        <w:t xml:space="preserve">gap</w:t>
      </w:r>
      <w:r>
        <w:rPr>
          <w:rStyle w:val="SpecialCharTok"/>
        </w:rPr>
        <w:t xml:space="preserve">}</w:t>
      </w:r>
      <w:r>
        <w:rPr>
          <w:rStyle w:val="SpecialStringTok"/>
        </w:rPr>
        <w:t xml:space="preserve"> month(s) of creation (e(a) - t(a) &lt;= </w:t>
      </w:r>
      <w:r>
        <w:rPr>
          <w:rStyle w:val="SpecialCharTok"/>
        </w:rPr>
        <w:t xml:space="preserve">{</w:t>
      </w:r>
      <w:r>
        <w:rPr>
          <w:rStyle w:val="NormalTok"/>
        </w:rPr>
        <w:t xml:space="preserve">gap</w:t>
      </w:r>
      <w:r>
        <w:rPr>
          <w:rStyle w:val="SpecialCharTok"/>
        </w:rPr>
        <w:t xml:space="preserve">}</w:t>
      </w:r>
      <w:r>
        <w:rPr>
          <w:rStyle w:val="SpecialStringTok"/>
        </w:rPr>
        <w:t xml:space="preserve">). "</w:t>
      </w:r>
      <w:r>
        <w:br/>
      </w:r>
      <w:r>
        <w:rPr>
          <w:rStyle w:val="NormalTok"/>
        </w:rPr>
        <w:t xml:space="preserve">                </w:t>
      </w:r>
      <w:r>
        <w:rPr>
          <w:rStyle w:val="StringTok"/>
        </w:rPr>
        <w:t xml:space="preserve">"Nothing in the text says which records those are; each record's "</w:t>
      </w:r>
      <w:r>
        <w:br/>
      </w:r>
      <w:r>
        <w:rPr>
          <w:rStyle w:val="NormalTok"/>
        </w:rPr>
        <w:t xml:space="preserve">                </w:t>
      </w:r>
      <w:r>
        <w:rPr>
          <w:rStyle w:val="StringTok"/>
        </w:rPr>
        <w:t xml:space="preserve">"history does."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offsets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st.bar_chart(</w:t>
      </w:r>
      <w:r>
        <w:br/>
      </w:r>
      <w:r>
        <w:rPr>
          <w:rStyle w:val="NormalTok"/>
        </w:rPr>
        <w:t xml:space="preserve">                {</w:t>
      </w:r>
      <w:r>
        <w:rPr>
          <w:rStyle w:val="StringTok"/>
        </w:rPr>
        <w:t xml:space="preserve">"months of collision"</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(t0 </w:t>
      </w:r>
      <w:r>
        <w:rPr>
          <w:rStyle w:val="OperatorTok"/>
        </w:rPr>
        <w:t xml:space="preserve">+</w:t>
      </w:r>
      <w:r>
        <w:rPr>
          <w:rStyle w:val="NormalTok"/>
        </w:rPr>
        <w:t xml:space="preserve"> F) </w:t>
      </w:r>
      <w:r>
        <w:rPr>
          <w:rStyle w:val="OperatorTok"/>
        </w:rPr>
        <w:t xml:space="preserve">-</w:t>
      </w:r>
      <w:r>
        <w:rPr>
          <w:rStyle w:val="NormalTok"/>
        </w:rPr>
        <w:t xml:space="preserve"> (t0 </w:t>
      </w:r>
      <w:r>
        <w:rPr>
          <w:rStyle w:val="OperatorTok"/>
        </w:rPr>
        <w:t xml:space="preserve">+</w:t>
      </w:r>
      <w:r>
        <w:rPr>
          <w:rStyle w:val="NormalTok"/>
        </w:rPr>
        <w:t xml:space="preserve"> d </w:t>
      </w:r>
      <w:r>
        <w:rPr>
          <w:rStyle w:val="OperatorTok"/>
        </w:rPr>
        <w:t xml:space="preserve">+</w:t>
      </w:r>
      <w:r>
        <w:rPr>
          <w:rStyle w:val="NormalTok"/>
        </w:rPr>
        <w:t xml:space="preserve"> 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t0, d </w:t>
      </w:r>
      <w:r>
        <w:rPr>
          <w:rStyle w:val="KeywordTok"/>
        </w:rPr>
        <w:t xml:space="preserve">in</w:t>
      </w:r>
      <w:r>
        <w:rPr>
          <w:rStyle w:val="NormalTok"/>
        </w:rPr>
        <w:t xml:space="preserve"> [(</w:t>
      </w:r>
      <w:r>
        <w:rPr>
          <w:rStyle w:val="DecValTok"/>
        </w:rPr>
        <w:t xml:space="preserve">0</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offsets]]},</w:t>
      </w:r>
      <w:r>
        <w:br/>
      </w:r>
      <w:r>
        <w:rPr>
          <w:rStyle w:val="NormalTok"/>
        </w:rPr>
        <w:t xml:space="preserve">                x_label</w:t>
      </w:r>
      <w:r>
        <w:rPr>
          <w:rStyle w:val="OperatorTok"/>
        </w:rPr>
        <w:t xml:space="preserve">=</w:t>
      </w:r>
      <w:r>
        <w:rPr>
          <w:rStyle w:val="StringTok"/>
        </w:rPr>
        <w:t xml:space="preserve">"anchor event, months after creation"</w:t>
      </w:r>
      <w:r>
        <w:rPr>
          <w:rStyle w:val="NormalTok"/>
        </w:rPr>
        <w:t xml:space="preserve">,</w:t>
      </w:r>
      <w:r>
        <w:br/>
      </w:r>
      <w:r>
        <w:rPr>
          <w:rStyle w:val="NormalTok"/>
        </w:rPr>
        <w:t xml:space="preserve">                y_label</w:t>
      </w:r>
      <w:r>
        <w:rPr>
          <w:rStyle w:val="OperatorTok"/>
        </w:rPr>
        <w:t xml:space="preserve">=</w:t>
      </w:r>
      <w:r>
        <w:rPr>
          <w:rStyle w:val="StringTok"/>
        </w:rPr>
        <w:t xml:space="preserve">"months in which both apply"</w:t>
      </w:r>
      <w:r>
        <w:rPr>
          <w:rStyle w:val="NormalTok"/>
        </w:rPr>
        <w:t xml:space="preserve">)</w:t>
      </w:r>
      <w:r>
        <w:br/>
      </w:r>
      <w:r>
        <w:rPr>
          <w:rStyle w:val="NormalTok"/>
        </w:rPr>
        <w:t xml:space="preserve">    st.caption(</w:t>
      </w:r>
      <w:r>
        <w:br/>
      </w:r>
      <w:r>
        <w:rPr>
          <w:rStyle w:val="NormalTok"/>
        </w:rPr>
        <w:t xml:space="preserve">        </w:t>
      </w:r>
      <w:r>
        <w:rPr>
          <w:rStyle w:val="StringTok"/>
        </w:rPr>
        <w:t xml:space="preserve">"Article 68(12) is of the external-anchor kind: six months from permit expiry "</w:t>
      </w:r>
      <w:r>
        <w:br/>
      </w:r>
      <w:r>
        <w:rPr>
          <w:rStyle w:val="NormalTok"/>
        </w:rPr>
        <w:t xml:space="preserve">        </w:t>
      </w:r>
      <w:r>
        <w:rPr>
          <w:rStyle w:val="StringTok"/>
        </w:rPr>
        <w:t xml:space="preserve">"against twelve from the log entry, so logs whose permit expires within six "</w:t>
      </w:r>
      <w:r>
        <w:br/>
      </w:r>
      <w:r>
        <w:rPr>
          <w:rStyle w:val="NormalTok"/>
        </w:rPr>
        <w:t xml:space="preserve">        </w:t>
      </w:r>
      <w:r>
        <w:rPr>
          <w:rStyle w:val="StringTok"/>
        </w:rPr>
        <w:t xml:space="preserve">"months of the entry collide (Corollary 1.2). Section 17 of politiregisterloven "</w:t>
      </w:r>
      <w:r>
        <w:br/>
      </w:r>
      <w:r>
        <w:rPr>
          <w:rStyle w:val="NormalTok"/>
        </w:rPr>
        <w:t xml:space="preserve">        </w:t>
      </w:r>
      <w:r>
        <w:rPr>
          <w:rStyle w:val="StringTok"/>
        </w:rPr>
        <w:t xml:space="preserve">"measures both limbs from the log entry with the ceiling longer, so it bounds a "</w:t>
      </w:r>
      <w:r>
        <w:br/>
      </w:r>
      <w:r>
        <w:rPr>
          <w:rStyle w:val="NormalTok"/>
        </w:rPr>
        <w:t xml:space="preserve">        </w:t>
      </w:r>
      <w:r>
        <w:rPr>
          <w:rStyle w:val="StringTok"/>
        </w:rPr>
        <w:t xml:space="preserve">"window instead (Chapter 6, Section 6.10)."</w:t>
      </w:r>
      <w:r>
        <w:rPr>
          <w:rStyle w:val="NormalTok"/>
        </w:rPr>
        <w:t xml:space="preserve">)</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Tab 4 is illustrative of the "</w:t>
      </w:r>
      <w:r>
        <w:br/>
      </w:r>
      <w:r>
        <w:rPr>
          <w:rStyle w:val="NormalTok"/>
        </w:rPr>
        <w:t xml:space="preserve">    </w:t>
      </w:r>
      <w:r>
        <w:rPr>
          <w:rStyle w:val="StringTok"/>
        </w:rPr>
        <w:t xml:space="preserve">"Norwegian setting and not a thesis claim either, and Tab 6 evaluates the "</w:t>
      </w:r>
      <w:r>
        <w:br/>
      </w:r>
      <w:r>
        <w:rPr>
          <w:rStyle w:val="NormalTok"/>
        </w:rPr>
        <w:t xml:space="preserve">    </w:t>
      </w:r>
      <w:r>
        <w:rPr>
          <w:rStyle w:val="StringTok"/>
        </w:rPr>
        <w:t xml:space="preserve">"condition of Proposition 3 for any floor and ceiling you set.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3"/>
    <w:bookmarkStart w:id="124" w:name="a.15-source-listing-crypto_envelope.py"/>
    <w:p>
      <w:pPr>
        <w:pStyle w:val="Heading2"/>
      </w:pPr>
      <w:r>
        <w:t xml:space="preserve">A.15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4"/>
    <w:bookmarkStart w:id="125" w:name="a.16-console-output-of-the-reported-run"/>
    <w:p>
      <w:pPr>
        <w:pStyle w:val="Heading2"/>
      </w:pPr>
      <w:r>
        <w:t xml:space="preserve">A.16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5.3 to 5.6,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48e3d2dd8ce91f999789c66e0e3195e2a9ca03a"/>
    <w:p>
      <w:pPr>
        <w:pStyle w:val="Heading2"/>
      </w:pPr>
      <w:r>
        <w:t xml:space="preserve">A.17 Console output of the payload-provenance comparison, full cohort</w:t>
      </w:r>
    </w:p>
    <w:p>
      <w:pPr>
        <w:pStyle w:val="FirstParagraph"/>
      </w:pPr>
      <w:r>
        <w:t xml:space="preserve">Produced by command 4 against the regenerated 98-bundle cohort. This is the run Chapter 5, Section 5.8 reports at a mean payload of 1,006 bytes. It was recorded on 28 September 2026, before the code revision of 3 October, and its constructed-payload mean (35 bytes) reflects the earlier constructed strings; no measure in it depends on them, as the subset run in A.21, recorded after the revision, shows.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5.7.</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1ab1ec694b6985c6e038ee42ecd21e7013aba6f"/>
    <w:p>
      <w:pPr>
        <w:pStyle w:val="Heading2"/>
      </w:pPr>
      <w:r>
        <w:t xml:space="preserve">A.18 Console output of the erasure-response-period witness</w:t>
      </w:r>
    </w:p>
    <w:p>
      <w:pPr>
        <w:pStyle w:val="FirstParagraph"/>
      </w:pPr>
      <w:r>
        <w:t xml:space="preserve">Produced by command 5. Reproduces Table 5.5: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e991bdec0e6dcac64d51d9f41d22c090e7752e6"/>
    <w:p>
      <w:pPr>
        <w:pStyle w:val="Heading2"/>
      </w:pPr>
      <w:r>
        <w:t xml:space="preserve">A.19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5da48627d0686fbeb7efde469c3b9929803edd5"/>
    <w:p>
      <w:pPr>
        <w:pStyle w:val="Heading2"/>
      </w:pPr>
      <w:r>
        <w:t xml:space="preserve">A.20 Console output of the cross-sector instance</w:t>
      </w:r>
    </w:p>
    <w:p>
      <w:pPr>
        <w:pStyle w:val="FirstParagraph"/>
      </w:pPr>
      <w:r>
        <w:t xml:space="preserve">Produced by the second command in 6, and discussed in Chapter 6, Section 6.10.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98d21018ba300539b146b48bf3e212f76d78108"/>
    <w:p>
      <w:pPr>
        <w:pStyle w:val="Heading2"/>
      </w:pPr>
      <w:r>
        <w:t xml:space="preserve">A.21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5.8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Start w:id="131" w:name="Xa96ac9af4d63dba4b28eb3ce7fbe96e7be164c7"/>
    <w:p>
      <w:pPr>
        <w:pStyle w:val="Heading2"/>
      </w:pPr>
      <w:r>
        <w:t xml:space="preserve">A.22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p>
      <w:r>
        <w:pict>
          <v:rect style="width:0;height:1.5pt" o:hralign="center" o:hrstd="t" o:hr="t"/>
        </w:pict>
      </w:r>
    </w:p>
    <w:bookmarkEnd w:id="131"/>
    <w:bookmarkEnd w:id="132"/>
    <w:bookmarkStart w:id="139"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3" w:name="X1c7b8e7cdf46281783c18b02ca8b2002eb422aa"/>
    <w:p>
      <w:pPr>
        <w:pStyle w:val="Heading2"/>
      </w:pPr>
      <w:r>
        <w:t xml:space="preserve">Round 1: 25 May 2026 (landscape, infrastructure, regulatory baseline)</w:t>
      </w:r>
    </w:p>
    <w:p>
      <w:pPr>
        <w:numPr>
          <w:ilvl w:val="0"/>
          <w:numId w:val="1016"/>
        </w:numPr>
        <w:pStyle w:val="Compact"/>
      </w:pPr>
      <w:r>
        <w:rPr>
          <w:rStyle w:val="VerbatimChar"/>
        </w:rPr>
        <w:t xml:space="preserve">Norway electronic health record EHR infrastructure 2026 new regulations</w:t>
      </w:r>
    </w:p>
    <w:p>
      <w:pPr>
        <w:numPr>
          <w:ilvl w:val="0"/>
          <w:numId w:val="1016"/>
        </w:numPr>
        <w:pStyle w:val="Compact"/>
      </w:pPr>
      <w:r>
        <w:rPr>
          <w:rStyle w:val="VerbatimChar"/>
        </w:rPr>
        <w:t xml:space="preserve">MyHealth@EU cross-border patient summary how it works national contact point</w:t>
      </w:r>
    </w:p>
    <w:p>
      <w:pPr>
        <w:numPr>
          <w:ilvl w:val="0"/>
          <w:numId w:val="1016"/>
        </w:numPr>
        <w:pStyle w:val="Compact"/>
      </w:pPr>
      <w:r>
        <w:rPr>
          <w:rStyle w:val="VerbatimChar"/>
        </w:rPr>
        <w:t xml:space="preserve">eHDSI OpenNCP audit trail consent data minimisation HCP authorization IHE XCA</w:t>
      </w:r>
    </w:p>
    <w:p>
      <w:pPr>
        <w:numPr>
          <w:ilvl w:val="0"/>
          <w:numId w:val="1016"/>
        </w:numPr>
        <w:pStyle w:val="Compact"/>
      </w:pPr>
      <w:r>
        <w:rPr>
          <w:rStyle w:val="VerbatimChar"/>
        </w:rPr>
        <w:t xml:space="preserve">Norway Helsenorge kjernejournal architecture FHIR HL7 helseplattformen DIPS</w:t>
      </w:r>
    </w:p>
    <w:p>
      <w:pPr>
        <w:numPr>
          <w:ilvl w:val="0"/>
          <w:numId w:val="1016"/>
        </w:numPr>
        <w:pStyle w:val="Compact"/>
      </w:pPr>
      <w:r>
        <w:rPr>
          <w:rStyle w:val="VerbatimChar"/>
        </w:rPr>
        <w:t xml:space="preserve">European Health Data Space EHDS regulation 2025 primary secondary use timeline</w:t>
      </w:r>
    </w:p>
    <w:p>
      <w:pPr>
        <w:numPr>
          <w:ilvl w:val="0"/>
          <w:numId w:val="1016"/>
        </w:numPr>
        <w:pStyle w:val="Compact"/>
      </w:pPr>
      <w:r>
        <w:rPr>
          <w:rStyle w:val="VerbatimChar"/>
        </w:rPr>
        <w:t xml:space="preserve">Norway health data research innovation Helseanalyseplattformen Norwegian Centre HUNT BigMed</w:t>
      </w:r>
    </w:p>
    <w:p>
      <w:pPr>
        <w:numPr>
          <w:ilvl w:val="0"/>
          <w:numId w:val="1016"/>
        </w:numPr>
        <w:pStyle w:val="Compact"/>
      </w:pPr>
      <w:r>
        <w:rPr>
          <w:rStyle w:val="VerbatimChar"/>
        </w:rPr>
        <w:t xml:space="preserve">Norway Helsedataservice secondary use health data 2025 application portal Direktoratet for e-helse</w:t>
      </w:r>
    </w:p>
    <w:p>
      <w:pPr>
        <w:numPr>
          <w:ilvl w:val="0"/>
          <w:numId w:val="1016"/>
        </w:numPr>
        <w:pStyle w:val="Compact"/>
      </w:pPr>
      <w:r>
        <w:rPr>
          <w:rStyle w:val="VerbatimChar"/>
        </w:rPr>
        <w:t xml:space="preserve">Norwegian patient gets treated Spain ePrescription patient summary how process works</w:t>
      </w:r>
    </w:p>
    <w:p>
      <w:pPr>
        <w:numPr>
          <w:ilvl w:val="0"/>
          <w:numId w:val="1016"/>
        </w:numPr>
        <w:pStyle w:val="Compact"/>
      </w:pPr>
      <w:r>
        <w:rPr>
          <w:rStyle w:val="VerbatimChar"/>
        </w:rPr>
        <w:t xml:space="preserve">Norway MyHealth@EU national contact point eHealth go-live status 2025 2026</w:t>
      </w:r>
    </w:p>
    <w:p>
      <w:pPr>
        <w:numPr>
          <w:ilvl w:val="0"/>
          <w:numId w:val="1016"/>
        </w:numPr>
        <w:pStyle w:val="Compact"/>
      </w:pPr>
      <w:r>
        <w:rPr>
          <w:rStyle w:val="VerbatimChar"/>
        </w:rPr>
        <w:t xml:space="preserve">Norway AI medical imaging research 2025 federated learning health data</w:t>
      </w:r>
    </w:p>
    <w:p>
      <w:pPr>
        <w:numPr>
          <w:ilvl w:val="0"/>
          <w:numId w:val="1016"/>
        </w:numPr>
        <w:pStyle w:val="Compact"/>
      </w:pPr>
      <w:r>
        <w:rPr>
          <w:rStyle w:val="VerbatimChar"/>
        </w:rPr>
        <w:t xml:space="preserve">ZK-EHR zk-SNARK blockchain electronic health records MDPI Systems 2026</w:t>
      </w:r>
    </w:p>
    <w:p>
      <w:pPr>
        <w:numPr>
          <w:ilvl w:val="0"/>
          <w:numId w:val="1016"/>
        </w:numPr>
        <w:pStyle w:val="Compact"/>
      </w:pPr>
      <w:r>
        <w:rPr>
          <w:rStyle w:val="VerbatimChar"/>
        </w:rPr>
        <w:t xml:space="preserve">MDPI Systems \</w:t>
      </w:r>
    </w:p>
    <w:p>
      <w:pPr>
        <w:numPr>
          <w:ilvl w:val="0"/>
          <w:numId w:val="1016"/>
        </w:numPr>
        <w:pStyle w:val="Compact"/>
      </w:pPr>
      <w:r>
        <w:rPr>
          <w:rStyle w:val="VerbatimChar"/>
        </w:rPr>
        <w:t xml:space="preserve">KONFIDO project \</w:t>
      </w:r>
    </w:p>
    <w:p>
      <w:pPr>
        <w:numPr>
          <w:ilvl w:val="0"/>
          <w:numId w:val="1016"/>
        </w:numPr>
        <w:pStyle w:val="Compact"/>
      </w:pPr>
      <w:r>
        <w:rPr>
          <w:rStyle w:val="VerbatimChar"/>
        </w:rPr>
        <w:t xml:space="preserve">Helsedirektoratet EHDS European Health Data Space gap analysis Norway 2025</w:t>
      </w:r>
    </w:p>
    <w:p>
      <w:pPr>
        <w:numPr>
          <w:ilvl w:val="0"/>
          <w:numId w:val="1016"/>
        </w:numPr>
        <w:pStyle w:val="Compact"/>
      </w:pPr>
      <w:r>
        <w:rPr>
          <w:rStyle w:val="VerbatimChar"/>
        </w:rPr>
        <w:t xml:space="preserve">OpenNCP github repository ehdsi.europa.eu source code documentation NCP gateway</w:t>
      </w:r>
    </w:p>
    <w:p>
      <w:pPr>
        <w:numPr>
          <w:ilvl w:val="0"/>
          <w:numId w:val="1016"/>
        </w:numPr>
        <w:pStyle w:val="Compact"/>
      </w:pPr>
      <w:r>
        <w:rPr>
          <w:rStyle w:val="VerbatimChar"/>
        </w:rPr>
        <w:t xml:space="preserve">Norway AI Act implementation Nkom DigDir consultation 2025 h\u00f8ring Regulation 2024/1689</w:t>
      </w:r>
    </w:p>
    <w:bookmarkEnd w:id="133"/>
    <w:bookmarkStart w:id="134" w:name="X4a2a7d0c1e0e0ea8658fb362d79a91af0d4ac60"/>
    <w:p>
      <w:pPr>
        <w:pStyle w:val="Heading2"/>
      </w:pPr>
      <w:r>
        <w:t xml:space="preserve">Round 2: 29 May 2026 (verification and correction round)</w:t>
      </w:r>
    </w:p>
    <w:p>
      <w:pPr>
        <w:numPr>
          <w:ilvl w:val="0"/>
          <w:numId w:val="1017"/>
        </w:numPr>
        <w:pStyle w:val="Compact"/>
      </w:pPr>
      <w:r>
        <w:rPr>
          <w:rStyle w:val="VerbatimChar"/>
        </w:rPr>
        <w:t xml:space="preserve">SPUHiN \</w:t>
      </w:r>
    </w:p>
    <w:p>
      <w:pPr>
        <w:numPr>
          <w:ilvl w:val="0"/>
          <w:numId w:val="1017"/>
        </w:numPr>
        <w:pStyle w:val="Compact"/>
      </w:pPr>
      <w:r>
        <w:rPr>
          <w:rStyle w:val="VerbatimChar"/>
        </w:rPr>
        <w:t xml:space="preserve">EHDS implementation 2026 cross-border patient summary technical infrastructure Member State</w:t>
      </w:r>
    </w:p>
    <w:p>
      <w:pPr>
        <w:numPr>
          <w:ilvl w:val="0"/>
          <w:numId w:val="1017"/>
        </w:numPr>
        <w:pStyle w:val="Compact"/>
      </w:pPr>
      <w:r>
        <w:rPr>
          <w:rStyle w:val="VerbatimChar"/>
        </w:rPr>
        <w:t xml:space="preserve">IHE ATNA Audit Trail Node Authentication integration profile retention requirement</w:t>
      </w:r>
    </w:p>
    <w:p>
      <w:pPr>
        <w:numPr>
          <w:ilvl w:val="0"/>
          <w:numId w:val="1017"/>
        </w:numPr>
        <w:pStyle w:val="Compact"/>
      </w:pPr>
      <w:r>
        <w:rPr>
          <w:rStyle w:val="VerbatimChar"/>
        </w:rPr>
        <w:t xml:space="preserve">eHDSI MyHealth@EU audit log retention period years requirement</w:t>
      </w:r>
    </w:p>
    <w:p>
      <w:pPr>
        <w:numPr>
          <w:ilvl w:val="0"/>
          <w:numId w:val="1017"/>
        </w:numPr>
        <w:pStyle w:val="Compact"/>
      </w:pPr>
      <w:r>
        <w:rPr>
          <w:rStyle w:val="VerbatimChar"/>
        </w:rPr>
        <w:t xml:space="preserve">eHDSI security framework audit log retention specification cross-border European</w:t>
      </w:r>
    </w:p>
    <w:p>
      <w:pPr>
        <w:numPr>
          <w:ilvl w:val="0"/>
          <w:numId w:val="1017"/>
        </w:numPr>
        <w:pStyle w:val="Compact"/>
      </w:pPr>
      <w:r>
        <w:rPr>
          <w:rStyle w:val="VerbatimChar"/>
        </w:rPr>
        <w:t xml:space="preserve">GDPR Article 17 right erasure audit log retention healthcare EDPB guidance</w:t>
      </w:r>
    </w:p>
    <w:p>
      <w:pPr>
        <w:numPr>
          <w:ilvl w:val="0"/>
          <w:numId w:val="1017"/>
        </w:numPr>
        <w:pStyle w:val="Compact"/>
      </w:pPr>
      <w:r>
        <w:rPr>
          <w:rStyle w:val="VerbatimChar"/>
        </w:rPr>
        <w:t xml:space="preserve">cryptographic erasure audit log healthcare GDPR right to be forgotten academic</w:t>
      </w:r>
    </w:p>
    <w:p>
      <w:pPr>
        <w:numPr>
          <w:ilvl w:val="0"/>
          <w:numId w:val="1017"/>
        </w:numPr>
        <w:pStyle w:val="Compact"/>
      </w:pPr>
      <w:r>
        <w:rPr>
          <w:rStyle w:val="VerbatimChar"/>
        </w:rPr>
        <w:t xml:space="preserve">KONFIDO project OpenNCP architecture cross-border 2018 technical paper Natsiavas</w:t>
      </w:r>
    </w:p>
    <w:p>
      <w:pPr>
        <w:numPr>
          <w:ilvl w:val="0"/>
          <w:numId w:val="1017"/>
        </w:numPr>
        <w:pStyle w:val="Compact"/>
      </w:pPr>
      <w:r>
        <w:rPr>
          <w:rStyle w:val="VerbatimChar"/>
        </w:rPr>
        <w:t xml:space="preserve">zero-knowledge proof healthcare audit log verifiable revocation 2024 2025 2026</w:t>
      </w:r>
    </w:p>
    <w:p>
      <w:pPr>
        <w:numPr>
          <w:ilvl w:val="0"/>
          <w:numId w:val="1017"/>
        </w:numPr>
        <w:pStyle w:val="Compact"/>
      </w:pPr>
      <w:r>
        <w:rPr>
          <w:rStyle w:val="VerbatimChar"/>
        </w:rPr>
        <w:t xml:space="preserve">cryptographic accumulator commitment scheme revocation healthcare audit hash chain</w:t>
      </w:r>
    </w:p>
    <w:bookmarkEnd w:id="134"/>
    <w:bookmarkStart w:id="135" w:name="Xfe03fc85fed18cf0c2a2aedd5ecc7558e489de6"/>
    <w:p>
      <w:pPr>
        <w:pStyle w:val="Heading2"/>
      </w:pPr>
      <w:r>
        <w:t xml:space="preserve">Round 3: 15 September 2026 (resumption; novelty and currency)</w:t>
      </w:r>
    </w:p>
    <w:p>
      <w:pPr>
        <w:numPr>
          <w:ilvl w:val="0"/>
          <w:numId w:val="1018"/>
        </w:numPr>
        <w:pStyle w:val="Compact"/>
      </w:pPr>
      <w:r>
        <w:rPr>
          <w:rStyle w:val="VerbatimChar"/>
        </w:rPr>
        <w:t xml:space="preserve">Helsedataservice Norway secondary use access body workflow data permit registry</w:t>
      </w:r>
    </w:p>
    <w:p>
      <w:pPr>
        <w:numPr>
          <w:ilvl w:val="0"/>
          <w:numId w:val="1018"/>
        </w:numPr>
        <w:pStyle w:val="Compact"/>
      </w:pPr>
      <w:r>
        <w:rPr>
          <w:rStyle w:val="VerbatimChar"/>
        </w:rPr>
        <w:t xml:space="preserve">information logistics digital supply chain cross-border data flow regulatory compliance academic</w:t>
      </w:r>
    </w:p>
    <w:p>
      <w:pPr>
        <w:numPr>
          <w:ilvl w:val="0"/>
          <w:numId w:val="1018"/>
        </w:numPr>
        <w:pStyle w:val="Compact"/>
      </w:pPr>
      <w:r>
        <w:rPr>
          <w:rStyle w:val="VerbatimChar"/>
        </w:rPr>
        <w:t xml:space="preserve">Norwegian offshore workers health records cross-border medical exchange maritime logistics</w:t>
      </w:r>
    </w:p>
    <w:p>
      <w:pPr>
        <w:numPr>
          <w:ilvl w:val="0"/>
          <w:numId w:val="1018"/>
        </w:numPr>
        <w:pStyle w:val="Compact"/>
      </w:pPr>
      <w:r>
        <w:rPr>
          <w:rStyle w:val="VerbatimChar"/>
        </w:rPr>
        <w:t xml:space="preserve">formal model conflict audit log retention GDPR right to erasure constraint satisfaction</w:t>
      </w:r>
    </w:p>
    <w:p>
      <w:pPr>
        <w:numPr>
          <w:ilvl w:val="0"/>
          <w:numId w:val="1018"/>
        </w:numPr>
        <w:pStyle w:val="Compact"/>
      </w:pPr>
      <w:r>
        <w:rPr>
          <w:rStyle w:val="VerbatimChar"/>
        </w:rPr>
        <w:t xml:space="preserve">formal verification regulatory compliance conflicting retention requirements temporal logic healthcare audit</w:t>
      </w:r>
    </w:p>
    <w:p>
      <w:pPr>
        <w:numPr>
          <w:ilvl w:val="0"/>
          <w:numId w:val="1018"/>
        </w:numPr>
        <w:pStyle w:val="Compact"/>
      </w:pPr>
      <w:r>
        <w:rPr>
          <w:rStyle w:val="VerbatimChar"/>
        </w:rPr>
        <w:t xml:space="preserve">operations research optimization model data governance compliance reconciliation supply chain regulatory constraints</w:t>
      </w:r>
    </w:p>
    <w:p>
      <w:pPr>
        <w:numPr>
          <w:ilvl w:val="0"/>
          <w:numId w:val="1018"/>
        </w:numPr>
        <w:pStyle w:val="Compact"/>
      </w:pPr>
      <w:r>
        <w:rPr>
          <w:rStyle w:val="VerbatimChar"/>
        </w:rPr>
        <w:t xml:space="preserve">thesis chapter 3 TRF model formal specification VERA-SNARK</w:t>
      </w:r>
    </w:p>
    <w:p>
      <w:pPr>
        <w:numPr>
          <w:ilvl w:val="0"/>
          <w:numId w:val="1018"/>
        </w:numPr>
        <w:pStyle w:val="Compact"/>
      </w:pPr>
      <w:r>
        <w:rPr>
          <w:rStyle w:val="VerbatimChar"/>
        </w:rPr>
        <w:t xml:space="preserve">TRF model gate feasibility theorem crypto-erasure invalidation chapter 4</w:t>
      </w:r>
    </w:p>
    <w:p>
      <w:pPr>
        <w:numPr>
          <w:ilvl w:val="0"/>
          <w:numId w:val="1018"/>
        </w:numPr>
        <w:pStyle w:val="Compact"/>
      </w:pPr>
      <w:r>
        <w:rPr>
          <w:rStyle w:val="VerbatimChar"/>
        </w:rPr>
        <w:t xml:space="preserve">Norge EHDS E\u00d8S gjennomf\u00f8ring helsedata juni 2026</w:t>
      </w:r>
    </w:p>
    <w:p>
      <w:pPr>
        <w:numPr>
          <w:ilvl w:val="0"/>
          <w:numId w:val="1018"/>
        </w:numPr>
        <w:pStyle w:val="Compact"/>
      </w:pPr>
      <w:r>
        <w:rPr>
          <w:rStyle w:val="VerbatimChar"/>
        </w:rPr>
        <w:t xml:space="preserve">Google Drive read file content</w:t>
      </w:r>
    </w:p>
    <w:bookmarkEnd w:id="135"/>
    <w:bookmarkStart w:id="136" w:name="X42e6240ce94ac92875ca4170810e6341d8d647c"/>
    <w:p>
      <w:pPr>
        <w:pStyle w:val="Heading2"/>
      </w:pPr>
      <w:r>
        <w:t xml:space="preserve">Round 4: 16 September 2026 (adversarial novelty, prior art, currency)</w:t>
      </w:r>
    </w:p>
    <w:p>
      <w:pPr>
        <w:numPr>
          <w:ilvl w:val="0"/>
          <w:numId w:val="1019"/>
        </w:numPr>
        <w:pStyle w:val="Compact"/>
      </w:pPr>
      <w:r>
        <w:rPr>
          <w:rStyle w:val="VerbatimChar"/>
        </w:rPr>
        <w:t xml:space="preserve">EHDS secondary use audit log retention erasure 2026 IEEE Scopus formal compliance health data</w:t>
      </w:r>
    </w:p>
    <w:p>
      <w:pPr>
        <w:numPr>
          <w:ilvl w:val="0"/>
          <w:numId w:val="1019"/>
        </w:numPr>
        <w:pStyle w:val="Compact"/>
      </w:pPr>
      <w:r>
        <w:rPr>
          <w:rStyle w:val="VerbatimChar"/>
        </w:rPr>
        <w:t xml:space="preserve">"retention conflict" OR "conflicting retention" cryptographic erasure formal model 2026 arXiv</w:t>
      </w:r>
    </w:p>
    <w:p>
      <w:pPr>
        <w:numPr>
          <w:ilvl w:val="0"/>
          <w:numId w:val="1019"/>
        </w:numPr>
        <w:pStyle w:val="Compact"/>
      </w:pPr>
      <w:r>
        <w:rPr>
          <w:rStyle w:val="VerbatimChar"/>
        </w:rPr>
        <w:t xml:space="preserve">EUR-Lex 2025/327 Article 73 secure processing environment "keeping of identifiable logs" access activities year</w:t>
      </w:r>
    </w:p>
    <w:p>
      <w:pPr>
        <w:numPr>
          <w:ilvl w:val="0"/>
          <w:numId w:val="1019"/>
        </w:numPr>
        <w:pStyle w:val="Compact"/>
      </w:pPr>
      <w:r>
        <w:rPr>
          <w:rStyle w:val="VerbatimChar"/>
        </w:rPr>
        <w:t xml:space="preserve">Regulation 2025/327 EHDS entry into force 26 March 2025 application date Article 105 staggered 2029</w:t>
      </w:r>
    </w:p>
    <w:p>
      <w:pPr>
        <w:numPr>
          <w:ilvl w:val="0"/>
          <w:numId w:val="1019"/>
        </w:numPr>
        <w:pStyle w:val="Compact"/>
      </w:pPr>
      <w:r>
        <w:rPr>
          <w:rStyle w:val="VerbatimChar"/>
        </w:rPr>
        <w:t xml:space="preserve">EDPB Guidelines 02/2025 blockchain personal data final version adopted after public consultation</w:t>
      </w:r>
    </w:p>
    <w:p>
      <w:pPr>
        <w:numPr>
          <w:ilvl w:val="0"/>
          <w:numId w:val="1019"/>
        </w:numPr>
        <w:pStyle w:val="Compact"/>
      </w:pPr>
      <w:r>
        <w:rPr>
          <w:rStyle w:val="VerbatimChar"/>
        </w:rPr>
        <w:t xml:space="preserve">TEHDAS2 deliverable secure processing environment technical specifications 2026 D7 tehdas.eu</w:t>
      </w:r>
    </w:p>
    <w:p>
      <w:pPr>
        <w:numPr>
          <w:ilvl w:val="0"/>
          <w:numId w:val="1019"/>
        </w:numPr>
        <w:pStyle w:val="Compact"/>
      </w:pPr>
      <w:r>
        <w:rPr>
          <w:rStyle w:val="VerbatimChar"/>
        </w:rPr>
        <w:t xml:space="preserve">eHOMB eHealth Operational Management Board Norway ePrescription without eDispensation change proposal requirement catalogue approved</w:t>
      </w:r>
    </w:p>
    <w:p>
      <w:pPr>
        <w:numPr>
          <w:ilvl w:val="0"/>
          <w:numId w:val="1019"/>
        </w:numPr>
        <w:pStyle w:val="Compact"/>
      </w:pPr>
      <w:r>
        <w:rPr>
          <w:rStyle w:val="VerbatimChar"/>
        </w:rPr>
        <w:t xml:space="preserve">EHDS Article 68 paragraph 12 "data permit" delete personal electronic health data secure processing environment six months expiry</w:t>
      </w:r>
    </w:p>
    <w:p>
      <w:pPr>
        <w:numPr>
          <w:ilvl w:val="0"/>
          <w:numId w:val="1019"/>
        </w:numPr>
        <w:pStyle w:val="Compact"/>
      </w:pPr>
      <w:r>
        <w:rPr>
          <w:rStyle w:val="VerbatimChar"/>
        </w:rPr>
        <w:t xml:space="preserve">Walonoski Synthea synthetic patient generator JAMIA 2018 25(3) 230-238</w:t>
      </w:r>
    </w:p>
    <w:p>
      <w:pPr>
        <w:numPr>
          <w:ilvl w:val="0"/>
          <w:numId w:val="1019"/>
        </w:numPr>
        <w:pStyle w:val="Compact"/>
      </w:pPr>
      <w:r>
        <w:rPr>
          <w:rStyle w:val="VerbatimChar"/>
        </w:rPr>
        <w:t xml:space="preserve">validity synthetic clinical data Synthea validation clinical quality measures limitations</w:t>
      </w:r>
    </w:p>
    <w:p>
      <w:pPr>
        <w:numPr>
          <w:ilvl w:val="0"/>
          <w:numId w:val="1019"/>
        </w:numPr>
        <w:pStyle w:val="Compact"/>
      </w:pPr>
      <w:r>
        <w:rPr>
          <w:rStyle w:val="VerbatimChar"/>
        </w:rPr>
        <w:t xml:space="preserve">HL7 Norway basisprofiler FHIR R4 no-basis 2026 status</w:t>
      </w:r>
    </w:p>
    <w:p>
      <w:pPr>
        <w:numPr>
          <w:ilvl w:val="0"/>
          <w:numId w:val="1019"/>
        </w:numPr>
        <w:pStyle w:val="Compact"/>
      </w:pPr>
      <w:r>
        <w:rPr>
          <w:rStyle w:val="VerbatimChar"/>
        </w:rPr>
        <w:t xml:space="preserve">Datatilsynet NIF Norges idrettsforbund vedtak syntetiske testdata personopplysninger test</w:t>
      </w:r>
    </w:p>
    <w:p>
      <w:pPr>
        <w:numPr>
          <w:ilvl w:val="0"/>
          <w:numId w:val="1019"/>
        </w:numPr>
        <w:pStyle w:val="Compact"/>
      </w:pPr>
      <w:r>
        <w:rPr>
          <w:rStyle w:val="VerbatimChar"/>
        </w:rPr>
        <w:t xml:space="preserve">Peffers Tuunanen Rothenberger Chatterjee design science research methodology Journal of Management Information Systems 2007 24 3 45-77</w:t>
      </w:r>
    </w:p>
    <w:p>
      <w:pPr>
        <w:numPr>
          <w:ilvl w:val="0"/>
          <w:numId w:val="1019"/>
        </w:numPr>
        <w:pStyle w:val="Compact"/>
      </w:pPr>
      <w:r>
        <w:rPr>
          <w:rStyle w:val="VerbatimChar"/>
        </w:rPr>
        <w:t xml:space="preserve">NIST SP 800-88 Revision 2 media sanitization published date 2025 draft final</w:t>
      </w:r>
    </w:p>
    <w:p>
      <w:pPr>
        <w:numPr>
          <w:ilvl w:val="0"/>
          <w:numId w:val="1019"/>
        </w:numPr>
        <w:pStyle w:val="Compact"/>
      </w:pPr>
      <w:r>
        <w:rPr>
          <w:rStyle w:val="VerbatimChar"/>
        </w:rPr>
        <w:t xml:space="preserve">Norge MyHealth@EU pasientsammendrag pilot Bodø Stjørdal legevakt Portugal Tsjekkia Finland</w:t>
      </w:r>
    </w:p>
    <w:p>
      <w:pPr>
        <w:numPr>
          <w:ilvl w:val="0"/>
          <w:numId w:val="1019"/>
        </w:numPr>
        <w:pStyle w:val="Compact"/>
      </w:pPr>
      <w:r>
        <w:rPr>
          <w:rStyle w:val="VerbatimChar"/>
        </w:rPr>
        <w:t xml:space="preserve">EHDS implementing acts 2026 secure processing environment specifications adopted status</w:t>
      </w:r>
    </w:p>
    <w:p>
      <w:pPr>
        <w:numPr>
          <w:ilvl w:val="0"/>
          <w:numId w:val="1019"/>
        </w:numPr>
        <w:pStyle w:val="Compact"/>
      </w:pPr>
      <w:r>
        <w:rPr>
          <w:rStyle w:val="VerbatimChar"/>
        </w:rPr>
        <w:t xml:space="preserve">eprint 2026/1109 SoK cryptographic erasure public ledgers Destruction-IND</w:t>
      </w:r>
    </w:p>
    <w:p>
      <w:pPr>
        <w:numPr>
          <w:ilvl w:val="0"/>
          <w:numId w:val="1019"/>
        </w:numPr>
        <w:pStyle w:val="Compact"/>
      </w:pPr>
      <w:r>
        <w:rPr>
          <w:rStyle w:val="VerbatimChar"/>
        </w:rPr>
        <w:t xml:space="preserve">GDPR Article 12(3) one month respond erasure request extension two months</w:t>
      </w:r>
    </w:p>
    <w:p>
      <w:pPr>
        <w:numPr>
          <w:ilvl w:val="0"/>
          <w:numId w:val="1019"/>
        </w:numPr>
        <w:pStyle w:val="Compact"/>
      </w:pPr>
      <w:r>
        <w:rPr>
          <w:rStyle w:val="VerbatimChar"/>
        </w:rPr>
        <w:t xml:space="preserve">SPUHiN D5.2 recommendations minimum requirements secure processing final helsedirektoratet</w:t>
      </w:r>
    </w:p>
    <w:p>
      <w:pPr>
        <w:numPr>
          <w:ilvl w:val="0"/>
          <w:numId w:val="1019"/>
        </w:numPr>
        <w:pStyle w:val="Compact"/>
      </w:pPr>
      <w:r>
        <w:rPr>
          <w:rStyle w:val="VerbatimChar"/>
        </w:rPr>
        <w:t xml:space="preserve">Reardon Basin Capkun SoK secure data deletion 2013 IEEE</w:t>
      </w:r>
    </w:p>
    <w:p>
      <w:pPr>
        <w:numPr>
          <w:ilvl w:val="0"/>
          <w:numId w:val="1019"/>
        </w:numPr>
        <w:pStyle w:val="Compact"/>
      </w:pPr>
      <w:r>
        <w:rPr>
          <w:rStyle w:val="VerbatimChar"/>
        </w:rPr>
        <w:t xml:space="preserve">Finck blockchain GDPR European Parliament study 2019 can distributed ledgers be squared right erasure</w:t>
      </w:r>
    </w:p>
    <w:p>
      <w:pPr>
        <w:numPr>
          <w:ilvl w:val="0"/>
          <w:numId w:val="1019"/>
        </w:numPr>
        <w:pStyle w:val="Compact"/>
      </w:pPr>
      <w:r>
        <w:rPr>
          <w:rStyle w:val="VerbatimChar"/>
        </w:rPr>
        <w:t xml:space="preserve">Datatilsynet sletting anonymisering kryptering personopplysninger krav</w:t>
      </w:r>
    </w:p>
    <w:p>
      <w:pPr>
        <w:numPr>
          <w:ilvl w:val="0"/>
          <w:numId w:val="1019"/>
        </w:numPr>
        <w:pStyle w:val="Compact"/>
      </w:pPr>
      <w:r>
        <w:rPr>
          <w:rStyle w:val="VerbatimChar"/>
        </w:rPr>
        <w:t xml:space="preserve">formal model audit retention versus erasure crypto-shredding paper 2026</w:t>
      </w:r>
    </w:p>
    <w:bookmarkEnd w:id="136"/>
    <w:bookmarkStart w:id="137"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7"/>
    <w:bookmarkStart w:id="138"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8"/>
    <w:bookmarkEnd w:id="139"/>
    <w:bookmarkStart w:id="159"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40"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40"/>
    <w:bookmarkStart w:id="141"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(Chapter 6, Section 6.3).</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1"/>
    <w:bookmarkStart w:id="142"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2"/>
    <w:bookmarkStart w:id="143"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3"/>
    <w:bookmarkStart w:id="144"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20"/>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20"/>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20"/>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20"/>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20"/>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20"/>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4"/>
    <w:bookmarkStart w:id="149"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5" w:name="current-practice-and-problem-recognition"/>
    <w:p>
      <w:pPr>
        <w:pStyle w:val="Heading3"/>
      </w:pPr>
      <w:r>
        <w:t xml:space="preserve">Current practice and problem recognition</w:t>
      </w:r>
    </w:p>
    <w:p>
      <w:pPr>
        <w:numPr>
          <w:ilvl w:val="0"/>
          <w:numId w:val="1021"/>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21"/>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21"/>
        </w:numPr>
        <w:pStyle w:val="Compact"/>
      </w:pPr>
      <w:r>
        <w:t xml:space="preserve">Where in your organisation would responsibility for resolving this sit?</w:t>
      </w:r>
    </w:p>
    <w:bookmarkEnd w:id="145"/>
    <w:bookmarkStart w:id="146" w:name="legal-defensibility"/>
    <w:p>
      <w:pPr>
        <w:pStyle w:val="Heading3"/>
      </w:pPr>
      <w:r>
        <w:t xml:space="preserve">Legal defensibility</w:t>
      </w:r>
    </w:p>
    <w:p>
      <w:pPr>
        <w:numPr>
          <w:ilvl w:val="0"/>
          <w:numId w:val="1022"/>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22"/>
        </w:numPr>
        <w:pStyle w:val="Compact"/>
      </w:pPr>
      <w:r>
        <w:t xml:space="preserve">What would a supervisory authority need to see before accepting it?</w:t>
      </w:r>
    </w:p>
    <w:p>
      <w:pPr>
        <w:numPr>
          <w:ilvl w:val="0"/>
          <w:numId w:val="1022"/>
        </w:numPr>
        <w:pStyle w:val="Compact"/>
      </w:pPr>
      <w:r>
        <w:t xml:space="preserve">The surviving residue is characterised as pseudonymised rather than anonymous. Does that characterisation match your reading of the Norwegian threshold?</w:t>
      </w:r>
    </w:p>
    <w:p>
      <w:pPr>
        <w:numPr>
          <w:ilvl w:val="0"/>
          <w:numId w:val="1022"/>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6"/>
    <w:bookmarkStart w:id="147" w:name="trust-and-key-custody"/>
    <w:p>
      <w:pPr>
        <w:pStyle w:val="Heading3"/>
      </w:pPr>
      <w:r>
        <w:t xml:space="preserve">Trust and key custody</w:t>
      </w:r>
    </w:p>
    <w:p>
      <w:pPr>
        <w:numPr>
          <w:ilvl w:val="0"/>
          <w:numId w:val="1023"/>
        </w:numPr>
        <w:pStyle w:val="Compact"/>
      </w:pPr>
      <w:r>
        <w:t xml:space="preserve">The invalidation entry attests that a key was destroyed; it does not prove it. Is attestation sufficient in your operating context, and if not, what would make it sufficient?</w:t>
      </w:r>
    </w:p>
    <w:p>
      <w:pPr>
        <w:numPr>
          <w:ilvl w:val="0"/>
          <w:numId w:val="1023"/>
        </w:numPr>
        <w:pStyle w:val="Compact"/>
      </w:pPr>
      <w:r>
        <w:t xml:space="preserve">Where would key custody sit in your architecture, and what failure modes concern you most?</w:t>
      </w:r>
    </w:p>
    <w:p>
      <w:pPr>
        <w:numPr>
          <w:ilvl w:val="0"/>
          <w:numId w:val="1023"/>
        </w:numPr>
        <w:pStyle w:val="Compact"/>
      </w:pPr>
      <w:r>
        <w:t xml:space="preserve">Does per-record key granularity create a single point of failure you would be unwilling to accept without hardware-backed attestation?</w:t>
      </w:r>
    </w:p>
    <w:bookmarkEnd w:id="147"/>
    <w:bookmarkStart w:id="148" w:name="operational-viability"/>
    <w:p>
      <w:pPr>
        <w:pStyle w:val="Heading3"/>
      </w:pPr>
      <w:r>
        <w:t xml:space="preserve">Operational viability</w:t>
      </w:r>
    </w:p>
    <w:p>
      <w:pPr>
        <w:numPr>
          <w:ilvl w:val="0"/>
          <w:numId w:val="1024"/>
        </w:numPr>
        <w:pStyle w:val="Compact"/>
      </w:pPr>
      <w:r>
        <w:t xml:space="preserve">What would implementing this at your institution actually require: systems, process, people?</w:t>
      </w:r>
    </w:p>
    <w:p>
      <w:pPr>
        <w:numPr>
          <w:ilvl w:val="0"/>
          <w:numId w:val="1024"/>
        </w:numPr>
        <w:pStyle w:val="Compact"/>
      </w:pPr>
      <w:r>
        <w:t xml:space="preserve">At what record volume would the per-record key registry become a problem?</w:t>
      </w:r>
    </w:p>
    <w:p>
      <w:pPr>
        <w:numPr>
          <w:ilvl w:val="0"/>
          <w:numId w:val="1024"/>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8"/>
    <w:bookmarkEnd w:id="149"/>
    <w:bookmarkStart w:id="155"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50"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50"/>
    <w:bookmarkStart w:id="151"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1"/>
    <w:bookmarkStart w:id="152"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2"/>
    <w:bookmarkStart w:id="153"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t xml:space="preserve">The mechanism lets an auditor verify that a record’s invalidation was logged at the required month and has not been altered since.</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3"/>
    <w:bookmarkStart w:id="154"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Chapter 6, Section 6.3 states that the invalidation entry is an attestation rather than a proof. Analysis reads the two together.</w:t>
      </w:r>
    </w:p>
    <w:p>
      <w:r>
        <w:pict>
          <v:rect style="width:0;height:1.5pt" o:hralign="center" o:hrstd="t" o:hr="t"/>
        </w:pict>
      </w:r>
    </w:p>
    <w:bookmarkEnd w:id="154"/>
    <w:bookmarkEnd w:id="155"/>
    <w:bookmarkStart w:id="156"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6"/>
    <w:bookmarkStart w:id="157"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7"/>
    <w:bookmarkStart w:id="158"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8"/>
    <w:bookmarkEnd w:id="159"/>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2026-10-03T21:03:35Z</dcterms:created>
  <dcterms:modified xsi:type="dcterms:W3CDTF">2026-10-03T21:03:35Z</dcterms:modified>
</cp:coreProperties>
</file>

<file path=docProps/custom.xml><?xml version="1.0" encoding="utf-8"?>
<Properties xmlns="http://schemas.openxmlformats.org/officeDocument/2006/custom-properties" xmlns:vt="http://schemas.openxmlformats.org/officeDocument/2006/docPropsVTypes"/>
</file>