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8"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removes the record’s link to the patient, while retaining the accessor’s identity, event metadata, a hiding commitment and a logged invalidation entry in a tamper-evident log.</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 the broad reading,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7"/>
    <w:bookmarkEnd w:id="28"/>
    <w:bookmarkStart w:id="36" w:name="chapter-1.-introduction"/>
    <w:p>
      <w:pPr>
        <w:pStyle w:val="Heading1"/>
      </w:pPr>
      <w:r>
        <w:t xml:space="preserve">Chapter 1. Introduction</w:t>
      </w:r>
    </w:p>
    <w:p>
      <w:r>
        <w:pict>
          <v:rect style="width:0;height:1.5pt" o:hralign="center" o:hrstd="t" o:hr="t"/>
        </w:pict>
      </w:r>
    </w:p>
    <w:bookmarkStart w:id="29"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pilot run by the Norwegian Directorate of Health (Helsedirektoratet) and the Norwegian Health Network (Norsk Helsenett SF) is in production at the emergency clinics (legevakter) in Bodø and Stjørdal, receiving patient summaries for citizens of other participating states, and in 2026 the project began establishing NCP-A, the contact point through which Norwegian health data will be shared abroad (Helsedirektoratet, 2026). No relevant patients had yet presented when the Directorate last reported, so the volume of genuine cross-border audit records generated in Norway is still minimal. Chapter 2, Section 2.2 gives the details.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9"/>
    <w:bookmarkStart w:id="30"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0"/>
    <w:bookmarkStart w:id="31"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itself divided into the accessor’s fields and the link to the patient,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1"/>
    <w:bookmarkStart w:id="32"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2"/>
    <w:bookmarkStart w:id="33"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(Chapter 7, Section 7.5).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3"/>
    <w:bookmarkStart w:id="34"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4"/>
    <w:bookmarkStart w:id="35"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(Table 4.1).</w:t>
      </w:r>
    </w:p>
    <w:p>
      <w:pPr>
        <w:pStyle w:val="BodyText"/>
      </w:pPr>
      <w:r>
        <w:rPr>
          <w:iCs/>
          <w:i/>
        </w:rPr>
        <w:t xml:space="preserve">Chapter 5</w:t>
      </w:r>
      <w:r>
        <w:t xml:space="preserve"> </w:t>
      </w:r>
      <w:r>
        <w:t xml:space="preserve">presents the sandbox demonstration: the executable feasibility check, the independent exhaustive cross-check, the audit-log integrity and tamper tests, and the optional run with real envelope encryption.</w:t>
      </w:r>
      <w:r>
        <w:t xml:space="preserve"> </w:t>
      </w:r>
      <w:r>
        <w:rPr>
          <w:iCs/>
          <w:i/>
        </w:rPr>
        <w:t xml:space="preserve">Chapter 6</w:t>
      </w:r>
      <w:r>
        <w:t xml:space="preserve"> </w:t>
      </w:r>
      <w:r>
        <w:t xml:space="preserve">discusses findings and their implications for practice, theory, and policy, engages the principal counter-positions, and tests the model on a statute outside health.</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5"/>
    <w:bookmarkEnd w:id="36"/>
    <w:bookmarkStart w:id="54" w:name="X61356a8dd943f7272c3310c94cfa9c8ca767dda"/>
    <w:p>
      <w:pPr>
        <w:pStyle w:val="Heading1"/>
      </w:pPr>
      <w:r>
        <w:t xml:space="preserve">Chapter 2. Literature Review and Theoretical Foundation</w:t>
      </w:r>
    </w:p>
    <w:p>
      <w:r>
        <w:pict>
          <v:rect style="width:0;height:1.5pt" o:hralign="center" o:hrstd="t" o:hr="t"/>
        </w:pict>
      </w:r>
    </w:p>
    <w:bookmarkStart w:id="44" w:name="review-protocol"/>
    <w:p>
      <w:pPr>
        <w:pStyle w:val="Heading2"/>
      </w:pPr>
      <w:r>
        <w:t xml:space="preserve">2.1 Review Protocol</w:t>
      </w:r>
    </w:p>
    <w:bookmarkStart w:id="37"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7"/>
    <w:bookmarkStart w:id="38"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8"/>
    <w:bookmarkStart w:id="39"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9"/>
    <w:bookmarkStart w:id="40"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0"/>
    <w:bookmarkStart w:id="41"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1"/>
    <w:bookmarkStart w:id="42"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2"/>
    <w:bookmarkStart w:id="43"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3"/>
    <w:bookmarkEnd w:id="44"/>
    <w:bookmarkStart w:id="45"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5"/>
    <w:bookmarkStart w:id="46"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6"/>
    <w:bookmarkStart w:id="47"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Chapter 4, Section 4.8 keeps the construction and resolves the tension by deciding what an entry may contain.</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7"/>
    <w:bookmarkStart w:id="48"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8"/>
    <w:bookmarkStart w:id="49"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9"/>
    <w:bookmarkStart w:id="50"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0"/>
    <w:bookmarkStart w:id="51"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1"/>
    <w:bookmarkStart w:id="52"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2"/>
    <w:bookmarkStart w:id="53"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3"/>
    <w:bookmarkEnd w:id="54"/>
    <w:bookmarkStart w:id="64" w:name="Xc642577019a76bd27fe42ea49bac447856470a9"/>
    <w:p>
      <w:pPr>
        <w:pStyle w:val="Heading1"/>
      </w:pPr>
      <w:r>
        <w:t xml:space="preserve">Chapter 3. Methodology and Research Design</w:t>
      </w:r>
    </w:p>
    <w:p>
      <w:r>
        <w:pict>
          <v:rect style="width:0;height:1.5pt" o:hralign="center" o:hrstd="t" o:hr="t"/>
        </w:pict>
      </w:r>
    </w:p>
    <w:bookmarkStart w:id="55"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5"/>
    <w:bookmarkStart w:id="56"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bookmarkEnd w:id="56"/>
    <w:bookmarkStart w:id="57"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7"/>
    <w:bookmarkStart w:id="58"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(Chapter 4, Section 4.3).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8"/>
    <w:bookmarkStart w:id="59"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59"/>
    <w:bookmarkStart w:id="60" w:name="sandbox-implementation-approach"/>
    <w:p>
      <w:pPr>
        <w:pStyle w:val="Heading2"/>
      </w:pPr>
      <w:r>
        <w:t xml:space="preserve">3.6 Sandbox Implementation Approach</w:t>
      </w:r>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(Chapter 5, Section 5.5). This is a robustness measure rather than a component of the contribution.</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0"/>
    <w:bookmarkStart w:id="61"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Table 4.1,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1"/>
    <w:bookmarkStart w:id="62"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2"/>
    <w:bookmarkStart w:id="63"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3"/>
    <w:bookmarkEnd w:id="64"/>
    <w:bookmarkStart w:id="77"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5"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first rival a reviewer would propose,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5"/>
    <w:bookmarkStart w:id="66"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6"/>
    <w:bookmarkStart w:id="67"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7"/>
    <w:bookmarkStart w:id="68"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8"/>
    <w:bookmarkStart w:id="69"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69"/>
    <w:bookmarkStart w:id="70"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0"/>
    <w:bookmarkStart w:id="71"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1"/>
    <w:bookmarkStart w:id="72"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Section 2.1). The optional module of the artefact executes it: per-record 256-bit data keys under AES in Galois/Counter Mode (Dworkin, 2007), each wrapped under a key-encrypting key and destroyed at the record’s invalidation month (Appendix A, A.9e).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Section 7.6).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(Chapter 5, Section 5.6). What enters a leaf is chosen so that the log never needs erasing: the accessor fields, the creation month and the commitment, never the payload and never the subject fields. The tension that Chapter 2, Section 2.4 found unresolved in blockchain audit logging, an immutable trail facing an erasure right, therefore does not arise: what the right and the ceiling reach is held outside the log and destroyed there, and what the log holds is what accountability requires.</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2"/>
    <w:bookmarkStart w:id="73"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the leaf hashes of the audit log 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(Section 6.1).</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3"/>
    <w:bookmarkStart w:id="74" w:name="rival-designs"/>
    <w:p>
      <w:pPr>
        <w:pStyle w:val="Heading2"/>
      </w:pPr>
      <w:r>
        <w:t xml:space="preserve">4.10 Rival Designs</w:t>
      </w:r>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4"/>
    <w:bookmarkStart w:id="75"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31</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31; OPR-18, p. 51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31; OPR-8, p. 46</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51</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51</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r>
              <w:t xml:space="preserve"> </w:t>
            </w:r>
            <w:r>
              <w:rPr>
                <w:rStyle w:val="VerbatimChar"/>
              </w:rPr>
              <w:t xml:space="preserve">crypto_envelope.py</w:t>
            </w:r>
          </w:p>
        </w:tc>
        <w:tc>
          <w:tcPr/>
          <w:p>
            <w:pPr>
              <w:pStyle w:val="Compact"/>
              <w:jc w:val="left"/>
            </w:pPr>
            <w:r>
              <w:t xml:space="preserve">Hierarchy met in the optional module; hardware custody and the threat model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Chapter 3, Section 3.8 is designed to test with practitioners.</w:t>
      </w:r>
    </w:p>
    <w:bookmarkEnd w:id="75"/>
    <w:bookmarkStart w:id="76"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6"/>
    <w:bookmarkEnd w:id="77"/>
    <w:bookmarkStart w:id="86"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8"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Propositions 3 and 4 are analytic and are not executed here, although Section 5.4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w:t>
      </w:r>
    </w:p>
    <w:bookmarkEnd w:id="78"/>
    <w:bookmarkStart w:id="79"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Chapter 1, Section 1.5;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79"/>
    <w:bookmarkStart w:id="80"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5.0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0"/>
    <w:bookmarkStart w:id="81"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structural explanation.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Permit lengths were drawn uniformly from one to twelve months, so half the draws fall at or below six. The figure is therefore a consequence of the permit-length distribution; what the demonstration establishes is that the collision arises under ordinary parameters rather than contrived ones. Nor was the twelve-month horizon chosen to produce it: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1"/>
    <w:bookmarkStart w:id="82"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82"/>
    <w:bookmarkStart w:id="83"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3"/>
    <w:bookmarkStart w:id="84"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4"/>
    <w:bookmarkStart w:id="85"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5.1 are read as Section 5.3 states.</w:t>
      </w:r>
    </w:p>
    <w:p>
      <w:pPr>
        <w:pStyle w:val="BodyText"/>
      </w:pPr>
      <w:r>
        <w:rPr>
          <w:iCs/>
          <w:i/>
        </w:rPr>
        <w:t xml:space="preserve">Payload provenance.</w:t>
      </w:r>
      <w:r>
        <w:t xml:space="preserve"> </w:t>
      </w:r>
      <w:r>
        <w:t xml:space="preserve">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r>
        <w:pict>
          <v:rect style="width:0;height:1.5pt" o:hralign="center" o:hrstd="t" o:hr="t"/>
        </w:pict>
      </w:r>
    </w:p>
    <w:bookmarkEnd w:id="85"/>
    <w:bookmarkEnd w:id="86"/>
    <w:bookmarkStart w:id="99" w:name="chapter-6.-discussion"/>
    <w:p>
      <w:pPr>
        <w:pStyle w:val="Heading1"/>
      </w:pPr>
      <w:r>
        <w:t xml:space="preserve">Chapter 6. Discussion</w:t>
      </w:r>
    </w:p>
    <w:p>
      <w:r>
        <w:pict>
          <v:rect style="width:0;height:1.5pt" o:hralign="center" o:hrstd="t" o:hr="t"/>
        </w:pict>
      </w:r>
    </w:p>
    <w:bookmarkStart w:id="87" w:name="what-the-thesis-establishes"/>
    <w:p>
      <w:pPr>
        <w:pStyle w:val="Heading2"/>
      </w:pPr>
      <w:r>
        <w:t xml:space="preserve">6.1 What the Thesis Establishes</w:t>
      </w:r>
    </w:p>
    <w:p>
      <w:pPr>
        <w:pStyle w:val="FirstParagraph"/>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across the full population of two hundred, cross-border records included, ninety records were infeasible under Semantics I, most of them through erasure requests (Chapter 5, Table 5.1).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Section 4.8 specifies and the checker does not implement; nor does it implement the per-entry nonce that keeps surviving leaf hashes from confirming guesses (Chapter 4, Section 4.9).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7"/>
    <w:bookmarkStart w:id="88" w:name="the-authority-problem"/>
    <w:p>
      <w:pPr>
        <w:pStyle w:val="Heading2"/>
      </w:pPr>
      <w:r>
        <w:t xml:space="preserve">6.2 The Authority Problem</w:t>
      </w:r>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Table 4.1 sets out one balance requirement by requirement.</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8"/>
    <w:bookmarkStart w:id="89"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(Chapter 4, Section 4.8).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(Chapter 5, Section 5.7),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9"/>
    <w:bookmarkStart w:id="90"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0"/>
    <w:bookmarkStart w:id="91"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1"/>
    <w:bookmarkStart w:id="92"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2"/>
    <w:bookmarkStart w:id="93"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all two hundred commitments and no reported figure (Chapter 5, Section 5.7, Table 5.4), as it must, since no constraint in the TRF Model reads payload content.</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3"/>
    <w:bookmarkStart w:id="94"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(Section 6.2). Table 4.1 is written in the specification’s own requirement identifiers so that it can be read as a proposal against them.</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4"/>
    <w:bookmarkStart w:id="95"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5"/>
    <w:bookmarkStart w:id="96"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6"/>
    <w:bookmarkStart w:id="97" w:name="boundaries-as-contribution"/>
    <w:p>
      <w:pPr>
        <w:pStyle w:val="Heading2"/>
      </w:pPr>
      <w:r>
        <w:t xml:space="preserve">6.10 Boundaries as Contribution</w:t>
      </w:r>
    </w:p>
    <w:p>
      <w:pPr>
        <w:pStyle w:val="FirstParagraph"/>
      </w:pPr>
      <w:r>
        <w: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(Chapter 2, Section 2.4; Chapter 4, Section 4.10). The interpretive move at the centre of the thesis is an argument without authority behind it. None of these was claimed, so none of them reduces what was: a contribution that states its boundaries can be checked at them.</w:t>
      </w:r>
    </w:p>
    <w:bookmarkEnd w:id="97"/>
    <w:bookmarkStart w:id="98" w:name="summary-1"/>
    <w:p>
      <w:pPr>
        <w:pStyle w:val="Heading2"/>
      </w:pPr>
      <w:r>
        <w:t xml:space="preserve">6.11 Summary</w:t>
      </w:r>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8"/>
    <w:bookmarkEnd w:id="99"/>
    <w:bookmarkStart w:id="106" w:name="chapter-7.-conclusion"/>
    <w:p>
      <w:pPr>
        <w:pStyle w:val="Heading1"/>
      </w:pPr>
      <w:r>
        <w:t xml:space="preserve">Chapter 7. Conclusion</w:t>
      </w:r>
    </w:p>
    <w:p>
      <w:r>
        <w:pict>
          <v:rect style="width:0;height:1.5pt" o:hralign="center" o:hrstd="t" o:hr="t"/>
        </w:pict>
      </w:r>
    </w:p>
    <w:bookmarkStart w:id="100"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0"/>
    <w:bookmarkStart w:id="101"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Proposition 3 gives the condition under which a ceiling and a floor collide, which the cross-sector test of Chapter 6, Section 6.9a confirmed on a statute outside health; Proposition 4 shows why relocation answers the ceiling and not the right.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(Chapter 5, Section 5.6).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Table 4.1 traces the mechanism to each requirement of the regulation and of the Joint Action’s specification it touches, and places it in the activity-monitoring component of the specification’s reference architecture.</w:t>
      </w:r>
    </w:p>
    <w:bookmarkEnd w:id="101"/>
    <w:bookmarkStart w:id="102"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2"/>
    <w:bookmarkStart w:id="103"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(Chapter 4, Section 4.6).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3"/>
    <w:bookmarkStart w:id="104"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and the audit log of Chapter 4, Section 4.8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Chapter 6, Section 6.9a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4"/>
    <w:bookmarkStart w:id="105"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p>
      <w:r>
        <w:pict>
          <v:rect style="width:0;height:1.5pt" o:hralign="center" o:hrstd="t" o:hr="t"/>
        </w:pict>
      </w:r>
    </w:p>
    <w:bookmarkEnd w:id="105"/>
    <w:bookmarkEnd w:id="106"/>
    <w:bookmarkStart w:id="107"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odyText"/>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Laurie, B. (2014). Certificate transparency.</w:t>
      </w:r>
      <w:r>
        <w:t xml:space="preserve"> </w:t>
      </w:r>
      <w:r>
        <w:rPr>
          <w:iCs/>
          <w:i/>
        </w:rPr>
        <w:t xml:space="preserve">Communications of the ACM, 57</w:t>
      </w:r>
      <w:r>
        <w:t xml:space="preserve">(10), 40–46. https://doi.org/10.1145/2659897</w:t>
      </w:r>
    </w:p>
    <w:p>
      <w:pPr>
        <w:pStyle w:val="BodyText"/>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odyText"/>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7"/>
    <w:bookmarkStart w:id="132"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8"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8"/>
    <w:bookmarkStart w:id="109"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09"/>
    <w:bookmarkStart w:id="110"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0"/>
    <w:bookmarkStart w:id="111"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1"/>
    <w:bookmarkStart w:id="112"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2"/>
    <w:bookmarkStart w:id="115" w:name="a.4-what-the-code-does"/>
    <w:p>
      <w:pPr>
        <w:pStyle w:val="Heading2"/>
      </w:pPr>
      <w:r>
        <w:t xml:space="preserve">A.4 What the code does</w:t>
      </w:r>
    </w:p>
    <w:bookmarkStart w:id="113"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3"/>
    <w:bookmarkStart w:id="114"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4"/>
    <w:bookmarkEnd w:id="115"/>
    <w:bookmarkStart w:id="116"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6"/>
    <w:bookmarkStart w:id="117"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7"/>
    <w:bookmarkStart w:id="118"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8"/>
    <w:bookmarkStart w:id="119"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9"/>
    <w:bookmarkStart w:id="120"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1"/>
    <w:bookmarkStart w:id="122"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2"/>
    <w:bookmarkStart w:id="123"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3"/>
    <w:bookmarkStart w:id="124"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Start w:id="131"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1"/>
    <w:bookmarkEnd w:id="132"/>
    <w:bookmarkStart w:id="139"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3"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3"/>
    <w:bookmarkStart w:id="134"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4"/>
    <w:bookmarkStart w:id="135"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5"/>
    <w:bookmarkStart w:id="136"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6"/>
    <w:bookmarkStart w:id="137"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7"/>
    <w:bookmarkStart w:id="138"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8"/>
    <w:bookmarkEnd w:id="139"/>
    <w:bookmarkStart w:id="159"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0"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0"/>
    <w:bookmarkStart w:id="141"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1"/>
    <w:bookmarkStart w:id="142"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2"/>
    <w:bookmarkStart w:id="143"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3"/>
    <w:bookmarkStart w:id="144"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4"/>
    <w:bookmarkStart w:id="149"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5"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5"/>
    <w:bookmarkStart w:id="146"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6"/>
    <w:bookmarkStart w:id="147"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7"/>
    <w:bookmarkStart w:id="148"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8"/>
    <w:bookmarkEnd w:id="149"/>
    <w:bookmarkStart w:id="155"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0"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0"/>
    <w:bookmarkStart w:id="151"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1"/>
    <w:bookmarkStart w:id="152"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2"/>
    <w:bookmarkStart w:id="153"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3"/>
    <w:bookmarkStart w:id="154"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4"/>
    <w:bookmarkEnd w:id="155"/>
    <w:bookmarkStart w:id="156"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6"/>
    <w:bookmarkStart w:id="157"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7"/>
    <w:bookmarkStart w:id="158"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8"/>
    <w:bookmarkEnd w:id="159"/>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2026-10-03T20:54:13Z</dcterms:created>
  <dcterms:modified xsi:type="dcterms:W3CDTF">2026-10-03T20:54:13Z</dcterms:modified>
</cp:coreProperties>
</file>

<file path=docProps/custom.xml><?xml version="1.0" encoding="utf-8"?>
<Properties xmlns="http://schemas.openxmlformats.org/officeDocument/2006/custom-properties" xmlns:vt="http://schemas.openxmlformats.org/officeDocument/2006/docPropsVTypes"/>
</file>