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800" w:after="0"/>
        <w:jc w:val="center"/>
      </w:pPr>
      <w:r>
        <w:rPr>
          <w:b/>
          <w:color w:val="1F3864"/>
          <w:sz w:val="22"/>
          <w:szCs w:val="22"/>
        </w:rPr>
        <w:t xml:space="preserve">HØGSKOLEN I MOLDE</w:t>
      </w:r>
    </w:p>
    <w:p>
      <w:pPr>
        <w:spacing w:before="0" w:after="1400"/>
        <w:jc w:val="center"/>
      </w:pPr>
      <w:r>
        <w:rPr>
          <w:color w:val="555555"/>
          <w:sz w:val="20"/>
          <w:szCs w:val="20"/>
        </w:rPr>
        <w:t xml:space="preserve">Vitenskapelig høgskole i logistikk</w:t>
      </w:r>
    </w:p>
    <w:p>
      <w:pPr>
        <w:pBdr/>
        <w:spacing w:before="0" w:after="360"/>
        <w:jc w:val="center"/>
      </w:pPr>
      <w:r>
        <w:rPr>
          <w:rFonts w:ascii="Cambria" w:hAnsi="Cambria" w:cs="Cambria"/>
          <w:b/>
          <w:color w:val="1F3864"/>
          <w:sz w:val="40"/>
          <w:szCs w:val="40"/>
        </w:rPr>
        <w:t xml:space="preserve">Verifiable Crypto-Erasure for Cross-Border Health Data Audit Trails under the European Health Data Space</w:t>
      </w:r>
    </w:p>
    <w:p>
      <w:pPr>
        <w:spacing w:before="0" w:after="1200"/>
        <w:jc w:val="center"/>
      </w:pPr>
      <w:r>
        <w:rPr>
          <w:rFonts w:ascii="Cambria" w:hAnsi="Cambria" w:cs="Cambria"/>
          <w:i/>
          <w:color w:val="333333"/>
          <w:sz w:val="26"/>
          <w:szCs w:val="26"/>
        </w:rPr>
        <w:t xml:space="preserve">A Design Science Study of the Tri-Lateral Retention Feasibility Problem in the Norwegian Implementation Context</w:t>
      </w:r>
    </w:p>
    <w:p>
      <w:pPr>
        <w:spacing w:before="0" w:after="120"/>
        <w:jc w:val="center"/>
      </w:pPr>
      <w:r>
        <w:rPr>
          <w:b/>
          <w:sz w:val="28"/>
          <w:szCs w:val="28"/>
        </w:rPr>
        <w:t xml:space="preserve">Arshad Akhtar Abbasia</w:t>
      </w:r>
    </w:p>
    <w:p>
      <w:pPr>
        <w:spacing w:before="0" w:after="80"/>
        <w:jc w:val="center"/>
      </w:pPr>
      <w:r>
        <w:rPr>
          <w:sz w:val="22"/>
          <w:szCs w:val="22"/>
        </w:rPr>
        <w:t xml:space="preserve">Master of Science in Sustainable Energy Logistics</w:t>
      </w:r>
    </w:p>
    <w:p>
      <w:pPr>
        <w:spacing w:before="0" w:after="80"/>
        <w:jc w:val="center"/>
      </w:pPr>
      <w:r>
        <w:rPr>
          <w:sz w:val="22"/>
          <w:szCs w:val="22"/>
        </w:rPr>
        <w:t xml:space="preserve">Faculty of Logistics, Høgskolen i Molde, Vitenskapelig høgskole i logistikk</w:t>
      </w:r>
    </w:p>
    <w:p>
      <w:pPr>
        <w:spacing w:before="0" w:after="80"/>
        <w:jc w:val="center"/>
      </w:pPr>
      <w:r>
        <w:rPr>
          <w:sz w:val="22"/>
          <w:szCs w:val="22"/>
        </w:rPr>
        <w:t xml:space="preserve">Supervisor: Prof. João Ferreira</w:t>
      </w:r>
    </w:p>
    <w:p>
      <w:pPr>
        <w:spacing w:before="0" w:after="80"/>
        <w:jc w:val="center"/>
      </w:pPr>
      <w:r>
        <w:rPr>
          <w:sz w:val="22"/>
          <w:szCs w:val="22"/>
        </w:rPr>
        <w:t xml:space="preserve">Molde, November 2026</w:t>
      </w:r>
    </w:p>
    <w:p>
      <w:pPr>
        <w:spacing w:before="600" w:after="0"/>
        <w:jc w:val="center"/>
      </w:pPr>
      <w:r>
        <w:rPr>
          <w:color w:val="555555"/>
          <w:sz w:val="18"/>
          <w:szCs w:val="18"/>
        </w:rPr>
        <w:t xml:space="preserve">Artefact: github.com/Astheno-sphere/TRF  ·  Demonstration: trfhimolde.streamlit.app</w:t>
      </w:r>
    </w:p>
    <w:bookmarkStart w:id="20" w:name="abstract"/>
    <w:p>
      <w:pPr>
        <w:pStyle w:val="Heading1"/>
      </w:pPr>
      <w:bookmarkStart w:id="1010" w:name="h_Abstract"/>
      <w:r>
        <w:t xml:space="preserve">Abstract</w:t>
      </w:r>
      <w:bookmarkEnd w:id="1010"/>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removes the record’s link to the patient, while retaining the accessor’s identity, event metadata, a hiding commitment and a logged invalidation entry in a tamper-evident log.</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 the broad reading,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bookmarkEnd w:id="20"/>
    <w:bookmarkStart w:id="21" w:name="sammendrag"/>
    <w:p>
      <w:pPr>
        <w:pStyle w:val="Heading1"/>
      </w:pPr>
      <w:bookmarkStart w:id="1011" w:name="h_Sammendrag"/>
      <w:r>
        <w:t xml:space="preserve">Sammendrag</w:t>
      </w:r>
      <w:bookmarkEnd w:id="1011"/>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bookmarkEnd w:id="21"/>
    <w:bookmarkStart w:id="22" w:name="statement-of-contribution"/>
    <w:p>
      <w:pPr>
        <w:pStyle w:val="Heading1"/>
      </w:pPr>
      <w:bookmarkStart w:id="1012" w:name="h_Statement_of_Contribution"/>
      <w:r>
        <w:t xml:space="preserve">Statement of Contribution</w:t>
      </w:r>
      <w:bookmarkEnd w:id="1012"/>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of an audit log that keeps its payload readable. Proposition 2 establishes satisfiability under an alternative and exhibits the trajectory achieving it. Both are proved informally and demonstrated executably, with an independent exhaustive cross-check.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removes,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w:t>
      </w:r>
      <w:hyperlink w:anchor="ch_6" w:history="1">
        <w:r>
          <w:rPr>
            <w:rStyle w:val="Hyperlink"/>
          </w:rPr>
          <w:t xml:space="preserve">Chapter 6</w:t>
        </w:r>
      </w:hyperlink>
      <w:r>
        <w:t xml:space="preserve"> and proposed for resolution in Chapter 7.</w:t>
      </w:r>
    </w:p>
    <w:bookmarkEnd w:id="22"/>
    <w:bookmarkStart w:id="23" w:name="declaration-of-originality"/>
    <w:p>
      <w:pPr>
        <w:pStyle w:val="Heading1"/>
      </w:pPr>
      <w:bookmarkStart w:id="1013" w:name="h_Declaration_of_Originality"/>
      <w:r>
        <w:t xml:space="preserve">Declaration of Originality</w:t>
      </w:r>
      <w:bookmarkEnd w:id="1013"/>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bookmarkEnd w:id="23"/>
    <w:bookmarkStart w:id="24" w:name="nomenclature-and-abbreviations"/>
    <w:p>
      <w:pPr>
        <w:pStyle w:val="Heading1"/>
      </w:pPr>
      <w:bookmarkStart w:id="1014" w:name="h_Nomenclature_and_Abbreviations"/>
      <w:r>
        <w:t xml:space="preserve">Nomenclature and Abbreviations</w:t>
      </w:r>
      <w:bookmarkEnd w:id="1014"/>
    </w:p>
    <w:p>
      <w:pPr>
        <w:pStyle w:val="FirstParagraph"/>
      </w:pPr>
      <w:r>
        <w:rPr>
          <w:iCs/>
          <w:i/>
        </w:rPr>
        <w:t xml:space="preserve">Model notation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Symbol</w:t>
            </w:r>
          </w:p>
        </w:tc>
        <w:tc>
          <w:tcPr>
            <w:tcBorders>
              <w:bottom w:val="single" w:sz="8" w:space="0" w:color="333333"/>
            </w:tcBorders>
            <w:shd w:val="clear" w:color="auto" w:fill="E8EDF4"/>
          </w:tcPr>
          <w:p>
            <w:pPr>
              <w:pStyle w:val="Compact"/>
              <w:jc w:val="left"/>
            </w:pPr>
            <w:r>
              <w:rPr>
                <w:b/>
                <w:sz w:val="20"/>
                <w:szCs w:val="20"/>
              </w:rPr>
              <w:t xml:space="preserve">Meaning</w:t>
            </w:r>
          </w:p>
        </w:tc>
      </w:tr>
      <w:tr>
        <w:trPr>
          <w:cantSplit/>
        </w:trPr>
        <w:tc>
          <w:tcPr/>
          <w:p>
            <w:pPr>
              <w:pStyle w:val="Compact"/>
              <w:jc w:val="left"/>
            </w:pPr>
            <w:r>
              <w:rPr>
                <w:iCs/>
                <w:i/>
                <w:sz w:val="20"/>
                <w:szCs w:val="20"/>
              </w:rPr>
              <w:t xml:space="preserve">a</w:t>
            </w:r>
          </w:p>
        </w:tc>
        <w:tc>
          <w:tcPr/>
          <w:p>
            <w:pPr>
              <w:pStyle w:val="Compact"/>
              <w:jc w:val="left"/>
            </w:pPr>
            <w:r>
              <w:rPr>
                <w:sz w:val="20"/>
                <w:szCs w:val="20"/>
              </w:rPr>
              <w:t xml:space="preserve">An audit record</w:t>
            </w:r>
          </w:p>
        </w:tc>
      </w:tr>
      <w:tr>
        <w:trPr>
          <w:cantSplit/>
        </w:trPr>
        <w:tc>
          <w:tcPr/>
          <w:p>
            <w:pPr>
              <w:pStyle w:val="Compact"/>
              <w:jc w:val="left"/>
            </w:pPr>
            <w:r>
              <w:rPr>
                <w:iCs/>
                <w:i/>
                <w:sz w:val="20"/>
                <w:szCs w:val="20"/>
              </w:rPr>
              <w:t xml:space="preserve">m</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Event metadata — actor, contact point, patient pseudonym, document category, legal basis, outcome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Personal-data payload of the record</w:t>
            </w:r>
          </w:p>
        </w:tc>
      </w:tr>
      <w:tr>
        <w:trPr>
          <w:cantSplit/>
        </w:trPr>
        <w:tc>
          <w:tcPr/>
          <w:p>
            <w:pPr>
              <w:pStyle w:val="Compact"/>
              <w:jc w:val="left"/>
            </w:pPr>
            <w:r>
              <w:rPr>
                <w:iCs/>
                <w:i/>
                <w:sz w:val="20"/>
                <w:szCs w:val="20"/>
              </w:rPr>
              <w:t xml:space="preserve">c</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Hiding commitment to the payload,</w:t>
            </w:r>
            <w:r>
              <w:rPr>
                <w:sz w:val="20"/>
                <w:szCs w:val="20"/>
              </w:rPr>
              <w:t xml:space="preserve"> </w:t>
            </w:r>
            <w:r>
              <w:rPr>
                <w:iCs/>
                <w:i/>
                <w:sz w:val="20"/>
                <w:szCs w:val="20"/>
              </w:rPr>
              <w:t xml:space="preserve">c</w:t>
            </w:r>
            <w:r>
              <w:rPr>
                <w:sz w:val="20"/>
                <w:szCs w:val="20"/>
              </w:rPr>
              <w:t xml:space="preserve"> </w:t>
            </w:r>
            <w:r>
              <w:rPr>
                <w:sz w:val="20"/>
                <w:szCs w:val="20"/>
              </w:rPr>
              <w:t xml:space="preserve">= Commit(</w:t>
            </w:r>
            <w:r>
              <w:rPr>
                <w:iCs/>
                <w:i/>
                <w:sz w:val="20"/>
                <w:szCs w:val="20"/>
              </w:rPr>
              <w:t xml:space="preserve">p</w:t>
            </w:r>
            <w:r>
              <w:rPr>
                <w:sz w:val="20"/>
                <w:szCs w:val="20"/>
              </w:rPr>
              <w:t xml:space="preserve">,</w:t>
            </w:r>
            <w:r>
              <w:rPr>
                <w:sz w:val="20"/>
                <w:szCs w:val="20"/>
              </w:rPr>
              <w:t xml:space="preserve"> </w:t>
            </w:r>
            <w:r>
              <w:rPr>
                <w:iCs/>
                <w:i/>
                <w:sz w:val="20"/>
                <w:szCs w:val="20"/>
              </w:rPr>
              <w:t xml:space="preserve">r</w:t>
            </w:r>
            <w:r>
              <w:rPr>
                <w:sz w:val="20"/>
                <w:szCs w:val="20"/>
              </w:rPr>
              <w:t xml:space="preserve">)</w:t>
            </w:r>
          </w:p>
        </w:tc>
      </w:tr>
      <w:tr>
        <w:trPr>
          <w:cantSplit/>
        </w:trPr>
        <w:tc>
          <w:tcPr/>
          <w:p>
            <w:pPr>
              <w:pStyle w:val="Compact"/>
              <w:jc w:val="left"/>
            </w:pPr>
            <w:r>
              <w:rPr>
                <w:iCs/>
                <w:i/>
                <w:sz w:val="20"/>
                <w:szCs w:val="20"/>
              </w:rPr>
              <w:t xml:space="preserve">r</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Per-record commitment salt</w:t>
            </w:r>
          </w:p>
        </w:tc>
      </w:tr>
      <w:tr>
        <w:trPr>
          <w:cantSplit/>
        </w:trPr>
        <w:tc>
          <w:tcPr/>
          <w:p>
            <w:pPr>
              <w:pStyle w:val="Compact"/>
              <w:jc w:val="left"/>
            </w:pPr>
            <w:r>
              <w:rPr>
                <w:iCs/>
                <w:i/>
                <w:sz w:val="20"/>
                <w:szCs w:val="20"/>
              </w:rPr>
              <w:t xml:space="preserve">k</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key</w:t>
            </w:r>
          </w:p>
        </w:tc>
      </w:tr>
      <w:tr>
        <w:trPr>
          <w:cantSplit/>
        </w:trPr>
        <w:tc>
          <w:tcPr/>
          <w:p>
            <w:pPr>
              <w:pStyle w:val="Compact"/>
              <w:jc w:val="left"/>
            </w:pPr>
            <w:r>
              <w:rPr>
                <w:iCs/>
                <w:i/>
                <w:sz w:val="20"/>
                <w:szCs w:val="20"/>
              </w:rPr>
              <w:t xml:space="preserve">ι</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Invalidation entry — month, legal ground, authorising actor</w:t>
            </w:r>
          </w:p>
        </w:tc>
      </w:tr>
      <w:tr>
        <w:trPr>
          <w:cantSplit/>
        </w:trPr>
        <w:tc>
          <w:tcPr/>
          <w:p>
            <w:pPr>
              <w:pStyle w:val="Compact"/>
              <w:jc w:val="left"/>
            </w:pPr>
            <w:r>
              <w:rPr>
                <w:iCs/>
                <w:i/>
                <w:sz w:val="20"/>
                <w:szCs w:val="20"/>
              </w:rPr>
              <w:t xml:space="preserve">t</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Month in which the access event occurred</w:t>
            </w:r>
          </w:p>
        </w:tc>
      </w:tr>
      <w:tr>
        <w:trPr>
          <w:cantSplit/>
        </w:trPr>
        <w:tc>
          <w:tcPr/>
          <w:p>
            <w:pPr>
              <w:pStyle w:val="Compact"/>
              <w:jc w:val="left"/>
            </w:pPr>
            <w:r>
              <w:rPr>
                <w:iCs/>
                <w:i/>
                <w:sz w:val="20"/>
                <w:szCs w:val="20"/>
              </w:rPr>
              <w:t xml:space="preserve">F</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Retention floor, in months (120 cross-border; 12 for SPE access logs)</w:t>
            </w:r>
          </w:p>
        </w:tc>
      </w:tr>
      <w:tr>
        <w:trPr>
          <w:cantSplit/>
        </w:trPr>
        <w:tc>
          <w:tcPr/>
          <w:p>
            <w:pPr>
              <w:pStyle w:val="Compact"/>
              <w:jc w:val="left"/>
            </w:pPr>
            <w:r>
              <w:rPr>
                <w:iCs/>
                <w:i/>
                <w:sz w:val="20"/>
                <w:szCs w:val="20"/>
              </w:rPr>
              <w:t xml:space="preserve">σ</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Pathway: primary or secondary</w:t>
            </w:r>
          </w:p>
        </w:tc>
      </w:tr>
      <w:tr>
        <w:trPr>
          <w:cantSplit/>
        </w:trPr>
        <w:tc>
          <w:tcPr/>
          <w:p>
            <w:pPr>
              <w:pStyle w:val="Compact"/>
              <w:jc w:val="left"/>
            </w:pPr>
            <w:r>
              <w:rPr>
                <w:iCs/>
                <w:i/>
                <w:sz w:val="20"/>
                <w:szCs w:val="20"/>
              </w:rPr>
              <w:t xml:space="preserve">t</w:t>
            </w:r>
            <w:r>
              <w:rPr>
                <w:sz w:val="20"/>
                <w:szCs w:val="20"/>
              </w:rPr>
              <w:t xml:space="preserve">ᵣ(</w:t>
            </w:r>
            <w:r>
              <w:rPr>
                <w:iCs/>
                <w:i/>
                <w:sz w:val="20"/>
                <w:szCs w:val="20"/>
              </w:rPr>
              <w:t xml:space="preserve">a</w:t>
            </w:r>
            <w:r>
              <w:rPr>
                <w:sz w:val="20"/>
                <w:szCs w:val="20"/>
              </w:rPr>
              <w:t xml:space="preserve">)</w:t>
            </w:r>
          </w:p>
        </w:tc>
        <w:tc>
          <w:tcPr/>
          <w:p>
            <w:pPr>
              <w:pStyle w:val="Compact"/>
              <w:jc w:val="left"/>
            </w:pPr>
            <w:r>
              <w:rPr>
                <w:sz w:val="20"/>
                <w:szCs w:val="20"/>
              </w:rPr>
              <w:t xml:space="preserve">Month an erasure request arrives (∞ if none)</w:t>
            </w:r>
          </w:p>
        </w:tc>
      </w:tr>
      <w:tr>
        <w:trPr>
          <w:cantSplit/>
        </w:trPr>
        <w:tc>
          <w:tcPr/>
          <w:p>
            <w:pPr>
              <w:pStyle w:val="Compact"/>
              <w:jc w:val="left"/>
            </w:pPr>
            <w:r>
              <w:rPr>
                <w:iCs/>
                <w:i/>
                <w:sz w:val="20"/>
                <w:szCs w:val="20"/>
              </w:rPr>
              <w:t xml:space="preserve">t</w:t>
            </w:r>
            <w:r>
              <w:rPr>
                <w:sz w:val="20"/>
                <w:szCs w:val="20"/>
              </w:rPr>
              <w:t xml:space="preserve">π(</w:t>
            </w:r>
            <w:r>
              <w:rPr>
                <w:iCs/>
                <w:i/>
                <w:sz w:val="20"/>
                <w:szCs w:val="20"/>
              </w:rPr>
              <w:t xml:space="preserve">a</w:t>
            </w:r>
            <w:r>
              <w:rPr>
                <w:sz w:val="20"/>
                <w:szCs w:val="20"/>
              </w:rPr>
              <w:t xml:space="preserve">)</w:t>
            </w:r>
          </w:p>
        </w:tc>
        <w:tc>
          <w:tcPr/>
          <w:p>
            <w:pPr>
              <w:pStyle w:val="Compact"/>
              <w:jc w:val="left"/>
            </w:pPr>
            <w:r>
              <w:rPr>
                <w:sz w:val="20"/>
                <w:szCs w:val="20"/>
              </w:rPr>
              <w:t xml:space="preserve">Month a data permit expires (∞ if not applicable)</w:t>
            </w:r>
          </w:p>
        </w:tc>
      </w:tr>
      <w:tr>
        <w:trPr>
          <w:cantSplit/>
        </w:trPr>
        <w:tc>
          <w:tcPr/>
          <w:p>
            <w:pPr>
              <w:pStyle w:val="Compact"/>
              <w:jc w:val="left"/>
            </w:pPr>
            <w:r>
              <w:rPr>
                <w:iCs/>
                <w:i/>
                <w:sz w:val="20"/>
                <w:szCs w:val="20"/>
              </w:rPr>
              <w:t xml:space="preserve">t</w:t>
            </w:r>
            <w:r>
              <w:rPr>
                <w:sz w:val="20"/>
                <w:szCs w:val="20"/>
              </w:rPr>
              <w:t xml:space="preserve">ᴵ(</w:t>
            </w:r>
            <w:r>
              <w:rPr>
                <w:iCs/>
                <w:i/>
                <w:sz w:val="20"/>
                <w:szCs w:val="20"/>
              </w:rPr>
              <w:t xml:space="preserve">a</w:t>
            </w:r>
            <w:r>
              <w:rPr>
                <w:sz w:val="20"/>
                <w:szCs w:val="20"/>
              </w:rPr>
              <w:t xml:space="preserve">)</w:t>
            </w:r>
          </w:p>
        </w:tc>
        <w:tc>
          <w:tcPr/>
          <w:p>
            <w:pPr>
              <w:pStyle w:val="Compact"/>
              <w:jc w:val="left"/>
            </w:pPr>
            <w:r>
              <w:rPr>
                <w:sz w:val="20"/>
                <w:szCs w:val="20"/>
              </w:rPr>
              <w:t xml:space="preserve">Invalidation month, min(</w:t>
            </w:r>
            <w:r>
              <w:rPr>
                <w:iCs/>
                <w:i/>
                <w:sz w:val="20"/>
                <w:szCs w:val="20"/>
              </w:rPr>
              <w:t xml:space="preserve">t</w:t>
            </w:r>
            <w:r>
              <w:rPr>
                <w:sz w:val="20"/>
                <w:szCs w:val="20"/>
              </w:rPr>
              <w:t xml:space="preserve">ᵣ + δ,</w:t>
            </w:r>
            <w:r>
              <w:rPr>
                <w:sz w:val="20"/>
                <w:szCs w:val="20"/>
              </w:rPr>
              <w:t xml:space="preserve"> </w:t>
            </w:r>
            <w:r>
              <w:rPr>
                <w:iCs/>
                <w:i/>
                <w:sz w:val="20"/>
                <w:szCs w:val="20"/>
              </w:rPr>
              <w:t xml:space="preserve">t</w:t>
            </w:r>
            <w:r>
              <w:rPr>
                <w:sz w:val="20"/>
                <w:szCs w:val="20"/>
              </w:rPr>
              <w:t xml:space="preserve">π + 6)</w:t>
            </w:r>
          </w:p>
        </w:tc>
      </w:tr>
      <w:tr>
        <w:trPr>
          <w:cantSplit/>
        </w:trPr>
        <w:tc>
          <w:tcPr/>
          <w:p>
            <w:pPr>
              <w:pStyle w:val="Compact"/>
              <w:jc w:val="left"/>
            </w:pPr>
            <w:r>
              <w:rPr>
                <w:sz w:val="20"/>
                <w:szCs w:val="20"/>
              </w:rPr>
              <w:t xml:space="preserve">δ</w:t>
            </w:r>
          </w:p>
        </w:tc>
        <w:tc>
          <w:tcPr/>
          <w:p>
            <w:pPr>
              <w:pStyle w:val="Compact"/>
              <w:jc w:val="left"/>
            </w:pPr>
            <w:r>
              <w:rPr>
                <w:sz w:val="20"/>
                <w:szCs w:val="20"/>
              </w:rPr>
              <w:t xml:space="preserve">Erasure response period, in months (GDPR Art. 12(3))</w:t>
            </w:r>
          </w:p>
        </w:tc>
      </w:tr>
      <w:tr>
        <w:trPr>
          <w:cantSplit/>
        </w:trPr>
        <w:tc>
          <w:tcPr/>
          <w:p>
            <w:pPr>
              <w:pStyle w:val="Compact"/>
              <w:jc w:val="left"/>
            </w:pPr>
            <w:r>
              <w:rPr>
                <w:iCs/>
                <w:i/>
                <w:sz w:val="20"/>
                <w:szCs w:val="20"/>
              </w:rPr>
              <w:t xml:space="preserve">α</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Payload accessibility at month</w:t>
            </w:r>
            <w:r>
              <w:rPr>
                <w:sz w:val="20"/>
                <w:szCs w:val="20"/>
              </w:rPr>
              <w:t xml:space="preserve"> </w:t>
            </w:r>
            <w:r>
              <w:rPr>
                <w:iCs/>
                <w:i/>
                <w:sz w:val="20"/>
                <w:szCs w:val="20"/>
              </w:rPr>
              <w:t xml:space="preserve">t</w:t>
            </w:r>
            <w:r>
              <w:rPr>
                <w:sz w:val="20"/>
                <w:szCs w:val="20"/>
              </w:rPr>
              <w:t xml:space="preserve"> </w:t>
            </w:r>
            <w:r>
              <w:rPr>
                <w:sz w:val="20"/>
                <w:szCs w:val="20"/>
              </w:rPr>
              <w:t xml:space="preserve">— 1 if recoverable, 0 otherwise</w:t>
            </w:r>
          </w:p>
        </w:tc>
      </w:tr>
      <w:tr>
        <w:trPr>
          <w:cantSplit/>
        </w:trPr>
        <w:tc>
          <w:tcPr/>
          <w:p>
            <w:pPr>
              <w:pStyle w:val="Compact"/>
              <w:jc w:val="left"/>
            </w:pPr>
            <w:r>
              <w:rPr>
                <w:iCs/>
                <w:i/>
                <w:sz w:val="20"/>
                <w:szCs w:val="20"/>
              </w:rPr>
              <w:t xml:space="preserve">V</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Whether the record counts as verifiable at month</w:t>
            </w:r>
            <w:r>
              <w:rPr>
                <w:sz w:val="20"/>
                <w:szCs w:val="20"/>
              </w:rPr>
              <w:t xml:space="preserve"> </w:t>
            </w:r>
            <w:r>
              <w:rPr>
                <w:iCs/>
                <w:i/>
                <w:sz w:val="20"/>
                <w:szCs w:val="20"/>
              </w:rPr>
              <w:t xml:space="preserve">t</w:t>
            </w:r>
          </w:p>
        </w:tc>
      </w:tr>
      <w:tr>
        <w:trPr>
          <w:cantSplit/>
        </w:trPr>
        <w:tc>
          <w:tcPr/>
          <w:p>
            <w:pPr>
              <w:pStyle w:val="Compact"/>
              <w:jc w:val="left"/>
            </w:pPr>
            <w:r>
              <w:rPr>
                <w:iCs/>
                <w:i/>
                <w:sz w:val="20"/>
                <w:szCs w:val="20"/>
              </w:rPr>
              <w:t xml:space="preserve">V</w:t>
            </w:r>
            <w:r>
              <w:rPr>
                <w:sz w:val="20"/>
                <w:szCs w:val="20"/>
              </w:rPr>
              <w:t xml:space="preserve">ᴵ,</w:t>
            </w:r>
            <w:r>
              <w:rPr>
                <w:sz w:val="20"/>
                <w:szCs w:val="20"/>
              </w:rPr>
              <w:t xml:space="preserve"> </w:t>
            </w:r>
            <w:r>
              <w:rPr>
                <w:iCs/>
                <w:i/>
                <w:sz w:val="20"/>
                <w:szCs w:val="20"/>
              </w:rPr>
              <w:t xml:space="preserve">V</w:t>
            </w:r>
            <w:r>
              <w:rPr>
                <w:sz w:val="20"/>
                <w:szCs w:val="20"/>
              </w:rPr>
              <w:t xml:space="preserve">ᴵᴵ</w:t>
            </w:r>
          </w:p>
        </w:tc>
        <w:tc>
          <w:tcPr/>
          <w:p>
            <w:pPr>
              <w:pStyle w:val="Compact"/>
              <w:jc w:val="left"/>
            </w:pPr>
            <w:r>
              <w:rPr>
                <w:sz w:val="20"/>
                <w:szCs w:val="20"/>
              </w:rPr>
              <w:t xml:space="preserve">Verifiability under Semantics I (plaintext) and Semantics II (accountability-preserving)</w:t>
            </w:r>
          </w:p>
        </w:tc>
      </w:tr>
      <w:tr>
        <w:trPr>
          <w:cantSplit/>
        </w:trPr>
        <w:tc>
          <w:tcPr/>
          <w:p>
            <w:pPr>
              <w:pStyle w:val="Compact"/>
              <w:jc w:val="left"/>
            </w:pPr>
            <w:r>
              <w:rPr>
                <w:sz w:val="20"/>
                <w:szCs w:val="20"/>
              </w:rPr>
              <w:t xml:space="preserve">C1, C2, C3</w:t>
            </w:r>
          </w:p>
        </w:tc>
        <w:tc>
          <w:tcPr/>
          <w:p>
            <w:pPr>
              <w:pStyle w:val="Compact"/>
              <w:jc w:val="left"/>
            </w:pPr>
            <w:r>
              <w:rPr>
                <w:sz w:val="20"/>
                <w:szCs w:val="20"/>
              </w:rPr>
              <w:t xml:space="preserve">Retention floor, erasure right, and deletion ceiling constraints</w:t>
            </w:r>
          </w:p>
        </w:tc>
      </w:tr>
    </w:tbl>
    <w:p>
      <w:pPr>
        <w:pStyle w:val="BodyText"/>
        <w:spacing w:before="240" w:after="160" w:line="360" w:lineRule="auto"/>
      </w:pPr>
      <w:r>
        <w:rPr>
          <w:iCs/>
          <w:i/>
        </w:rPr>
        <w:t xml:space="preserve">Abbreviations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Term</w:t>
            </w:r>
          </w:p>
        </w:tc>
        <w:tc>
          <w:tcPr>
            <w:tcBorders>
              <w:bottom w:val="single" w:sz="8" w:space="0" w:color="333333"/>
            </w:tcBorders>
            <w:shd w:val="clear" w:color="auto" w:fill="E8EDF4"/>
          </w:tcPr>
          <w:p>
            <w:pPr>
              <w:pStyle w:val="Compact"/>
              <w:jc w:val="left"/>
            </w:pPr>
            <w:r>
              <w:rPr>
                <w:b/>
                <w:sz w:val="20"/>
                <w:szCs w:val="20"/>
              </w:rPr>
              <w:t xml:space="preserve">Expansion</w:t>
            </w:r>
          </w:p>
        </w:tc>
      </w:tr>
      <w:tr>
        <w:trPr>
          <w:cantSplit/>
        </w:trPr>
        <w:tc>
          <w:tcPr/>
          <w:p>
            <w:pPr>
              <w:pStyle w:val="Compact"/>
              <w:jc w:val="left"/>
            </w:pPr>
            <w:r>
              <w:rPr>
                <w:sz w:val="20"/>
                <w:szCs w:val="20"/>
              </w:rPr>
              <w:t xml:space="preserve">ATNA</w:t>
            </w:r>
          </w:p>
        </w:tc>
        <w:tc>
          <w:tcPr/>
          <w:p>
            <w:pPr>
              <w:pStyle w:val="Compact"/>
              <w:jc w:val="left"/>
            </w:pPr>
            <w:r>
              <w:rPr>
                <w:sz w:val="20"/>
                <w:szCs w:val="20"/>
              </w:rPr>
              <w:t xml:space="preserve">Audit Trail and Node Authentication (IHE integration profile)</w:t>
            </w:r>
          </w:p>
        </w:tc>
      </w:tr>
      <w:tr>
        <w:trPr>
          <w:cantSplit/>
        </w:trPr>
        <w:tc>
          <w:tcPr/>
          <w:p>
            <w:pPr>
              <w:pStyle w:val="Compact"/>
              <w:jc w:val="left"/>
            </w:pPr>
            <w:r>
              <w:rPr>
                <w:sz w:val="20"/>
                <w:szCs w:val="20"/>
              </w:rPr>
              <w:t xml:space="preserve">CEF</w:t>
            </w:r>
          </w:p>
        </w:tc>
        <w:tc>
          <w:tcPr/>
          <w:p>
            <w:pPr>
              <w:pStyle w:val="Compact"/>
              <w:jc w:val="left"/>
            </w:pPr>
            <w:r>
              <w:rPr>
                <w:sz w:val="20"/>
                <w:szCs w:val="20"/>
              </w:rPr>
              <w:t xml:space="preserve">Coordinated Enforcement Framework (EDPB)</w:t>
            </w:r>
          </w:p>
        </w:tc>
      </w:tr>
      <w:tr>
        <w:trPr>
          <w:cantSplit/>
        </w:trPr>
        <w:tc>
          <w:tcPr/>
          <w:p>
            <w:pPr>
              <w:pStyle w:val="Compact"/>
              <w:jc w:val="left"/>
            </w:pPr>
            <w:r>
              <w:rPr>
                <w:sz w:val="20"/>
                <w:szCs w:val="20"/>
              </w:rPr>
              <w:t xml:space="preserve">DSR</w:t>
            </w:r>
          </w:p>
        </w:tc>
        <w:tc>
          <w:tcPr/>
          <w:p>
            <w:pPr>
              <w:pStyle w:val="Compact"/>
              <w:jc w:val="left"/>
            </w:pPr>
            <w:r>
              <w:rPr>
                <w:sz w:val="20"/>
                <w:szCs w:val="20"/>
              </w:rPr>
              <w:t xml:space="preserve">Design Science Research</w:t>
            </w:r>
          </w:p>
        </w:tc>
      </w:tr>
      <w:tr>
        <w:trPr>
          <w:cantSplit/>
        </w:trPr>
        <w:tc>
          <w:tcPr/>
          <w:p>
            <w:pPr>
              <w:pStyle w:val="Compact"/>
              <w:jc w:val="left"/>
            </w:pPr>
            <w:r>
              <w:rPr>
                <w:sz w:val="20"/>
                <w:szCs w:val="20"/>
              </w:rPr>
              <w:t xml:space="preserve">EDPB</w:t>
            </w:r>
          </w:p>
        </w:tc>
        <w:tc>
          <w:tcPr/>
          <w:p>
            <w:pPr>
              <w:pStyle w:val="Compact"/>
              <w:jc w:val="left"/>
            </w:pPr>
            <w:r>
              <w:rPr>
                <w:sz w:val="20"/>
                <w:szCs w:val="20"/>
              </w:rPr>
              <w:t xml:space="preserve">European Data Protection Board</w:t>
            </w:r>
          </w:p>
        </w:tc>
      </w:tr>
      <w:tr>
        <w:trPr>
          <w:cantSplit/>
        </w:trPr>
        <w:tc>
          <w:tcPr/>
          <w:p>
            <w:pPr>
              <w:pStyle w:val="Compact"/>
              <w:jc w:val="left"/>
            </w:pPr>
            <w:r>
              <w:rPr>
                <w:sz w:val="20"/>
                <w:szCs w:val="20"/>
              </w:rPr>
              <w:t xml:space="preserve">EEA</w:t>
            </w:r>
          </w:p>
        </w:tc>
        <w:tc>
          <w:tcPr/>
          <w:p>
            <w:pPr>
              <w:pStyle w:val="Compact"/>
              <w:jc w:val="left"/>
            </w:pPr>
            <w:r>
              <w:rPr>
                <w:sz w:val="20"/>
                <w:szCs w:val="20"/>
              </w:rPr>
              <w:t xml:space="preserve">European Economic Area</w:t>
            </w:r>
          </w:p>
        </w:tc>
      </w:tr>
      <w:tr>
        <w:trPr>
          <w:cantSplit/>
        </w:trPr>
        <w:tc>
          <w:tcPr/>
          <w:p>
            <w:pPr>
              <w:pStyle w:val="Compact"/>
              <w:jc w:val="left"/>
            </w:pPr>
            <w:r>
              <w:rPr>
                <w:sz w:val="20"/>
                <w:szCs w:val="20"/>
              </w:rPr>
              <w:t xml:space="preserve">EEHRxF</w:t>
            </w:r>
          </w:p>
        </w:tc>
        <w:tc>
          <w:tcPr/>
          <w:p>
            <w:pPr>
              <w:pStyle w:val="Compact"/>
              <w:jc w:val="left"/>
            </w:pPr>
            <w:r>
              <w:rPr>
                <w:sz w:val="20"/>
                <w:szCs w:val="20"/>
              </w:rPr>
              <w:t xml:space="preserve">European Electronic Health Record Exchange Format</w:t>
            </w:r>
          </w:p>
        </w:tc>
      </w:tr>
      <w:tr>
        <w:trPr>
          <w:cantSplit/>
        </w:trPr>
        <w:tc>
          <w:tcPr/>
          <w:p>
            <w:pPr>
              <w:pStyle w:val="Compact"/>
              <w:jc w:val="left"/>
            </w:pPr>
            <w:r>
              <w:rPr>
                <w:sz w:val="20"/>
                <w:szCs w:val="20"/>
              </w:rPr>
              <w:t xml:space="preserve">eHDSI</w:t>
            </w:r>
          </w:p>
        </w:tc>
        <w:tc>
          <w:tcPr/>
          <w:p>
            <w:pPr>
              <w:pStyle w:val="Compact"/>
              <w:jc w:val="left"/>
            </w:pPr>
            <w:r>
              <w:rPr>
                <w:sz w:val="20"/>
                <w:szCs w:val="20"/>
              </w:rPr>
              <w:t xml:space="preserve">eHealth Digital Service Infrastructure</w:t>
            </w:r>
          </w:p>
        </w:tc>
      </w:tr>
      <w:tr>
        <w:trPr>
          <w:cantSplit/>
        </w:trPr>
        <w:tc>
          <w:tcPr/>
          <w:p>
            <w:pPr>
              <w:pStyle w:val="Compact"/>
              <w:jc w:val="left"/>
            </w:pPr>
            <w:r>
              <w:rPr>
                <w:sz w:val="20"/>
                <w:szCs w:val="20"/>
              </w:rPr>
              <w:t xml:space="preserve">eHMSEG</w:t>
            </w:r>
          </w:p>
        </w:tc>
        <w:tc>
          <w:tcPr/>
          <w:p>
            <w:pPr>
              <w:pStyle w:val="Compact"/>
              <w:jc w:val="left"/>
            </w:pPr>
            <w:r>
              <w:rPr>
                <w:sz w:val="20"/>
                <w:szCs w:val="20"/>
              </w:rPr>
              <w:t xml:space="preserve">eHealth Member States Expert Group</w:t>
            </w:r>
          </w:p>
        </w:tc>
      </w:tr>
      <w:tr>
        <w:trPr>
          <w:cantSplit/>
        </w:trPr>
        <w:tc>
          <w:tcPr/>
          <w:p>
            <w:pPr>
              <w:pStyle w:val="Compact"/>
              <w:jc w:val="left"/>
            </w:pPr>
            <w:r>
              <w:rPr>
                <w:sz w:val="20"/>
                <w:szCs w:val="20"/>
              </w:rPr>
              <w:t xml:space="preserve">eHOMB</w:t>
            </w:r>
          </w:p>
        </w:tc>
        <w:tc>
          <w:tcPr/>
          <w:p>
            <w:pPr>
              <w:pStyle w:val="Compact"/>
              <w:jc w:val="left"/>
            </w:pPr>
            <w:r>
              <w:rPr>
                <w:sz w:val="20"/>
                <w:szCs w:val="20"/>
              </w:rPr>
              <w:t xml:space="preserve">eHealth Operational Management Board</w:t>
            </w:r>
          </w:p>
        </w:tc>
      </w:tr>
      <w:tr>
        <w:trPr>
          <w:cantSplit/>
        </w:trPr>
        <w:tc>
          <w:tcPr/>
          <w:p>
            <w:pPr>
              <w:pStyle w:val="Compact"/>
              <w:jc w:val="left"/>
            </w:pPr>
            <w:r>
              <w:rPr>
                <w:sz w:val="20"/>
                <w:szCs w:val="20"/>
              </w:rPr>
              <w:t xml:space="preserve">EHDS</w:t>
            </w:r>
          </w:p>
        </w:tc>
        <w:tc>
          <w:tcPr/>
          <w:p>
            <w:pPr>
              <w:pStyle w:val="Compact"/>
              <w:jc w:val="left"/>
            </w:pPr>
            <w:r>
              <w:rPr>
                <w:sz w:val="20"/>
                <w:szCs w:val="20"/>
              </w:rPr>
              <w:t xml:space="preserve">European Health Data Space</w:t>
            </w:r>
          </w:p>
        </w:tc>
      </w:tr>
      <w:tr>
        <w:trPr>
          <w:cantSplit/>
        </w:trPr>
        <w:tc>
          <w:tcPr/>
          <w:p>
            <w:pPr>
              <w:pStyle w:val="Compact"/>
              <w:jc w:val="left"/>
            </w:pPr>
            <w:r>
              <w:rPr>
                <w:sz w:val="20"/>
                <w:szCs w:val="20"/>
              </w:rPr>
              <w:t xml:space="preserve">FHIR</w:t>
            </w:r>
          </w:p>
        </w:tc>
        <w:tc>
          <w:tcPr/>
          <w:p>
            <w:pPr>
              <w:pStyle w:val="Compact"/>
              <w:jc w:val="left"/>
            </w:pPr>
            <w:r>
              <w:rPr>
                <w:sz w:val="20"/>
                <w:szCs w:val="20"/>
              </w:rPr>
              <w:t xml:space="preserve">Fast Healthcare Interoperability Resources (HL7)</w:t>
            </w:r>
          </w:p>
        </w:tc>
      </w:tr>
      <w:tr>
        <w:trPr>
          <w:cantSplit/>
        </w:trPr>
        <w:tc>
          <w:tcPr/>
          <w:p>
            <w:pPr>
              <w:pStyle w:val="Compact"/>
              <w:jc w:val="left"/>
            </w:pPr>
            <w:r>
              <w:rPr>
                <w:sz w:val="20"/>
                <w:szCs w:val="20"/>
              </w:rPr>
              <w:t xml:space="preserve">GDPR</w:t>
            </w:r>
          </w:p>
        </w:tc>
        <w:tc>
          <w:tcPr/>
          <w:p>
            <w:pPr>
              <w:pStyle w:val="Compact"/>
              <w:jc w:val="left"/>
            </w:pPr>
            <w:r>
              <w:rPr>
                <w:sz w:val="20"/>
                <w:szCs w:val="20"/>
              </w:rPr>
              <w:t xml:space="preserve">General Data Protection Regulation (EU) 2016/679</w:t>
            </w:r>
          </w:p>
        </w:tc>
      </w:tr>
      <w:tr>
        <w:trPr>
          <w:cantSplit/>
        </w:trPr>
        <w:tc>
          <w:tcPr/>
          <w:p>
            <w:pPr>
              <w:pStyle w:val="Compact"/>
              <w:jc w:val="left"/>
            </w:pPr>
            <w:r>
              <w:rPr>
                <w:sz w:val="20"/>
                <w:szCs w:val="20"/>
              </w:rPr>
              <w:t xml:space="preserve">HDAB</w:t>
            </w:r>
          </w:p>
        </w:tc>
        <w:tc>
          <w:tcPr/>
          <w:p>
            <w:pPr>
              <w:pStyle w:val="Compact"/>
              <w:jc w:val="left"/>
            </w:pPr>
            <w:r>
              <w:rPr>
                <w:sz w:val="20"/>
                <w:szCs w:val="20"/>
              </w:rPr>
              <w:t xml:space="preserve">Health Data Access Body</w:t>
            </w:r>
          </w:p>
        </w:tc>
      </w:tr>
      <w:tr>
        <w:trPr>
          <w:cantSplit/>
        </w:trPr>
        <w:tc>
          <w:tcPr/>
          <w:p>
            <w:pPr>
              <w:pStyle w:val="Compact"/>
              <w:jc w:val="left"/>
            </w:pPr>
            <w:r>
              <w:rPr>
                <w:sz w:val="20"/>
                <w:szCs w:val="20"/>
              </w:rPr>
              <w:t xml:space="preserve">HSM</w:t>
            </w:r>
          </w:p>
        </w:tc>
        <w:tc>
          <w:tcPr/>
          <w:p>
            <w:pPr>
              <w:pStyle w:val="Compact"/>
              <w:jc w:val="left"/>
            </w:pPr>
            <w:r>
              <w:rPr>
                <w:sz w:val="20"/>
                <w:szCs w:val="20"/>
              </w:rPr>
              <w:t xml:space="preserve">Hardware Security Module</w:t>
            </w:r>
          </w:p>
        </w:tc>
      </w:tr>
      <w:tr>
        <w:trPr>
          <w:cantSplit/>
        </w:trPr>
        <w:tc>
          <w:tcPr/>
          <w:p>
            <w:pPr>
              <w:pStyle w:val="Compact"/>
              <w:jc w:val="left"/>
            </w:pPr>
            <w:r>
              <w:rPr>
                <w:sz w:val="20"/>
                <w:szCs w:val="20"/>
              </w:rPr>
              <w:t xml:space="preserve">IHE</w:t>
            </w:r>
          </w:p>
        </w:tc>
        <w:tc>
          <w:tcPr/>
          <w:p>
            <w:pPr>
              <w:pStyle w:val="Compact"/>
              <w:jc w:val="left"/>
            </w:pPr>
            <w:r>
              <w:rPr>
                <w:sz w:val="20"/>
                <w:szCs w:val="20"/>
              </w:rPr>
              <w:t xml:space="preserve">Integrating the Healthcare Enterprise</w:t>
            </w:r>
          </w:p>
        </w:tc>
      </w:tr>
      <w:tr>
        <w:trPr>
          <w:cantSplit/>
        </w:trPr>
        <w:tc>
          <w:tcPr/>
          <w:p>
            <w:pPr>
              <w:pStyle w:val="Compact"/>
              <w:jc w:val="left"/>
            </w:pPr>
            <w:r>
              <w:rPr>
                <w:sz w:val="20"/>
                <w:szCs w:val="20"/>
              </w:rPr>
              <w:t xml:space="preserve">NCPeH</w:t>
            </w:r>
          </w:p>
        </w:tc>
        <w:tc>
          <w:tcPr/>
          <w:p>
            <w:pPr>
              <w:pStyle w:val="Compact"/>
              <w:jc w:val="left"/>
            </w:pPr>
            <w:r>
              <w:rPr>
                <w:sz w:val="20"/>
                <w:szCs w:val="20"/>
              </w:rPr>
              <w:t xml:space="preserve">National Contact Point for eHealth</w:t>
            </w:r>
          </w:p>
        </w:tc>
      </w:tr>
      <w:tr>
        <w:trPr>
          <w:cantSplit/>
        </w:trPr>
        <w:tc>
          <w:tcPr/>
          <w:p>
            <w:pPr>
              <w:pStyle w:val="Compact"/>
              <w:jc w:val="left"/>
            </w:pPr>
            <w:r>
              <w:rPr>
                <w:sz w:val="20"/>
                <w:szCs w:val="20"/>
              </w:rPr>
              <w:t xml:space="preserve">NHN</w:t>
            </w:r>
          </w:p>
        </w:tc>
        <w:tc>
          <w:tcPr/>
          <w:p>
            <w:pPr>
              <w:pStyle w:val="Compact"/>
              <w:jc w:val="left"/>
            </w:pPr>
            <w:r>
              <w:rPr>
                <w:sz w:val="20"/>
                <w:szCs w:val="20"/>
              </w:rPr>
              <w:t xml:space="preserve">Norsk Helsenett SF</w:t>
            </w:r>
          </w:p>
        </w:tc>
      </w:tr>
      <w:tr>
        <w:trPr>
          <w:cantSplit/>
        </w:trPr>
        <w:tc>
          <w:tcPr/>
          <w:p>
            <w:pPr>
              <w:pStyle w:val="Compact"/>
              <w:jc w:val="left"/>
            </w:pPr>
            <w:r>
              <w:rPr>
                <w:sz w:val="20"/>
                <w:szCs w:val="20"/>
              </w:rPr>
              <w:t xml:space="preserve">NIST</w:t>
            </w:r>
          </w:p>
        </w:tc>
        <w:tc>
          <w:tcPr/>
          <w:p>
            <w:pPr>
              <w:pStyle w:val="Compact"/>
              <w:jc w:val="left"/>
            </w:pPr>
            <w:r>
              <w:rPr>
                <w:sz w:val="20"/>
                <w:szCs w:val="20"/>
              </w:rPr>
              <w:t xml:space="preserve">National Institute of Standards and Technology (US)</w:t>
            </w:r>
          </w:p>
        </w:tc>
      </w:tr>
      <w:tr>
        <w:trPr>
          <w:cantSplit/>
        </w:trPr>
        <w:tc>
          <w:tcPr/>
          <w:p>
            <w:pPr>
              <w:pStyle w:val="Compact"/>
              <w:jc w:val="left"/>
            </w:pPr>
            <w:r>
              <w:rPr>
                <w:sz w:val="20"/>
                <w:szCs w:val="20"/>
              </w:rPr>
              <w:t xml:space="preserve">NORTRE</w:t>
            </w:r>
          </w:p>
        </w:tc>
        <w:tc>
          <w:tcPr/>
          <w:p>
            <w:pPr>
              <w:pStyle w:val="Compact"/>
              <w:jc w:val="left"/>
            </w:pPr>
            <w:r>
              <w:rPr>
                <w:sz w:val="20"/>
                <w:szCs w:val="20"/>
              </w:rPr>
              <w:t xml:space="preserve">Norwegian Trusted Research Environments</w:t>
            </w:r>
          </w:p>
        </w:tc>
      </w:tr>
      <w:tr>
        <w:trPr>
          <w:cantSplit/>
        </w:trPr>
        <w:tc>
          <w:tcPr/>
          <w:p>
            <w:pPr>
              <w:pStyle w:val="Compact"/>
              <w:jc w:val="left"/>
            </w:pPr>
            <w:r>
              <w:rPr>
                <w:sz w:val="20"/>
                <w:szCs w:val="20"/>
              </w:rPr>
              <w:t xml:space="preserve">OpenNCP</w:t>
            </w:r>
          </w:p>
        </w:tc>
        <w:tc>
          <w:tcPr/>
          <w:p>
            <w:pPr>
              <w:pStyle w:val="Compact"/>
              <w:jc w:val="left"/>
            </w:pPr>
            <w:r>
              <w:rPr>
                <w:sz w:val="20"/>
                <w:szCs w:val="20"/>
              </w:rPr>
              <w:t xml:space="preserve">Open National Contact Point software stack</w:t>
            </w:r>
          </w:p>
        </w:tc>
      </w:tr>
      <w:tr>
        <w:trPr>
          <w:cantSplit/>
        </w:trPr>
        <w:tc>
          <w:tcPr/>
          <w:p>
            <w:pPr>
              <w:pStyle w:val="Compact"/>
              <w:jc w:val="left"/>
            </w:pPr>
            <w:r>
              <w:rPr>
                <w:sz w:val="20"/>
                <w:szCs w:val="20"/>
              </w:rPr>
              <w:t xml:space="preserve">PoSE</w:t>
            </w:r>
          </w:p>
        </w:tc>
        <w:tc>
          <w:tcPr/>
          <w:p>
            <w:pPr>
              <w:pStyle w:val="Compact"/>
              <w:jc w:val="left"/>
            </w:pPr>
            <w:r>
              <w:rPr>
                <w:sz w:val="20"/>
                <w:szCs w:val="20"/>
              </w:rPr>
              <w:t xml:space="preserve">Proof of Secure Erasure</w:t>
            </w:r>
          </w:p>
        </w:tc>
      </w:tr>
      <w:tr>
        <w:trPr>
          <w:cantSplit/>
        </w:trPr>
        <w:tc>
          <w:tcPr/>
          <w:p>
            <w:pPr>
              <w:pStyle w:val="Compact"/>
              <w:jc w:val="left"/>
            </w:pPr>
            <w:r>
              <w:rPr>
                <w:sz w:val="20"/>
                <w:szCs w:val="20"/>
              </w:rPr>
              <w:t xml:space="preserve">SoK</w:t>
            </w:r>
          </w:p>
        </w:tc>
        <w:tc>
          <w:tcPr/>
          <w:p>
            <w:pPr>
              <w:pStyle w:val="Compact"/>
              <w:jc w:val="left"/>
            </w:pPr>
            <w:r>
              <w:rPr>
                <w:sz w:val="20"/>
                <w:szCs w:val="20"/>
              </w:rPr>
              <w:t xml:space="preserve">Systematization of Knowledge</w:t>
            </w:r>
          </w:p>
        </w:tc>
      </w:tr>
      <w:tr>
        <w:trPr>
          <w:cantSplit/>
        </w:trPr>
        <w:tc>
          <w:tcPr/>
          <w:p>
            <w:pPr>
              <w:pStyle w:val="Compact"/>
              <w:jc w:val="left"/>
            </w:pPr>
            <w:r>
              <w:rPr>
                <w:sz w:val="20"/>
                <w:szCs w:val="20"/>
              </w:rPr>
              <w:t xml:space="preserve">SPE</w:t>
            </w:r>
          </w:p>
        </w:tc>
        <w:tc>
          <w:tcPr/>
          <w:p>
            <w:pPr>
              <w:pStyle w:val="Compact"/>
              <w:jc w:val="left"/>
            </w:pPr>
            <w:r>
              <w:rPr>
                <w:sz w:val="20"/>
                <w:szCs w:val="20"/>
              </w:rPr>
              <w:t xml:space="preserve">Secure Processing Environment</w:t>
            </w:r>
          </w:p>
        </w:tc>
      </w:tr>
      <w:tr>
        <w:trPr>
          <w:cantSplit/>
        </w:trPr>
        <w:tc>
          <w:tcPr/>
          <w:p>
            <w:pPr>
              <w:pStyle w:val="Compact"/>
              <w:jc w:val="left"/>
            </w:pPr>
            <w:r>
              <w:rPr>
                <w:sz w:val="20"/>
                <w:szCs w:val="20"/>
              </w:rPr>
              <w:t xml:space="preserve">SPUHiN</w:t>
            </w:r>
          </w:p>
        </w:tc>
        <w:tc>
          <w:tcPr/>
          <w:p>
            <w:pPr>
              <w:pStyle w:val="Compact"/>
              <w:jc w:val="left"/>
            </w:pPr>
            <w:r>
              <w:rPr>
                <w:sz w:val="20"/>
                <w:szCs w:val="20"/>
              </w:rPr>
              <w:t xml:space="preserve">Secure Provision and Use of Health Data in Norway (project)</w:t>
            </w:r>
          </w:p>
        </w:tc>
      </w:tr>
      <w:tr>
        <w:trPr>
          <w:cantSplit/>
        </w:trPr>
        <w:tc>
          <w:tcPr/>
          <w:p>
            <w:pPr>
              <w:pStyle w:val="Compact"/>
              <w:jc w:val="left"/>
            </w:pPr>
            <w:r>
              <w:rPr>
                <w:sz w:val="20"/>
                <w:szCs w:val="20"/>
              </w:rPr>
              <w:t xml:space="preserve">TEHDAS2</w:t>
            </w:r>
          </w:p>
        </w:tc>
        <w:tc>
          <w:tcPr/>
          <w:p>
            <w:pPr>
              <w:pStyle w:val="Compact"/>
              <w:jc w:val="left"/>
            </w:pPr>
            <w:r>
              <w:rPr>
                <w:sz w:val="20"/>
                <w:szCs w:val="20"/>
              </w:rPr>
              <w:t xml:space="preserve">Towards European Health Data Space, Joint Action 2</w:t>
            </w:r>
          </w:p>
        </w:tc>
      </w:tr>
      <w:tr>
        <w:trPr>
          <w:cantSplit/>
        </w:trPr>
        <w:tc>
          <w:tcPr/>
          <w:p>
            <w:pPr>
              <w:pStyle w:val="Compact"/>
              <w:jc w:val="left"/>
            </w:pPr>
            <w:r>
              <w:rPr>
                <w:sz w:val="20"/>
                <w:szCs w:val="20"/>
              </w:rPr>
              <w:t xml:space="preserve">TRF</w:t>
            </w:r>
          </w:p>
        </w:tc>
        <w:tc>
          <w:tcPr/>
          <w:p>
            <w:pPr>
              <w:pStyle w:val="Compact"/>
              <w:jc w:val="left"/>
            </w:pPr>
            <w:r>
              <w:rPr>
                <w:sz w:val="20"/>
                <w:szCs w:val="20"/>
              </w:rPr>
              <w:t xml:space="preserve">Tri-Lateral Retention Feasibility (Model)</w:t>
            </w:r>
          </w:p>
        </w:tc>
      </w:tr>
      <w:tr>
        <w:trPr>
          <w:cantSplit/>
        </w:trPr>
        <w:tc>
          <w:tcPr/>
          <w:p>
            <w:pPr>
              <w:pStyle w:val="Compact"/>
              <w:jc w:val="left"/>
            </w:pPr>
            <w:r>
              <w:rPr>
                <w:sz w:val="20"/>
                <w:szCs w:val="20"/>
              </w:rPr>
              <w:t xml:space="preserve">zk-SNARK</w:t>
            </w:r>
          </w:p>
        </w:tc>
        <w:tc>
          <w:tcPr/>
          <w:p>
            <w:pPr>
              <w:pStyle w:val="Compact"/>
              <w:jc w:val="left"/>
            </w:pPr>
            <w:r>
              <w:rPr>
                <w:sz w:val="20"/>
                <w:szCs w:val="20"/>
              </w:rPr>
              <w:t xml:space="preserve">Zero-Knowledge Succinct Non-Interactive Argument of Knowledge</w:t>
            </w:r>
          </w:p>
        </w:tc>
      </w:tr>
    </w:tbl>
    <w:p>
      <w:pPr>
        <w:pStyle w:val="BodyText"/>
        <w:spacing w:before="240" w:after="160" w:line="360" w:lineRule="auto"/>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w:t>
      </w:r>
      <w:hyperlink w:anchor="ch_1" w:history="1">
        <w:r>
          <w:rPr>
            <w:rStyle w:val="Hyperlink"/>
          </w:rPr>
          <w:t xml:space="preserve">Chapter 1</w:t>
        </w:r>
      </w:hyperlink>
      <w:r>
        <w:t xml:space="preserve">, </w:t>
      </w:r>
      <w:hyperlink w:anchor="sec_1_6" w:history="1">
        <w:r>
          <w:rPr>
            <w:rStyle w:val="Hyperlink"/>
          </w:rPr>
          <w:t xml:space="preserve">Section 1.6</w:t>
        </w:r>
      </w:hyperlink>
      <w:r>
        <w:t xml:space="preserve">.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identifies the distinct problem for which zero-knowledge arguments do become necessary.</w:t>
      </w:r>
    </w:p>
    <!--CONTENTS-->
    <w:bookmarkEnd w:id="24"/>
    <w:bookmarkStart w:id="32" w:name="chapter-1.-introduction"/>
    <w:p>
      <w:pPr>
        <w:pStyle w:val="Heading1"/>
      </w:pPr>
      <w:r>
        <w:rPr/>
        <w:t xml:space="preserve">Contents</w:t>
      </w:r>
    </w:p>
    <w:p>
      <w:pPr>
        <w:pStyle w:val="TOC1"/>
      </w:pPr>
      <w:hyperlink w:anchor="h_Abstract" w:history="1">
        <w:r>
          <w:rPr/>
          <w:t xml:space="preserve">Abstract</w:t>
        </w:r>
        <w:r>
          <w:tab/>
        </w:r>
        <w:r>
          <w:fldChar w:fldCharType="begin"/>
        </w:r>
        <w:r>
          <w:instrText xml:space="preserve"> PAGEREF h_Abstract \h </w:instrText>
        </w:r>
        <w:r>
          <w:fldChar w:fldCharType="separate"/>
        </w:r>
        <w:r>
          <w:rPr/>
          <w:t xml:space="preserve">#</w:t>
        </w:r>
        <w:r>
          <w:fldChar w:fldCharType="end"/>
        </w:r>
      </w:hyperlink>
    </w:p>
    <w:p>
      <w:pPr>
        <w:pStyle w:val="TOC1"/>
      </w:pPr>
      <w:hyperlink w:anchor="h_Sammendrag" w:history="1">
        <w:r>
          <w:rPr/>
          <w:t xml:space="preserve">Sammendrag</w:t>
        </w:r>
        <w:r>
          <w:tab/>
        </w:r>
        <w:r>
          <w:fldChar w:fldCharType="begin"/>
        </w:r>
        <w:r>
          <w:instrText xml:space="preserve"> PAGEREF h_Sammendrag \h </w:instrText>
        </w:r>
        <w:r>
          <w:fldChar w:fldCharType="separate"/>
        </w:r>
        <w:r>
          <w:rPr/>
          <w:t xml:space="preserve">#</w:t>
        </w:r>
        <w:r>
          <w:fldChar w:fldCharType="end"/>
        </w:r>
      </w:hyperlink>
    </w:p>
    <w:p>
      <w:pPr>
        <w:pStyle w:val="TOC1"/>
      </w:pPr>
      <w:hyperlink w:anchor="h_Statement_of_Contribution" w:history="1">
        <w:r>
          <w:rPr/>
          <w:t xml:space="preserve">Statement of Contribution</w:t>
        </w:r>
        <w:r>
          <w:tab/>
        </w:r>
        <w:r>
          <w:fldChar w:fldCharType="begin"/>
        </w:r>
        <w:r>
          <w:instrText xml:space="preserve"> PAGEREF h_Statement_of_Contribution \h </w:instrText>
        </w:r>
        <w:r>
          <w:fldChar w:fldCharType="separate"/>
        </w:r>
        <w:r>
          <w:rPr/>
          <w:t xml:space="preserve">#</w:t>
        </w:r>
        <w:r>
          <w:fldChar w:fldCharType="end"/>
        </w:r>
      </w:hyperlink>
    </w:p>
    <w:p>
      <w:pPr>
        <w:pStyle w:val="TOC1"/>
      </w:pPr>
      <w:hyperlink w:anchor="h_Declaration_of_Originality" w:history="1">
        <w:r>
          <w:rPr/>
          <w:t xml:space="preserve">Declaration of Originality</w:t>
        </w:r>
        <w:r>
          <w:tab/>
        </w:r>
        <w:r>
          <w:fldChar w:fldCharType="begin"/>
        </w:r>
        <w:r>
          <w:instrText xml:space="preserve"> PAGEREF h_Declaration_of_Originality \h </w:instrText>
        </w:r>
        <w:r>
          <w:fldChar w:fldCharType="separate"/>
        </w:r>
        <w:r>
          <w:rPr/>
          <w:t xml:space="preserve">#</w:t>
        </w:r>
        <w:r>
          <w:fldChar w:fldCharType="end"/>
        </w:r>
      </w:hyperlink>
    </w:p>
    <w:p>
      <w:pPr>
        <w:pStyle w:val="TOC1"/>
      </w:pPr>
      <w:hyperlink w:anchor="h_Nomenclature_and_Abbreviations" w:history="1">
        <w:r>
          <w:rPr/>
          <w:t xml:space="preserve">Nomenclature and Abbreviations</w:t>
        </w:r>
        <w:r>
          <w:tab/>
        </w:r>
        <w:r>
          <w:fldChar w:fldCharType="begin"/>
        </w:r>
        <w:r>
          <w:instrText xml:space="preserve"> PAGEREF h_Nomenclature_and_Abbreviations \h </w:instrText>
        </w:r>
        <w:r>
          <w:fldChar w:fldCharType="separate"/>
        </w:r>
        <w:r>
          <w:rPr/>
          <w:t xml:space="preserve">#</w:t>
        </w:r>
        <w:r>
          <w:fldChar w:fldCharType="end"/>
        </w:r>
      </w:hyperlink>
    </w:p>
    <w:p>
      <w:pPr>
        <w:pStyle w:val="TOC1"/>
      </w:pPr>
      <w:hyperlink w:anchor="ch_1" w:history="1">
        <w:r>
          <w:rPr/>
          <w:t xml:space="preserve">Chapter 1. Introduction</w:t>
        </w:r>
        <w:r>
          <w:tab/>
        </w:r>
        <w:r>
          <w:fldChar w:fldCharType="begin"/>
        </w:r>
        <w:r>
          <w:instrText xml:space="preserve"> PAGEREF ch_1 \h </w:instrText>
        </w:r>
        <w:r>
          <w:fldChar w:fldCharType="separate"/>
        </w:r>
        <w:r>
          <w:rPr/>
          <w:t xml:space="preserve">#</w:t>
        </w:r>
        <w:r>
          <w:fldChar w:fldCharType="end"/>
        </w:r>
      </w:hyperlink>
    </w:p>
    <w:p>
      <w:pPr>
        <w:pStyle w:val="TOC2"/>
      </w:pPr>
      <w:hyperlink w:anchor="sec_1_1" w:history="1">
        <w:r>
          <w:rPr/>
          <w:t xml:space="preserve">1.1 Background and Context</w:t>
        </w:r>
        <w:r>
          <w:tab/>
        </w:r>
        <w:r>
          <w:fldChar w:fldCharType="begin"/>
        </w:r>
        <w:r>
          <w:instrText xml:space="preserve"> PAGEREF sec_1_1 \h </w:instrText>
        </w:r>
        <w:r>
          <w:fldChar w:fldCharType="separate"/>
        </w:r>
        <w:r>
          <w:rPr/>
          <w:t xml:space="preserve">#</w:t>
        </w:r>
        <w:r>
          <w:fldChar w:fldCharType="end"/>
        </w:r>
      </w:hyperlink>
    </w:p>
    <w:p>
      <w:pPr>
        <w:pStyle w:val="TOC2"/>
      </w:pPr>
      <w:hyperlink w:anchor="sec_1_2" w:history="1">
        <w:r>
          <w:rPr/>
          <w:t xml:space="preserve">1.2 Problem Statement</w:t>
        </w:r>
        <w:r>
          <w:tab/>
        </w:r>
        <w:r>
          <w:fldChar w:fldCharType="begin"/>
        </w:r>
        <w:r>
          <w:instrText xml:space="preserve"> PAGEREF sec_1_2 \h </w:instrText>
        </w:r>
        <w:r>
          <w:fldChar w:fldCharType="separate"/>
        </w:r>
        <w:r>
          <w:rPr/>
          <w:t xml:space="preserve">#</w:t>
        </w:r>
        <w:r>
          <w:fldChar w:fldCharType="end"/>
        </w:r>
      </w:hyperlink>
    </w:p>
    <w:p>
      <w:pPr>
        <w:pStyle w:val="TOC2"/>
      </w:pPr>
      <w:hyperlink w:anchor="sec_1_3" w:history="1">
        <w:r>
          <w:rPr/>
          <w:t xml:space="preserve">1.3 Research Objectives and Questions</w:t>
        </w:r>
        <w:r>
          <w:tab/>
        </w:r>
        <w:r>
          <w:fldChar w:fldCharType="begin"/>
        </w:r>
        <w:r>
          <w:instrText xml:space="preserve"> PAGEREF sec_1_3 \h </w:instrText>
        </w:r>
        <w:r>
          <w:fldChar w:fldCharType="separate"/>
        </w:r>
        <w:r>
          <w:rPr/>
          <w:t xml:space="preserve">#</w:t>
        </w:r>
        <w:r>
          <w:fldChar w:fldCharType="end"/>
        </w:r>
      </w:hyperlink>
    </w:p>
    <w:p>
      <w:pPr>
        <w:pStyle w:val="TOC2"/>
      </w:pPr>
      <w:hyperlink w:anchor="sec_1_4" w:history="1">
        <w:r>
          <w:rPr/>
          <w:t xml:space="preserve">1.4 Significance and Relevance</w:t>
        </w:r>
        <w:r>
          <w:tab/>
        </w:r>
        <w:r>
          <w:fldChar w:fldCharType="begin"/>
        </w:r>
        <w:r>
          <w:instrText xml:space="preserve"> PAGEREF sec_1_4 \h </w:instrText>
        </w:r>
        <w:r>
          <w:fldChar w:fldCharType="separate"/>
        </w:r>
        <w:r>
          <w:rPr/>
          <w:t xml:space="preserve">#</w:t>
        </w:r>
        <w:r>
          <w:fldChar w:fldCharType="end"/>
        </w:r>
      </w:hyperlink>
    </w:p>
    <w:p>
      <w:pPr>
        <w:pStyle w:val="TOC2"/>
      </w:pPr>
      <w:hyperlink w:anchor="sec_1_5" w:history="1">
        <w:r>
          <w:rPr/>
          <w:t xml:space="preserve">1.5 Scope and Out-of-Scope</w:t>
        </w:r>
        <w:r>
          <w:tab/>
        </w:r>
        <w:r>
          <w:fldChar w:fldCharType="begin"/>
        </w:r>
        <w:r>
          <w:instrText xml:space="preserve"> PAGEREF sec_1_5 \h </w:instrText>
        </w:r>
        <w:r>
          <w:fldChar w:fldCharType="separate"/>
        </w:r>
        <w:r>
          <w:rPr/>
          <w:t xml:space="preserve">#</w:t>
        </w:r>
        <w:r>
          <w:fldChar w:fldCharType="end"/>
        </w:r>
      </w:hyperlink>
    </w:p>
    <w:p>
      <w:pPr>
        <w:pStyle w:val="TOC2"/>
      </w:pPr>
      <w:hyperlink w:anchor="sec_1_6" w:history="1">
        <w:r>
          <w:rPr/>
          <w:t xml:space="preserve">1.6 Methodological Approach</w:t>
        </w:r>
        <w:r>
          <w:tab/>
        </w:r>
        <w:r>
          <w:fldChar w:fldCharType="begin"/>
        </w:r>
        <w:r>
          <w:instrText xml:space="preserve"> PAGEREF sec_1_6 \h </w:instrText>
        </w:r>
        <w:r>
          <w:fldChar w:fldCharType="separate"/>
        </w:r>
        <w:r>
          <w:rPr/>
          <w:t xml:space="preserve">#</w:t>
        </w:r>
        <w:r>
          <w:fldChar w:fldCharType="end"/>
        </w:r>
      </w:hyperlink>
    </w:p>
    <w:p>
      <w:pPr>
        <w:pStyle w:val="TOC2"/>
      </w:pPr>
      <w:hyperlink w:anchor="sec_1_7" w:history="1">
        <w:r>
          <w:rPr/>
          <w:t xml:space="preserve">1.7 Thesis Structure</w:t>
        </w:r>
        <w:r>
          <w:tab/>
        </w:r>
        <w:r>
          <w:fldChar w:fldCharType="begin"/>
        </w:r>
        <w:r>
          <w:instrText xml:space="preserve"> PAGEREF sec_1_7 \h </w:instrText>
        </w:r>
        <w:r>
          <w:fldChar w:fldCharType="separate"/>
        </w:r>
        <w:r>
          <w:rPr/>
          <w:t xml:space="preserve">#</w:t>
        </w:r>
        <w:r>
          <w:fldChar w:fldCharType="end"/>
        </w:r>
      </w:hyperlink>
    </w:p>
    <w:p>
      <w:pPr>
        <w:pStyle w:val="TOC1"/>
      </w:pPr>
      <w:hyperlink w:anchor="ch_2" w:history="1">
        <w:r>
          <w:rPr/>
          <w:t xml:space="preserve">Chapter 2. Literature Review and Theoretical Foundation</w:t>
        </w:r>
        <w:r>
          <w:tab/>
        </w:r>
        <w:r>
          <w:fldChar w:fldCharType="begin"/>
        </w:r>
        <w:r>
          <w:instrText xml:space="preserve"> PAGEREF ch_2 \h </w:instrText>
        </w:r>
        <w:r>
          <w:fldChar w:fldCharType="separate"/>
        </w:r>
        <w:r>
          <w:rPr/>
          <w:t xml:space="preserve">#</w:t>
        </w:r>
        <w:r>
          <w:fldChar w:fldCharType="end"/>
        </w:r>
      </w:hyperlink>
    </w:p>
    <w:p>
      <w:pPr>
        <w:pStyle w:val="TOC2"/>
      </w:pPr>
      <w:hyperlink w:anchor="sec_2_1" w:history="1">
        <w:r>
          <w:rPr/>
          <w:t xml:space="preserve">2.1 Review Protocol</w:t>
        </w:r>
        <w:r>
          <w:tab/>
        </w:r>
        <w:r>
          <w:fldChar w:fldCharType="begin"/>
        </w:r>
        <w:r>
          <w:instrText xml:space="preserve"> PAGEREF sec_2_1 \h </w:instrText>
        </w:r>
        <w:r>
          <w:fldChar w:fldCharType="separate"/>
        </w:r>
        <w:r>
          <w:rPr/>
          <w:t xml:space="preserve">#</w:t>
        </w:r>
        <w:r>
          <w:fldChar w:fldCharType="end"/>
        </w:r>
      </w:hyperlink>
    </w:p>
    <w:p>
      <w:pPr>
        <w:pStyle w:val="TOC2"/>
      </w:pPr>
      <w:hyperlink w:anchor="sec_2_2" w:history="1">
        <w:r>
          <w:rPr/>
          <w:t xml:space="preserve">2.2 The Cross-Border Health Data Exchange Landscape</w:t>
        </w:r>
        <w:r>
          <w:tab/>
        </w:r>
        <w:r>
          <w:fldChar w:fldCharType="begin"/>
        </w:r>
        <w:r>
          <w:instrText xml:space="preserve"> PAGEREF sec_2_2 \h </w:instrText>
        </w:r>
        <w:r>
          <w:fldChar w:fldCharType="separate"/>
        </w:r>
        <w:r>
          <w:rPr/>
          <w:t xml:space="preserve">#</w:t>
        </w:r>
        <w:r>
          <w:fldChar w:fldCharType="end"/>
        </w:r>
      </w:hyperlink>
    </w:p>
    <w:p>
      <w:pPr>
        <w:pStyle w:val="TOC2"/>
      </w:pPr>
      <w:hyperlink w:anchor="sec_2_3" w:history="1">
        <w:r>
          <w:rPr/>
          <w:t xml:space="preserve">2.3 The Audit-Retention versus Right-to-Erasure Tension</w:t>
        </w:r>
        <w:r>
          <w:tab/>
        </w:r>
        <w:r>
          <w:fldChar w:fldCharType="begin"/>
        </w:r>
        <w:r>
          <w:instrText xml:space="preserve"> PAGEREF sec_2_3 \h </w:instrText>
        </w:r>
        <w:r>
          <w:fldChar w:fldCharType="separate"/>
        </w:r>
        <w:r>
          <w:rPr/>
          <w:t xml:space="preserve">#</w:t>
        </w:r>
        <w:r>
          <w:fldChar w:fldCharType="end"/>
        </w:r>
      </w:hyperlink>
    </w:p>
    <w:p>
      <w:pPr>
        <w:pStyle w:val="TOC2"/>
      </w:pPr>
      <w:hyperlink w:anchor="sec_2_4" w:history="1">
        <w:r>
          <w:rPr/>
          <w:t xml:space="preserve">2.4 Cryptographic Approaches to Audit Compliance</w:t>
        </w:r>
        <w:r>
          <w:tab/>
        </w:r>
        <w:r>
          <w:fldChar w:fldCharType="begin"/>
        </w:r>
        <w:r>
          <w:instrText xml:space="preserve"> PAGEREF sec_2_4 \h </w:instrText>
        </w:r>
        <w:r>
          <w:fldChar w:fldCharType="separate"/>
        </w:r>
        <w:r>
          <w:rPr/>
          <w:t xml:space="preserve">#</w:t>
        </w:r>
        <w:r>
          <w:fldChar w:fldCharType="end"/>
        </w:r>
      </w:hyperlink>
    </w:p>
    <w:p>
      <w:pPr>
        <w:pStyle w:val="TOC2"/>
      </w:pPr>
      <w:hyperlink w:anchor="sec_2_5" w:history="1">
        <w:r>
          <w:rPr/>
          <w:t xml:space="preserve">2.5 Formal Approaches to Regulatory-Compliance Verification</w:t>
        </w:r>
        <w:r>
          <w:tab/>
        </w:r>
        <w:r>
          <w:fldChar w:fldCharType="begin"/>
        </w:r>
        <w:r>
          <w:instrText xml:space="preserve"> PAGEREF sec_2_5 \h </w:instrText>
        </w:r>
        <w:r>
          <w:fldChar w:fldCharType="separate"/>
        </w:r>
        <w:r>
          <w:rPr/>
          <w:t xml:space="preserve">#</w:t>
        </w:r>
        <w:r>
          <w:fldChar w:fldCharType="end"/>
        </w:r>
      </w:hyperlink>
    </w:p>
    <w:p>
      <w:pPr>
        <w:pStyle w:val="TOC2"/>
      </w:pPr>
      <w:hyperlink w:anchor="sec_2_6" w:history="1">
        <w:r>
          <w:rPr/>
          <w:t xml:space="preserve">2.6 Norwegian Secondary-Use Infrastructure</w:t>
        </w:r>
        <w:r>
          <w:tab/>
        </w:r>
        <w:r>
          <w:fldChar w:fldCharType="begin"/>
        </w:r>
        <w:r>
          <w:instrText xml:space="preserve"> PAGEREF sec_2_6 \h </w:instrText>
        </w:r>
        <w:r>
          <w:fldChar w:fldCharType="separate"/>
        </w:r>
        <w:r>
          <w:rPr/>
          <w:t xml:space="preserve">#</w:t>
        </w:r>
        <w:r>
          <w:fldChar w:fldCharType="end"/>
        </w:r>
      </w:hyperlink>
    </w:p>
    <w:p>
      <w:pPr>
        <w:pStyle w:val="TOC2"/>
      </w:pPr>
      <w:hyperlink w:anchor="sec_2_7" w:history="1">
        <w:r>
          <w:rPr/>
          <w:t xml:space="preserve">2.7 Information Logistics Framing</w:t>
        </w:r>
        <w:r>
          <w:tab/>
        </w:r>
        <w:r>
          <w:fldChar w:fldCharType="begin"/>
        </w:r>
        <w:r>
          <w:instrText xml:space="preserve"> PAGEREF sec_2_7 \h </w:instrText>
        </w:r>
        <w:r>
          <w:fldChar w:fldCharType="separate"/>
        </w:r>
        <w:r>
          <w:rPr/>
          <w:t xml:space="preserve">#</w:t>
        </w:r>
        <w:r>
          <w:fldChar w:fldCharType="end"/>
        </w:r>
      </w:hyperlink>
    </w:p>
    <w:p>
      <w:pPr>
        <w:pStyle w:val="TOC2"/>
      </w:pPr>
      <w:hyperlink w:anchor="sec_2_8" w:history="1">
        <w:r>
          <w:rPr/>
          <w:t xml:space="preserve">2.8 Comparative Analysis</w:t>
        </w:r>
        <w:r>
          <w:tab/>
        </w:r>
        <w:r>
          <w:fldChar w:fldCharType="begin"/>
        </w:r>
        <w:r>
          <w:instrText xml:space="preserve"> PAGEREF sec_2_8 \h </w:instrText>
        </w:r>
        <w:r>
          <w:fldChar w:fldCharType="separate"/>
        </w:r>
        <w:r>
          <w:rPr/>
          <w:t xml:space="preserve">#</w:t>
        </w:r>
        <w:r>
          <w:fldChar w:fldCharType="end"/>
        </w:r>
      </w:hyperlink>
    </w:p>
    <w:p>
      <w:pPr>
        <w:pStyle w:val="TOC2"/>
      </w:pPr>
      <w:hyperlink w:anchor="sec_2_9" w:history="1">
        <w:r>
          <w:rPr/>
          <w:t xml:space="preserve">2.9 Identified Research Gaps</w:t>
        </w:r>
        <w:r>
          <w:tab/>
        </w:r>
        <w:r>
          <w:fldChar w:fldCharType="begin"/>
        </w:r>
        <w:r>
          <w:instrText xml:space="preserve"> PAGEREF sec_2_9 \h </w:instrText>
        </w:r>
        <w:r>
          <w:fldChar w:fldCharType="separate"/>
        </w:r>
        <w:r>
          <w:rPr/>
          <w:t xml:space="preserve">#</w:t>
        </w:r>
        <w:r>
          <w:fldChar w:fldCharType="end"/>
        </w:r>
      </w:hyperlink>
    </w:p>
    <w:p>
      <w:pPr>
        <w:pStyle w:val="TOC2"/>
      </w:pPr>
      <w:hyperlink w:anchor="sec_2_10" w:history="1">
        <w:r>
          <w:rPr/>
          <w:t xml:space="preserve">2.10 Conceptual Positioning of the Thesis</w:t>
        </w:r>
        <w:r>
          <w:tab/>
        </w:r>
        <w:r>
          <w:fldChar w:fldCharType="begin"/>
        </w:r>
        <w:r>
          <w:instrText xml:space="preserve"> PAGEREF sec_2_10 \h </w:instrText>
        </w:r>
        <w:r>
          <w:fldChar w:fldCharType="separate"/>
        </w:r>
        <w:r>
          <w:rPr/>
          <w:t xml:space="preserve">#</w:t>
        </w:r>
        <w:r>
          <w:fldChar w:fldCharType="end"/>
        </w:r>
      </w:hyperlink>
    </w:p>
    <w:p>
      <w:pPr>
        <w:pStyle w:val="TOC1"/>
      </w:pPr>
      <w:hyperlink w:anchor="ch_3" w:history="1">
        <w:r>
          <w:rPr/>
          <w:t xml:space="preserve">Chapter 3. Methodology and Research Design</w:t>
        </w:r>
        <w:r>
          <w:tab/>
        </w:r>
        <w:r>
          <w:fldChar w:fldCharType="begin"/>
        </w:r>
        <w:r>
          <w:instrText xml:space="preserve"> PAGEREF ch_3 \h </w:instrText>
        </w:r>
        <w:r>
          <w:fldChar w:fldCharType="separate"/>
        </w:r>
        <w:r>
          <w:rPr/>
          <w:t xml:space="preserve">#</w:t>
        </w:r>
        <w:r>
          <w:fldChar w:fldCharType="end"/>
        </w:r>
      </w:hyperlink>
    </w:p>
    <w:p>
      <w:pPr>
        <w:pStyle w:val="TOC2"/>
      </w:pPr>
      <w:hyperlink w:anchor="sec_3_1" w:history="1">
        <w:r>
          <w:rPr/>
          <w:t xml:space="preserve">3.1 Research Paradigm</w:t>
        </w:r>
        <w:r>
          <w:tab/>
        </w:r>
        <w:r>
          <w:fldChar w:fldCharType="begin"/>
        </w:r>
        <w:r>
          <w:instrText xml:space="preserve"> PAGEREF sec_3_1 \h </w:instrText>
        </w:r>
        <w:r>
          <w:fldChar w:fldCharType="separate"/>
        </w:r>
        <w:r>
          <w:rPr/>
          <w:t xml:space="preserve">#</w:t>
        </w:r>
        <w:r>
          <w:fldChar w:fldCharType="end"/>
        </w:r>
      </w:hyperlink>
    </w:p>
    <w:p>
      <w:pPr>
        <w:pStyle w:val="TOC2"/>
      </w:pPr>
      <w:hyperlink w:anchor="sec_3_2" w:history="1">
        <w:r>
          <w:rPr/>
          <w:t xml:space="preserve">3.2 The Design Science Cycle Adopted</w:t>
        </w:r>
        <w:r>
          <w:tab/>
        </w:r>
        <w:r>
          <w:fldChar w:fldCharType="begin"/>
        </w:r>
        <w:r>
          <w:instrText xml:space="preserve"> PAGEREF sec_3_2 \h </w:instrText>
        </w:r>
        <w:r>
          <w:fldChar w:fldCharType="separate"/>
        </w:r>
        <w:r>
          <w:rPr/>
          <w:t xml:space="preserve">#</w:t>
        </w:r>
        <w:r>
          <w:fldChar w:fldCharType="end"/>
        </w:r>
      </w:hyperlink>
    </w:p>
    <w:p>
      <w:pPr>
        <w:pStyle w:val="TOC2"/>
      </w:pPr>
      <w:hyperlink w:anchor="sec_3_3" w:history="1">
        <w:r>
          <w:rPr/>
          <w:t xml:space="preserve">3.3 The Specification-and-Demonstration Variant, Extended with Formal Modelling</w:t>
        </w:r>
        <w:r>
          <w:tab/>
        </w:r>
        <w:r>
          <w:fldChar w:fldCharType="begin"/>
        </w:r>
        <w:r>
          <w:instrText xml:space="preserve"> PAGEREF sec_3_3 \h </w:instrText>
        </w:r>
        <w:r>
          <w:fldChar w:fldCharType="separate"/>
        </w:r>
        <w:r>
          <w:rPr/>
          <w:t xml:space="preserve">#</w:t>
        </w:r>
        <w:r>
          <w:fldChar w:fldCharType="end"/>
        </w:r>
      </w:hyperlink>
    </w:p>
    <w:p>
      <w:pPr>
        <w:pStyle w:val="TOC2"/>
      </w:pPr>
      <w:hyperlink w:anchor="sec_3_4" w:history="1">
        <w:r>
          <w:rPr/>
          <w:t xml:space="preserve">3.4 Formal-Modelling Methodology</w:t>
        </w:r>
        <w:r>
          <w:tab/>
        </w:r>
        <w:r>
          <w:fldChar w:fldCharType="begin"/>
        </w:r>
        <w:r>
          <w:instrText xml:space="preserve"> PAGEREF sec_3_4 \h </w:instrText>
        </w:r>
        <w:r>
          <w:fldChar w:fldCharType="separate"/>
        </w:r>
        <w:r>
          <w:rPr/>
          <w:t xml:space="preserve">#</w:t>
        </w:r>
        <w:r>
          <w:fldChar w:fldCharType="end"/>
        </w:r>
      </w:hyperlink>
    </w:p>
    <w:p>
      <w:pPr>
        <w:pStyle w:val="TOC2"/>
      </w:pPr>
      <w:hyperlink w:anchor="sec_3_5" w:history="1">
        <w:r>
          <w:rPr/>
          <w:t xml:space="preserve">3.5 Synthetic Data</w:t>
        </w:r>
        <w:r>
          <w:tab/>
        </w:r>
        <w:r>
          <w:fldChar w:fldCharType="begin"/>
        </w:r>
        <w:r>
          <w:instrText xml:space="preserve"> PAGEREF sec_3_5 \h </w:instrText>
        </w:r>
        <w:r>
          <w:fldChar w:fldCharType="separate"/>
        </w:r>
        <w:r>
          <w:rPr/>
          <w:t xml:space="preserve">#</w:t>
        </w:r>
        <w:r>
          <w:fldChar w:fldCharType="end"/>
        </w:r>
      </w:hyperlink>
    </w:p>
    <w:p>
      <w:pPr>
        <w:pStyle w:val="TOC2"/>
      </w:pPr>
      <w:hyperlink w:anchor="sec_3_6" w:history="1">
        <w:r>
          <w:rPr/>
          <w:t xml:space="preserve">3.6 Sandbox Implementation Approach</w:t>
        </w:r>
        <w:r>
          <w:tab/>
        </w:r>
        <w:r>
          <w:fldChar w:fldCharType="begin"/>
        </w:r>
        <w:r>
          <w:instrText xml:space="preserve"> PAGEREF sec_3_6 \h </w:instrText>
        </w:r>
        <w:r>
          <w:fldChar w:fldCharType="separate"/>
        </w:r>
        <w:r>
          <w:rPr/>
          <w:t xml:space="preserve">#</w:t>
        </w:r>
        <w:r>
          <w:fldChar w:fldCharType="end"/>
        </w:r>
      </w:hyperlink>
    </w:p>
    <w:p>
      <w:pPr>
        <w:pStyle w:val="TOC2"/>
      </w:pPr>
      <w:hyperlink w:anchor="sec_3_7" w:history="1">
        <w:r>
          <w:rPr/>
          <w:t xml:space="preserve">3.7 Validity, Reliability, and Limitations</w:t>
        </w:r>
        <w:r>
          <w:tab/>
        </w:r>
        <w:r>
          <w:fldChar w:fldCharType="begin"/>
        </w:r>
        <w:r>
          <w:instrText xml:space="preserve"> PAGEREF sec_3_7 \h </w:instrText>
        </w:r>
        <w:r>
          <w:fldChar w:fldCharType="separate"/>
        </w:r>
        <w:r>
          <w:rPr/>
          <w:t xml:space="preserve">#</w:t>
        </w:r>
        <w:r>
          <w:fldChar w:fldCharType="end"/>
        </w:r>
      </w:hyperlink>
    </w:p>
    <w:p>
      <w:pPr>
        <w:pStyle w:val="TOC2"/>
      </w:pPr>
      <w:hyperlink w:anchor="sec_3_8" w:history="1">
        <w:r>
          <w:rPr/>
          <w:t xml:space="preserve">3.8 Evaluation Design for the Next Cycle</w:t>
        </w:r>
        <w:r>
          <w:tab/>
        </w:r>
        <w:r>
          <w:fldChar w:fldCharType="begin"/>
        </w:r>
        <w:r>
          <w:instrText xml:space="preserve"> PAGEREF sec_3_8 \h </w:instrText>
        </w:r>
        <w:r>
          <w:fldChar w:fldCharType="separate"/>
        </w:r>
        <w:r>
          <w:rPr/>
          <w:t xml:space="preserve">#</w:t>
        </w:r>
        <w:r>
          <w:fldChar w:fldCharType="end"/>
        </w:r>
      </w:hyperlink>
    </w:p>
    <w:p>
      <w:pPr>
        <w:pStyle w:val="TOC2"/>
      </w:pPr>
      <w:hyperlink w:anchor="sec_3_9" w:history="1">
        <w:r>
          <w:rPr/>
          <w:t xml:space="preserve">3.9 Ethical Considerations</w:t>
        </w:r>
        <w:r>
          <w:tab/>
        </w:r>
        <w:r>
          <w:fldChar w:fldCharType="begin"/>
        </w:r>
        <w:r>
          <w:instrText xml:space="preserve"> PAGEREF sec_3_9 \h </w:instrText>
        </w:r>
        <w:r>
          <w:fldChar w:fldCharType="separate"/>
        </w:r>
        <w:r>
          <w:rPr/>
          <w:t xml:space="preserve">#</w:t>
        </w:r>
        <w:r>
          <w:fldChar w:fldCharType="end"/>
        </w:r>
      </w:hyperlink>
    </w:p>
    <w:p>
      <w:pPr>
        <w:pStyle w:val="TOC1"/>
      </w:pPr>
      <w:hyperlink w:anchor="ch_4" w:history="1">
        <w:r>
          <w:rPr/>
          <w:t xml:space="preserve">Chapter 4. The Tri-Lateral Retention Feasibility Model and the Crypto-Erasure by Invalidation Mechanism</w:t>
        </w:r>
        <w:r>
          <w:tab/>
        </w:r>
        <w:r>
          <w:fldChar w:fldCharType="begin"/>
        </w:r>
        <w:r>
          <w:instrText xml:space="preserve"> PAGEREF ch_4 \h </w:instrText>
        </w:r>
        <w:r>
          <w:fldChar w:fldCharType="separate"/>
        </w:r>
        <w:r>
          <w:rPr/>
          <w:t xml:space="preserve">#</w:t>
        </w:r>
        <w:r>
          <w:fldChar w:fldCharType="end"/>
        </w:r>
      </w:hyperlink>
    </w:p>
    <w:p>
      <w:pPr>
        <w:pStyle w:val="TOC2"/>
      </w:pPr>
      <w:hyperlink w:anchor="sec_4_1" w:history="1">
        <w:r>
          <w:rPr/>
          <w:t xml:space="preserve">4.1 Purpose and Structure of the Chapter</w:t>
        </w:r>
        <w:r>
          <w:tab/>
        </w:r>
        <w:r>
          <w:fldChar w:fldCharType="begin"/>
        </w:r>
        <w:r>
          <w:instrText xml:space="preserve"> PAGEREF sec_4_1 \h </w:instrText>
        </w:r>
        <w:r>
          <w:fldChar w:fldCharType="separate"/>
        </w:r>
        <w:r>
          <w:rPr/>
          <w:t xml:space="preserve">#</w:t>
        </w:r>
        <w:r>
          <w:fldChar w:fldCharType="end"/>
        </w:r>
      </w:hyperlink>
    </w:p>
    <w:p>
      <w:pPr>
        <w:pStyle w:val="TOC2"/>
      </w:pPr>
      <w:hyperlink w:anchor="sec_4_2" w:history="1">
        <w:r>
          <w:rPr/>
          <w:t xml:space="preserve">4.2 What Must Be Retained: The Necessity Analysis</w:t>
        </w:r>
        <w:r>
          <w:tab/>
        </w:r>
        <w:r>
          <w:fldChar w:fldCharType="begin"/>
        </w:r>
        <w:r>
          <w:instrText xml:space="preserve"> PAGEREF sec_4_2 \h </w:instrText>
        </w:r>
        <w:r>
          <w:fldChar w:fldCharType="separate"/>
        </w:r>
        <w:r>
          <w:rPr/>
          <w:t xml:space="preserve">#</w:t>
        </w:r>
        <w:r>
          <w:fldChar w:fldCharType="end"/>
        </w:r>
      </w:hyperlink>
    </w:p>
    <w:p>
      <w:pPr>
        <w:pStyle w:val="TOC2"/>
      </w:pPr>
      <w:hyperlink w:anchor="sec_4_3" w:history="1">
        <w:r>
          <w:rPr/>
          <w:t xml:space="preserve">4.3 The Model: Objects and Notation</w:t>
        </w:r>
        <w:r>
          <w:tab/>
        </w:r>
        <w:r>
          <w:fldChar w:fldCharType="begin"/>
        </w:r>
        <w:r>
          <w:instrText xml:space="preserve"> PAGEREF sec_4_3 \h </w:instrText>
        </w:r>
        <w:r>
          <w:fldChar w:fldCharType="separate"/>
        </w:r>
        <w:r>
          <w:rPr/>
          <w:t xml:space="preserve">#</w:t>
        </w:r>
        <w:r>
          <w:fldChar w:fldCharType="end"/>
        </w:r>
      </w:hyperlink>
    </w:p>
    <w:p>
      <w:pPr>
        <w:pStyle w:val="TOC2"/>
      </w:pPr>
      <w:hyperlink w:anchor="sec_4_4" w:history="1">
        <w:r>
          <w:rPr/>
          <w:t xml:space="preserve">4.4 The Three Constraints</w:t>
        </w:r>
        <w:r>
          <w:tab/>
        </w:r>
        <w:r>
          <w:fldChar w:fldCharType="begin"/>
        </w:r>
        <w:r>
          <w:instrText xml:space="preserve"> PAGEREF sec_4_4 \h </w:instrText>
        </w:r>
        <w:r>
          <w:fldChar w:fldCharType="separate"/>
        </w:r>
        <w:r>
          <w:rPr/>
          <w:t xml:space="preserve">#</w:t>
        </w:r>
        <w:r>
          <w:fldChar w:fldCharType="end"/>
        </w:r>
      </w:hyperlink>
    </w:p>
    <w:p>
      <w:pPr>
        <w:pStyle w:val="TOC2"/>
      </w:pPr>
      <w:hyperlink w:anchor="sec_4_5" w:history="1">
        <w:r>
          <w:rPr/>
          <w:t xml:space="preserve">4.5 Two Semantics of Verifiability</w:t>
        </w:r>
        <w:r>
          <w:tab/>
        </w:r>
        <w:r>
          <w:fldChar w:fldCharType="begin"/>
        </w:r>
        <w:r>
          <w:instrText xml:space="preserve"> PAGEREF sec_4_5 \h </w:instrText>
        </w:r>
        <w:r>
          <w:fldChar w:fldCharType="separate"/>
        </w:r>
        <w:r>
          <w:rPr/>
          <w:t xml:space="preserve">#</w:t>
        </w:r>
        <w:r>
          <w:fldChar w:fldCharType="end"/>
        </w:r>
      </w:hyperlink>
    </w:p>
    <w:p>
      <w:pPr>
        <w:pStyle w:val="TOC2"/>
      </w:pPr>
      <w:hyperlink w:anchor="sec_4_6" w:history="1">
        <w:r>
          <w:rPr/>
          <w:t xml:space="preserve">4.6 Propositions 1 and 3: Infeasibility, and Where the Ceiling Is Anchored</w:t>
        </w:r>
        <w:r>
          <w:tab/>
        </w:r>
        <w:r>
          <w:fldChar w:fldCharType="begin"/>
        </w:r>
        <w:r>
          <w:instrText xml:space="preserve"> PAGEREF sec_4_6 \h </w:instrText>
        </w:r>
        <w:r>
          <w:fldChar w:fldCharType="separate"/>
        </w:r>
        <w:r>
          <w:rPr/>
          <w:t xml:space="preserve">#</w:t>
        </w:r>
        <w:r>
          <w:fldChar w:fldCharType="end"/>
        </w:r>
      </w:hyperlink>
    </w:p>
    <w:p>
      <w:pPr>
        <w:pStyle w:val="TOC2"/>
      </w:pPr>
      <w:hyperlink w:anchor="sec_4_7" w:history="1">
        <w:r>
          <w:rPr/>
          <w:t xml:space="preserve">4.7 Proposition 2: Feasibility under Accountability-Preserving Verifiability</w:t>
        </w:r>
        <w:r>
          <w:tab/>
        </w:r>
        <w:r>
          <w:fldChar w:fldCharType="begin"/>
        </w:r>
        <w:r>
          <w:instrText xml:space="preserve"> PAGEREF sec_4_7 \h </w:instrText>
        </w:r>
        <w:r>
          <w:fldChar w:fldCharType="separate"/>
        </w:r>
        <w:r>
          <w:rPr/>
          <w:t xml:space="preserve">#</w:t>
        </w:r>
        <w:r>
          <w:fldChar w:fldCharType="end"/>
        </w:r>
      </w:hyperlink>
    </w:p>
    <w:p>
      <w:pPr>
        <w:pStyle w:val="TOC2"/>
      </w:pPr>
      <w:hyperlink w:anchor="sec_4_8" w:history="1">
        <w:r>
          <w:rPr/>
          <w:t xml:space="preserve">4.8 The Mechanism: Crypto-Erasure by Invalidation</w:t>
        </w:r>
        <w:r>
          <w:tab/>
        </w:r>
        <w:r>
          <w:fldChar w:fldCharType="begin"/>
        </w:r>
        <w:r>
          <w:instrText xml:space="preserve"> PAGEREF sec_4_8 \h </w:instrText>
        </w:r>
        <w:r>
          <w:fldChar w:fldCharType="separate"/>
        </w:r>
        <w:r>
          <w:rPr/>
          <w:t xml:space="preserve">#</w:t>
        </w:r>
        <w:r>
          <w:fldChar w:fldCharType="end"/>
        </w:r>
      </w:hyperlink>
    </w:p>
    <w:p>
      <w:pPr>
        <w:pStyle w:val="TOC2"/>
      </w:pPr>
      <w:hyperlink w:anchor="sec_4_9" w:history="1">
        <w:r>
          <w:rPr/>
          <w:t xml:space="preserve">4.9 Residue Analysis</w:t>
        </w:r>
        <w:r>
          <w:tab/>
        </w:r>
        <w:r>
          <w:fldChar w:fldCharType="begin"/>
        </w:r>
        <w:r>
          <w:instrText xml:space="preserve"> PAGEREF sec_4_9 \h </w:instrText>
        </w:r>
        <w:r>
          <w:fldChar w:fldCharType="separate"/>
        </w:r>
        <w:r>
          <w:rPr/>
          <w:t xml:space="preserve">#</w:t>
        </w:r>
        <w:r>
          <w:fldChar w:fldCharType="end"/>
        </w:r>
      </w:hyperlink>
    </w:p>
    <w:p>
      <w:pPr>
        <w:pStyle w:val="TOC2"/>
      </w:pPr>
      <w:hyperlink w:anchor="sec_4_10" w:history="1">
        <w:r>
          <w:rPr/>
          <w:t xml:space="preserve">4.10 Rival Designs and Proposition 4</w:t>
        </w:r>
        <w:r>
          <w:tab/>
        </w:r>
        <w:r>
          <w:fldChar w:fldCharType="begin"/>
        </w:r>
        <w:r>
          <w:instrText xml:space="preserve"> PAGEREF sec_4_10 \h </w:instrText>
        </w:r>
        <w:r>
          <w:fldChar w:fldCharType="separate"/>
        </w:r>
        <w:r>
          <w:rPr/>
          <w:t xml:space="preserve">#</w:t>
        </w:r>
        <w:r>
          <w:fldChar w:fldCharType="end"/>
        </w:r>
      </w:hyperlink>
    </w:p>
    <w:p>
      <w:pPr>
        <w:pStyle w:val="TOC2"/>
      </w:pPr>
      <w:hyperlink w:anchor="sec_4_11" w:history="1">
        <w:r>
          <w:rPr/>
          <w:t xml:space="preserve">4.11 Integration with the Norwegian Infrastructure</w:t>
        </w:r>
        <w:r>
          <w:tab/>
        </w:r>
        <w:r>
          <w:fldChar w:fldCharType="begin"/>
        </w:r>
        <w:r>
          <w:instrText xml:space="preserve"> PAGEREF sec_4_11 \h </w:instrText>
        </w:r>
        <w:r>
          <w:fldChar w:fldCharType="separate"/>
        </w:r>
        <w:r>
          <w:rPr/>
          <w:t xml:space="preserve">#</w:t>
        </w:r>
        <w:r>
          <w:fldChar w:fldCharType="end"/>
        </w:r>
      </w:hyperlink>
    </w:p>
    <w:p>
      <w:pPr>
        <w:pStyle w:val="TOC2"/>
      </w:pPr>
      <w:hyperlink w:anchor="sec_4_12" w:history="1">
        <w:r>
          <w:rPr/>
          <w:t xml:space="preserve">4.12 Summary</w:t>
        </w:r>
        <w:r>
          <w:tab/>
        </w:r>
        <w:r>
          <w:fldChar w:fldCharType="begin"/>
        </w:r>
        <w:r>
          <w:instrText xml:space="preserve"> PAGEREF sec_4_12 \h </w:instrText>
        </w:r>
        <w:r>
          <w:fldChar w:fldCharType="separate"/>
        </w:r>
        <w:r>
          <w:rPr/>
          <w:t xml:space="preserve">#</w:t>
        </w:r>
        <w:r>
          <w:fldChar w:fldCharType="end"/>
        </w:r>
      </w:hyperlink>
    </w:p>
    <w:p>
      <w:pPr>
        <w:pStyle w:val="TOC1"/>
      </w:pPr>
      <w:hyperlink w:anchor="ch_5" w:history="1">
        <w:r>
          <w:rPr/>
          <w:t xml:space="preserve">Chapter 5. Demonstration</w:t>
        </w:r>
        <w:r>
          <w:tab/>
        </w:r>
        <w:r>
          <w:fldChar w:fldCharType="begin"/>
        </w:r>
        <w:r>
          <w:instrText xml:space="preserve"> PAGEREF ch_5 \h </w:instrText>
        </w:r>
        <w:r>
          <w:fldChar w:fldCharType="separate"/>
        </w:r>
        <w:r>
          <w:rPr/>
          <w:t xml:space="preserve">#</w:t>
        </w:r>
        <w:r>
          <w:fldChar w:fldCharType="end"/>
        </w:r>
      </w:hyperlink>
    </w:p>
    <w:p>
      <w:pPr>
        <w:pStyle w:val="TOC2"/>
      </w:pPr>
      <w:hyperlink w:anchor="sec_5_1" w:history="1">
        <w:r>
          <w:rPr/>
          <w:t xml:space="preserve">5.1 Purpose and Claim</w:t>
        </w:r>
        <w:r>
          <w:tab/>
        </w:r>
        <w:r>
          <w:fldChar w:fldCharType="begin"/>
        </w:r>
        <w:r>
          <w:instrText xml:space="preserve"> PAGEREF sec_5_1 \h </w:instrText>
        </w:r>
        <w:r>
          <w:fldChar w:fldCharType="separate"/>
        </w:r>
        <w:r>
          <w:rPr/>
          <w:t xml:space="preserve">#</w:t>
        </w:r>
        <w:r>
          <w:fldChar w:fldCharType="end"/>
        </w:r>
      </w:hyperlink>
    </w:p>
    <w:p>
      <w:pPr>
        <w:pStyle w:val="TOC2"/>
      </w:pPr>
      <w:hyperlink w:anchor="sec_5_2" w:history="1">
        <w:r>
          <w:rPr/>
          <w:t xml:space="preserve">5.2 Implementation</w:t>
        </w:r>
        <w:r>
          <w:tab/>
        </w:r>
        <w:r>
          <w:fldChar w:fldCharType="begin"/>
        </w:r>
        <w:r>
          <w:instrText xml:space="preserve"> PAGEREF sec_5_2 \h </w:instrText>
        </w:r>
        <w:r>
          <w:fldChar w:fldCharType="separate"/>
        </w:r>
        <w:r>
          <w:rPr/>
          <w:t xml:space="preserve">#</w:t>
        </w:r>
        <w:r>
          <w:fldChar w:fldCharType="end"/>
        </w:r>
      </w:hyperlink>
    </w:p>
    <w:p>
      <w:pPr>
        <w:pStyle w:val="TOC2"/>
      </w:pPr>
      <w:hyperlink w:anchor="sec_5_3" w:history="1">
        <w:r>
          <w:rPr/>
          <w:t xml:space="preserve">5.3 Results under Semantics I</w:t>
        </w:r>
        <w:r>
          <w:tab/>
        </w:r>
        <w:r>
          <w:fldChar w:fldCharType="begin"/>
        </w:r>
        <w:r>
          <w:instrText xml:space="preserve"> PAGEREF sec_5_3 \h </w:instrText>
        </w:r>
        <w:r>
          <w:fldChar w:fldCharType="separate"/>
        </w:r>
        <w:r>
          <w:rPr/>
          <w:t xml:space="preserve">#</w:t>
        </w:r>
        <w:r>
          <w:fldChar w:fldCharType="end"/>
        </w:r>
      </w:hyperlink>
    </w:p>
    <w:p>
      <w:pPr>
        <w:pStyle w:val="TOC2"/>
      </w:pPr>
      <w:hyperlink w:anchor="sec_5_4" w:history="1">
        <w:r>
          <w:rPr/>
          <w:t xml:space="preserve">5.4 Corollary 1.2: Infeasibility Without an Erasure Request</w:t>
        </w:r>
        <w:r>
          <w:tab/>
        </w:r>
        <w:r>
          <w:fldChar w:fldCharType="begin"/>
        </w:r>
        <w:r>
          <w:instrText xml:space="preserve"> PAGEREF sec_5_4 \h </w:instrText>
        </w:r>
        <w:r>
          <w:fldChar w:fldCharType="separate"/>
        </w:r>
        <w:r>
          <w:rPr/>
          <w:t xml:space="preserve">#</w:t>
        </w:r>
        <w:r>
          <w:fldChar w:fldCharType="end"/>
        </w:r>
      </w:hyperlink>
    </w:p>
    <w:p>
      <w:pPr>
        <w:pStyle w:val="TOC2"/>
      </w:pPr>
      <w:hyperlink w:anchor="sec_5_5" w:history="1">
        <w:r>
          <w:rPr/>
          <w:t xml:space="preserve">5.5 Independent Cross-Check</w:t>
        </w:r>
        <w:r>
          <w:tab/>
        </w:r>
        <w:r>
          <w:fldChar w:fldCharType="begin"/>
        </w:r>
        <w:r>
          <w:instrText xml:space="preserve"> PAGEREF sec_5_5 \h </w:instrText>
        </w:r>
        <w:r>
          <w:fldChar w:fldCharType="separate"/>
        </w:r>
        <w:r>
          <w:rPr/>
          <w:t xml:space="preserve">#</w:t>
        </w:r>
        <w:r>
          <w:fldChar w:fldCharType="end"/>
        </w:r>
      </w:hyperlink>
    </w:p>
    <w:p>
      <w:pPr>
        <w:pStyle w:val="TOC2"/>
      </w:pPr>
      <w:hyperlink w:anchor="sec_5_6" w:history="1">
        <w:r>
          <w:rPr/>
          <w:t xml:space="preserve">5.6 Witness at the Extended Response Period</w:t>
        </w:r>
        <w:r>
          <w:tab/>
        </w:r>
        <w:r>
          <w:fldChar w:fldCharType="begin"/>
        </w:r>
        <w:r>
          <w:instrText xml:space="preserve"> PAGEREF sec_5_6 \h </w:instrText>
        </w:r>
        <w:r>
          <w:fldChar w:fldCharType="separate"/>
        </w:r>
        <w:r>
          <w:rPr/>
          <w:t xml:space="preserve">#</w:t>
        </w:r>
        <w:r>
          <w:fldChar w:fldCharType="end"/>
        </w:r>
      </w:hyperlink>
    </w:p>
    <w:p>
      <w:pPr>
        <w:pStyle w:val="TOC2"/>
      </w:pPr>
      <w:hyperlink w:anchor="sec_5_7" w:history="1">
        <w:r>
          <w:rPr/>
          <w:t xml:space="preserve">5.7 Results under Semantics II</w:t>
        </w:r>
        <w:r>
          <w:tab/>
        </w:r>
        <w:r>
          <w:fldChar w:fldCharType="begin"/>
        </w:r>
        <w:r>
          <w:instrText xml:space="preserve"> PAGEREF sec_5_7 \h </w:instrText>
        </w:r>
        <w:r>
          <w:fldChar w:fldCharType="separate"/>
        </w:r>
        <w:r>
          <w:rPr/>
          <w:t xml:space="preserve">#</w:t>
        </w:r>
        <w:r>
          <w:fldChar w:fldCharType="end"/>
        </w:r>
      </w:hyperlink>
    </w:p>
    <w:p>
      <w:pPr>
        <w:pStyle w:val="TOC2"/>
      </w:pPr>
      <w:hyperlink w:anchor="sec_5_8" w:history="1">
        <w:r>
          <w:rPr/>
          <w:t xml:space="preserve">5.8 What the Demonstration Establishes, and What It Does Not</w:t>
        </w:r>
        <w:r>
          <w:tab/>
        </w:r>
        <w:r>
          <w:fldChar w:fldCharType="begin"/>
        </w:r>
        <w:r>
          <w:instrText xml:space="preserve"> PAGEREF sec_5_8 \h </w:instrText>
        </w:r>
        <w:r>
          <w:fldChar w:fldCharType="separate"/>
        </w:r>
        <w:r>
          <w:rPr/>
          <w:t xml:space="preserve">#</w:t>
        </w:r>
        <w:r>
          <w:fldChar w:fldCharType="end"/>
        </w:r>
      </w:hyperlink>
    </w:p>
    <w:p>
      <w:pPr>
        <w:pStyle w:val="TOC1"/>
      </w:pPr>
      <w:hyperlink w:anchor="ch_6" w:history="1">
        <w:r>
          <w:rPr/>
          <w:t xml:space="preserve">Chapter 6. Discussion</w:t>
        </w:r>
        <w:r>
          <w:tab/>
        </w:r>
        <w:r>
          <w:fldChar w:fldCharType="begin"/>
        </w:r>
        <w:r>
          <w:instrText xml:space="preserve"> PAGEREF ch_6 \h </w:instrText>
        </w:r>
        <w:r>
          <w:fldChar w:fldCharType="separate"/>
        </w:r>
        <w:r>
          <w:rPr/>
          <w:t xml:space="preserve">#</w:t>
        </w:r>
        <w:r>
          <w:fldChar w:fldCharType="end"/>
        </w:r>
      </w:hyperlink>
    </w:p>
    <w:p>
      <w:pPr>
        <w:pStyle w:val="TOC2"/>
      </w:pPr>
      <w:hyperlink w:anchor="sec_6_1" w:history="1">
        <w:r>
          <w:rPr/>
          <w:t xml:space="preserve">6.1 What the Thesis Establishes</w:t>
        </w:r>
        <w:r>
          <w:tab/>
        </w:r>
        <w:r>
          <w:fldChar w:fldCharType="begin"/>
        </w:r>
        <w:r>
          <w:instrText xml:space="preserve"> PAGEREF sec_6_1 \h </w:instrText>
        </w:r>
        <w:r>
          <w:fldChar w:fldCharType="separate"/>
        </w:r>
        <w:r>
          <w:rPr/>
          <w:t xml:space="preserve">#</w:t>
        </w:r>
        <w:r>
          <w:fldChar w:fldCharType="end"/>
        </w:r>
      </w:hyperlink>
    </w:p>
    <w:p>
      <w:pPr>
        <w:pStyle w:val="TOC2"/>
      </w:pPr>
      <w:hyperlink w:anchor="sec_6_2" w:history="1">
        <w:r>
          <w:rPr/>
          <w:t xml:space="preserve">6.2 The Authority Problem</w:t>
        </w:r>
        <w:r>
          <w:tab/>
        </w:r>
        <w:r>
          <w:fldChar w:fldCharType="begin"/>
        </w:r>
        <w:r>
          <w:instrText xml:space="preserve"> PAGEREF sec_6_2 \h </w:instrText>
        </w:r>
        <w:r>
          <w:fldChar w:fldCharType="separate"/>
        </w:r>
        <w:r>
          <w:rPr/>
          <w:t xml:space="preserve">#</w:t>
        </w:r>
        <w:r>
          <w:fldChar w:fldCharType="end"/>
        </w:r>
      </w:hyperlink>
    </w:p>
    <w:p>
      <w:pPr>
        <w:pStyle w:val="TOC2"/>
      </w:pPr>
      <w:hyperlink w:anchor="sec_6_3" w:history="1">
        <w:r>
          <w:rPr/>
          <w:t xml:space="preserve">6.3 Key Destruction and the Limits of Assurance</w:t>
        </w:r>
        <w:r>
          <w:tab/>
        </w:r>
        <w:r>
          <w:fldChar w:fldCharType="begin"/>
        </w:r>
        <w:r>
          <w:instrText xml:space="preserve"> PAGEREF sec_6_3 \h </w:instrText>
        </w:r>
        <w:r>
          <w:fldChar w:fldCharType="separate"/>
        </w:r>
        <w:r>
          <w:rPr/>
          <w:t xml:space="preserve">#</w:t>
        </w:r>
        <w:r>
          <w:fldChar w:fldCharType="end"/>
        </w:r>
      </w:hyperlink>
    </w:p>
    <w:p>
      <w:pPr>
        <w:pStyle w:val="TOC2"/>
      </w:pPr>
      <w:hyperlink w:anchor="sec_6_4" w:history="1">
        <w:r>
          <w:rPr/>
          <w:t xml:space="preserve">6.4 The Cost Objection</w:t>
        </w:r>
        <w:r>
          <w:tab/>
        </w:r>
        <w:r>
          <w:fldChar w:fldCharType="begin"/>
        </w:r>
        <w:r>
          <w:instrText xml:space="preserve"> PAGEREF sec_6_4 \h </w:instrText>
        </w:r>
        <w:r>
          <w:fldChar w:fldCharType="separate"/>
        </w:r>
        <w:r>
          <w:rPr/>
          <w:t xml:space="preserve">#</w:t>
        </w:r>
        <w:r>
          <w:fldChar w:fldCharType="end"/>
        </w:r>
      </w:hyperlink>
    </w:p>
    <w:p>
      <w:pPr>
        <w:pStyle w:val="TOC2"/>
      </w:pPr>
      <w:hyperlink w:anchor="sec_6_5" w:history="1">
        <w:r>
          <w:rPr/>
          <w:t xml:space="preserve">6.5 Scalability</w:t>
        </w:r>
        <w:r>
          <w:tab/>
        </w:r>
        <w:r>
          <w:fldChar w:fldCharType="begin"/>
        </w:r>
        <w:r>
          <w:instrText xml:space="preserve"> PAGEREF sec_6_5 \h </w:instrText>
        </w:r>
        <w:r>
          <w:fldChar w:fldCharType="separate"/>
        </w:r>
        <w:r>
          <w:rPr/>
          <w:t xml:space="preserve">#</w:t>
        </w:r>
        <w:r>
          <w:fldChar w:fldCharType="end"/>
        </w:r>
      </w:hyperlink>
    </w:p>
    <w:p>
      <w:pPr>
        <w:pStyle w:val="TOC2"/>
      </w:pPr>
      <w:hyperlink w:anchor="sec_6_6" w:history="1">
        <w:r>
          <w:rPr/>
          <w:t xml:space="preserve">6.6 Evaluation Design and the Role of Stakeholder Assessment</w:t>
        </w:r>
        <w:r>
          <w:tab/>
        </w:r>
        <w:r>
          <w:fldChar w:fldCharType="begin"/>
        </w:r>
        <w:r>
          <w:instrText xml:space="preserve"> PAGEREF sec_6_6 \h </w:instrText>
        </w:r>
        <w:r>
          <w:fldChar w:fldCharType="separate"/>
        </w:r>
        <w:r>
          <w:rPr/>
          <w:t xml:space="preserve">#</w:t>
        </w:r>
        <w:r>
          <w:fldChar w:fldCharType="end"/>
        </w:r>
      </w:hyperlink>
    </w:p>
    <w:p>
      <w:pPr>
        <w:pStyle w:val="TOC2"/>
      </w:pPr>
      <w:hyperlink w:anchor="sec_6_7" w:history="1">
        <w:r>
          <w:rPr/>
          <w:t xml:space="preserve">6.7 Synthetic Data and the Limits of the Demonstration</w:t>
        </w:r>
        <w:r>
          <w:tab/>
        </w:r>
        <w:r>
          <w:fldChar w:fldCharType="begin"/>
        </w:r>
        <w:r>
          <w:instrText xml:space="preserve"> PAGEREF sec_6_7 \h </w:instrText>
        </w:r>
        <w:r>
          <w:fldChar w:fldCharType="separate"/>
        </w:r>
        <w:r>
          <w:rPr/>
          <w:t xml:space="preserve">#</w:t>
        </w:r>
        <w:r>
          <w:fldChar w:fldCharType="end"/>
        </w:r>
      </w:hyperlink>
    </w:p>
    <w:p>
      <w:pPr>
        <w:pStyle w:val="TOC2"/>
      </w:pPr>
      <w:hyperlink w:anchor="sec_6_8" w:history="1">
        <w:r>
          <w:rPr/>
          <w:t xml:space="preserve">6.8 Implications for Practice and Policy</w:t>
        </w:r>
        <w:r>
          <w:tab/>
        </w:r>
        <w:r>
          <w:fldChar w:fldCharType="begin"/>
        </w:r>
        <w:r>
          <w:instrText xml:space="preserve"> PAGEREF sec_6_8 \h </w:instrText>
        </w:r>
        <w:r>
          <w:fldChar w:fldCharType="separate"/>
        </w:r>
        <w:r>
          <w:rPr/>
          <w:t xml:space="preserve">#</w:t>
        </w:r>
        <w:r>
          <w:fldChar w:fldCharType="end"/>
        </w:r>
      </w:hyperlink>
    </w:p>
    <w:p>
      <w:pPr>
        <w:pStyle w:val="TOC2"/>
      </w:pPr>
      <w:hyperlink w:anchor="sec_6_9" w:history="1">
        <w:r>
          <w:rPr/>
          <w:t xml:space="preserve">6.9 Theoretical Implications</w:t>
        </w:r>
        <w:r>
          <w:tab/>
        </w:r>
        <w:r>
          <w:fldChar w:fldCharType="begin"/>
        </w:r>
        <w:r>
          <w:instrText xml:space="preserve"> PAGEREF sec_6_9 \h </w:instrText>
        </w:r>
        <w:r>
          <w:fldChar w:fldCharType="separate"/>
        </w:r>
        <w:r>
          <w:rPr/>
          <w:t xml:space="preserve">#</w:t>
        </w:r>
        <w:r>
          <w:fldChar w:fldCharType="end"/>
        </w:r>
      </w:hyperlink>
    </w:p>
    <w:p>
      <w:pPr>
        <w:pStyle w:val="TOC2"/>
      </w:pPr>
      <w:hyperlink w:anchor="sec_6_10" w:history="1">
        <w:r>
          <w:rPr/>
          <w:t xml:space="preserve">6.10 Where the Ceiling Is Anchored: a Cross-Sector Test</w:t>
        </w:r>
        <w:r>
          <w:tab/>
        </w:r>
        <w:r>
          <w:fldChar w:fldCharType="begin"/>
        </w:r>
        <w:r>
          <w:instrText xml:space="preserve"> PAGEREF sec_6_10 \h </w:instrText>
        </w:r>
        <w:r>
          <w:fldChar w:fldCharType="separate"/>
        </w:r>
        <w:r>
          <w:rPr/>
          <w:t xml:space="preserve">#</w:t>
        </w:r>
        <w:r>
          <w:fldChar w:fldCharType="end"/>
        </w:r>
      </w:hyperlink>
    </w:p>
    <w:p>
      <w:pPr>
        <w:pStyle w:val="TOC2"/>
      </w:pPr>
      <w:hyperlink w:anchor="sec_6_11" w:history="1">
        <w:r>
          <w:rPr/>
          <w:t xml:space="preserve">6.11 Boundaries as Contribution</w:t>
        </w:r>
        <w:r>
          <w:tab/>
        </w:r>
        <w:r>
          <w:fldChar w:fldCharType="begin"/>
        </w:r>
        <w:r>
          <w:instrText xml:space="preserve"> PAGEREF sec_6_11 \h </w:instrText>
        </w:r>
        <w:r>
          <w:fldChar w:fldCharType="separate"/>
        </w:r>
        <w:r>
          <w:rPr/>
          <w:t xml:space="preserve">#</w:t>
        </w:r>
        <w:r>
          <w:fldChar w:fldCharType="end"/>
        </w:r>
      </w:hyperlink>
    </w:p>
    <w:p>
      <w:pPr>
        <w:pStyle w:val="TOC2"/>
      </w:pPr>
      <w:hyperlink w:anchor="sec_6_12" w:history="1">
        <w:r>
          <w:rPr/>
          <w:t xml:space="preserve">6.12 Summary</w:t>
        </w:r>
        <w:r>
          <w:tab/>
        </w:r>
        <w:r>
          <w:fldChar w:fldCharType="begin"/>
        </w:r>
        <w:r>
          <w:instrText xml:space="preserve"> PAGEREF sec_6_12 \h </w:instrText>
        </w:r>
        <w:r>
          <w:fldChar w:fldCharType="separate"/>
        </w:r>
        <w:r>
          <w:rPr/>
          <w:t xml:space="preserve">#</w:t>
        </w:r>
        <w:r>
          <w:fldChar w:fldCharType="end"/>
        </w:r>
      </w:hyperlink>
    </w:p>
    <w:p>
      <w:pPr>
        <w:pStyle w:val="TOC1"/>
      </w:pPr>
      <w:hyperlink w:anchor="ch_7" w:history="1">
        <w:r>
          <w:rPr/>
          <w:t xml:space="preserve">Chapter 7. Conclusion</w:t>
        </w:r>
        <w:r>
          <w:tab/>
        </w:r>
        <w:r>
          <w:fldChar w:fldCharType="begin"/>
        </w:r>
        <w:r>
          <w:instrText xml:space="preserve"> PAGEREF ch_7 \h </w:instrText>
        </w:r>
        <w:r>
          <w:fldChar w:fldCharType="separate"/>
        </w:r>
        <w:r>
          <w:rPr/>
          <w:t xml:space="preserve">#</w:t>
        </w:r>
        <w:r>
          <w:fldChar w:fldCharType="end"/>
        </w:r>
      </w:hyperlink>
    </w:p>
    <w:p>
      <w:pPr>
        <w:pStyle w:val="TOC2"/>
      </w:pPr>
      <w:hyperlink w:anchor="sec_7_1" w:history="1">
        <w:r>
          <w:rPr/>
          <w:t xml:space="preserve">7.1 The Problem and the Answer</w:t>
        </w:r>
        <w:r>
          <w:tab/>
        </w:r>
        <w:r>
          <w:fldChar w:fldCharType="begin"/>
        </w:r>
        <w:r>
          <w:instrText xml:space="preserve"> PAGEREF sec_7_1 \h </w:instrText>
        </w:r>
        <w:r>
          <w:fldChar w:fldCharType="separate"/>
        </w:r>
        <w:r>
          <w:rPr/>
          <w:t xml:space="preserve">#</w:t>
        </w:r>
        <w:r>
          <w:fldChar w:fldCharType="end"/>
        </w:r>
      </w:hyperlink>
    </w:p>
    <w:p>
      <w:pPr>
        <w:pStyle w:val="TOC2"/>
      </w:pPr>
      <w:hyperlink w:anchor="sec_7_2" w:history="1">
        <w:r>
          <w:rPr/>
          <w:t xml:space="preserve">7.2 Contributions</w:t>
        </w:r>
        <w:r>
          <w:tab/>
        </w:r>
        <w:r>
          <w:fldChar w:fldCharType="begin"/>
        </w:r>
        <w:r>
          <w:instrText xml:space="preserve"> PAGEREF sec_7_2 \h </w:instrText>
        </w:r>
        <w:r>
          <w:fldChar w:fldCharType="separate"/>
        </w:r>
        <w:r>
          <w:rPr/>
          <w:t xml:space="preserve">#</w:t>
        </w:r>
        <w:r>
          <w:fldChar w:fldCharType="end"/>
        </w:r>
      </w:hyperlink>
    </w:p>
    <w:p>
      <w:pPr>
        <w:pStyle w:val="TOC2"/>
      </w:pPr>
      <w:hyperlink w:anchor="sec_7_3" w:history="1">
        <w:r>
          <w:rPr/>
          <w:t xml:space="preserve">7.3 What the Thesis Does Not Establish</w:t>
        </w:r>
        <w:r>
          <w:tab/>
        </w:r>
        <w:r>
          <w:fldChar w:fldCharType="begin"/>
        </w:r>
        <w:r>
          <w:instrText xml:space="preserve"> PAGEREF sec_7_3 \h </w:instrText>
        </w:r>
        <w:r>
          <w:fldChar w:fldCharType="separate"/>
        </w:r>
        <w:r>
          <w:rPr/>
          <w:t xml:space="preserve">#</w:t>
        </w:r>
        <w:r>
          <w:fldChar w:fldCharType="end"/>
        </w:r>
      </w:hyperlink>
    </w:p>
    <w:p>
      <w:pPr>
        <w:pStyle w:val="TOC2"/>
      </w:pPr>
      <w:hyperlink w:anchor="sec_7_4" w:history="1">
        <w:r>
          <w:rPr/>
          <w:t xml:space="preserve">7.4 The Two Open Questions of Authority</w:t>
        </w:r>
        <w:r>
          <w:tab/>
        </w:r>
        <w:r>
          <w:fldChar w:fldCharType="begin"/>
        </w:r>
        <w:r>
          <w:instrText xml:space="preserve"> PAGEREF sec_7_4 \h </w:instrText>
        </w:r>
        <w:r>
          <w:fldChar w:fldCharType="separate"/>
        </w:r>
        <w:r>
          <w:rPr/>
          <w:t xml:space="preserve">#</w:t>
        </w:r>
        <w:r>
          <w:fldChar w:fldCharType="end"/>
        </w:r>
      </w:hyperlink>
    </w:p>
    <w:p>
      <w:pPr>
        <w:pStyle w:val="TOC2"/>
      </w:pPr>
      <w:hyperlink w:anchor="sec_7_5" w:history="1">
        <w:r>
          <w:rPr/>
          <w:t xml:space="preserve">7.5 Future Work</w:t>
        </w:r>
        <w:r>
          <w:tab/>
        </w:r>
        <w:r>
          <w:fldChar w:fldCharType="begin"/>
        </w:r>
        <w:r>
          <w:instrText xml:space="preserve"> PAGEREF sec_7_5 \h </w:instrText>
        </w:r>
        <w:r>
          <w:fldChar w:fldCharType="separate"/>
        </w:r>
        <w:r>
          <w:rPr/>
          <w:t xml:space="preserve">#</w:t>
        </w:r>
        <w:r>
          <w:fldChar w:fldCharType="end"/>
        </w:r>
      </w:hyperlink>
    </w:p>
    <w:p>
      <w:pPr>
        <w:pStyle w:val="TOC2"/>
      </w:pPr>
      <w:hyperlink w:anchor="sec_7_6" w:history="1">
        <w:r>
          <w:rPr/>
          <w:t xml:space="preserve">7.6 Closing</w:t>
        </w:r>
        <w:r>
          <w:tab/>
        </w:r>
        <w:r>
          <w:fldChar w:fldCharType="begin"/>
        </w:r>
        <w:r>
          <w:instrText xml:space="preserve"> PAGEREF sec_7_6 \h </w:instrText>
        </w:r>
        <w:r>
          <w:fldChar w:fldCharType="separate"/>
        </w:r>
        <w:r>
          <w:rPr/>
          <w:t xml:space="preserve">#</w:t>
        </w:r>
        <w:r>
          <w:fldChar w:fldCharType="end"/>
        </w:r>
      </w:hyperlink>
    </w:p>
    <w:p>
      <w:pPr>
        <w:pStyle w:val="TOC1"/>
      </w:pPr>
      <w:hyperlink w:anchor="h_References" w:history="1">
        <w:r>
          <w:rPr/>
          <w:t xml:space="preserve">References</w:t>
        </w:r>
        <w:r>
          <w:tab/>
        </w:r>
        <w:r>
          <w:fldChar w:fldCharType="begin"/>
        </w:r>
        <w:r>
          <w:instrText xml:space="preserve"> PAGEREF h_References \h </w:instrText>
        </w:r>
        <w:r>
          <w:fldChar w:fldCharType="separate"/>
        </w:r>
        <w:r>
          <w:rPr/>
          <w:t xml:space="preserve">#</w:t>
        </w:r>
        <w:r>
          <w:fldChar w:fldCharType="end"/>
        </w:r>
      </w:hyperlink>
    </w:p>
    <w:p>
      <w:pPr>
        <w:pStyle w:val="TOC1"/>
      </w:pPr>
      <w:hyperlink w:anchor="app_A" w:history="1">
        <w:r>
          <w:rPr/>
          <w:t xml:space="preserve">Appendix A. Code Artefacts and Reproduction Record</w:t>
        </w:r>
        <w:r>
          <w:tab/>
        </w:r>
        <w:r>
          <w:fldChar w:fldCharType="begin"/>
        </w:r>
        <w:r>
          <w:instrText xml:space="preserve"> PAGEREF app_A \h </w:instrText>
        </w:r>
        <w:r>
          <w:fldChar w:fldCharType="separate"/>
        </w:r>
        <w:r>
          <w:rPr/>
          <w:t xml:space="preserve">#</w:t>
        </w:r>
        <w:r>
          <w:fldChar w:fldCharType="end"/>
        </w:r>
      </w:hyperlink>
    </w:p>
    <w:p>
      <w:pPr>
        <w:pStyle w:val="TOC1"/>
      </w:pPr>
      <w:hyperlink w:anchor="app_B" w:history="1">
        <w:r>
          <w:rPr/>
          <w:t xml:space="preserve">Appendix B. Search Query Log</w:t>
        </w:r>
        <w:r>
          <w:tab/>
        </w:r>
        <w:r>
          <w:fldChar w:fldCharType="begin"/>
        </w:r>
        <w:r>
          <w:instrText xml:space="preserve"> PAGEREF app_B \h </w:instrText>
        </w:r>
        <w:r>
          <w:fldChar w:fldCharType="separate"/>
        </w:r>
        <w:r>
          <w:rPr/>
          <w:t xml:space="preserve">#</w:t>
        </w:r>
        <w:r>
          <w:fldChar w:fldCharType="end"/>
        </w:r>
      </w:hyperlink>
    </w:p>
    <w:p>
      <w:pPr>
        <w:pStyle w:val="TOC1"/>
      </w:pPr>
      <w:hyperlink w:anchor="app_C" w:history="1">
        <w:r>
          <w:rPr/>
          <w:t xml:space="preserve">Appendix C. Expert Evaluation Instrument</w:t>
        </w:r>
        <w:r>
          <w:tab/>
        </w:r>
        <w:r>
          <w:fldChar w:fldCharType="begin"/>
        </w:r>
        <w:r>
          <w:instrText xml:space="preserve"> PAGEREF app_C \h </w:instrText>
        </w:r>
        <w:r>
          <w:fldChar w:fldCharType="separate"/>
        </w:r>
        <w:r>
          <w:rPr/>
          <w:t xml:space="preserve">#</w:t>
        </w:r>
        <w:r>
          <w:fldChar w:fldCharType="end"/>
        </w:r>
      </w:hyperlink>
    </w:p>
    <w:p>
      <w:pPr>
        <w:pStyle w:val="Heading1"/>
      </w:pPr>
      <w:r>
        <w:rPr/>
        <w:t xml:space="preserve">List of Tables</w:t>
      </w:r>
    </w:p>
    <w:p>
      <w:pPr>
        <w:pStyle w:val="TOC2"/>
      </w:pPr>
      <w:hyperlink w:anchor="tbl_2_1" w:history="1">
        <w:r>
          <w:rPr/>
          <w:t xml:space="preserve">Table 2.1. Comparative Analysis of Cryptographic Compliance Approaches to Health Data Audit</w:t>
        </w:r>
        <w:r>
          <w:tab/>
        </w:r>
        <w:r>
          <w:fldChar w:fldCharType="begin"/>
        </w:r>
        <w:r>
          <w:instrText xml:space="preserve"> PAGEREF tbl_2_1 \h </w:instrText>
        </w:r>
        <w:r>
          <w:fldChar w:fldCharType="separate"/>
        </w:r>
        <w:r>
          <w:rPr/>
          <w:t xml:space="preserve">#</w:t>
        </w:r>
        <w:r>
          <w:fldChar w:fldCharType="end"/>
        </w:r>
      </w:hyperlink>
    </w:p>
    <w:p>
      <w:pPr>
        <w:pStyle w:val="TOC2"/>
      </w:pPr>
      <w:hyperlink w:anchor="tbl_4_1" w:history="1">
        <w:r>
          <w:rPr/>
          <w:t xml:space="preserve">Table 4.1. Requirements traced to the mechanism</w:t>
        </w:r>
        <w:r>
          <w:tab/>
        </w:r>
        <w:r>
          <w:fldChar w:fldCharType="begin"/>
        </w:r>
        <w:r>
          <w:instrText xml:space="preserve"> PAGEREF tbl_4_1 \h </w:instrText>
        </w:r>
        <w:r>
          <w:fldChar w:fldCharType="separate"/>
        </w:r>
        <w:r>
          <w:rPr/>
          <w:t xml:space="preserve">#</w:t>
        </w:r>
        <w:r>
          <w:fldChar w:fldCharType="end"/>
        </w:r>
      </w:hyperlink>
    </w:p>
    <w:p>
      <w:pPr>
        <w:pStyle w:val="TOC2"/>
      </w:pPr>
      <w:hyperlink w:anchor="tbl_5_1" w:history="1">
        <w:r>
          <w:rPr/>
          <w:t xml:space="preserve">Table 5.1. The artefact as published</w:t>
        </w:r>
        <w:r>
          <w:tab/>
        </w:r>
        <w:r>
          <w:fldChar w:fldCharType="begin"/>
        </w:r>
        <w:r>
          <w:instrText xml:space="preserve"> PAGEREF tbl_5_1 \h </w:instrText>
        </w:r>
        <w:r>
          <w:fldChar w:fldCharType="separate"/>
        </w:r>
        <w:r>
          <w:rPr/>
          <w:t xml:space="preserve">#</w:t>
        </w:r>
        <w:r>
          <w:fldChar w:fldCharType="end"/>
        </w:r>
      </w:hyperlink>
    </w:p>
    <w:p>
      <w:pPr>
        <w:pStyle w:val="TOC2"/>
      </w:pPr>
      <w:hyperlink w:anchor="tbl_5_2" w:history="1">
        <w:r>
          <w:rPr/>
          <w:t xml:space="preserve">Table 5.2. Generation parameters (complete)</w:t>
        </w:r>
        <w:r>
          <w:tab/>
        </w:r>
        <w:r>
          <w:fldChar w:fldCharType="begin"/>
        </w:r>
        <w:r>
          <w:instrText xml:space="preserve"> PAGEREF tbl_5_2 \h </w:instrText>
        </w:r>
        <w:r>
          <w:fldChar w:fldCharType="separate"/>
        </w:r>
        <w:r>
          <w:rPr/>
          <w:t xml:space="preserve">#</w:t>
        </w:r>
        <w:r>
          <w:fldChar w:fldCharType="end"/>
        </w:r>
      </w:hyperlink>
    </w:p>
    <w:p>
      <w:pPr>
        <w:pStyle w:val="TOC2"/>
      </w:pPr>
      <w:hyperlink w:anchor="tbl_5_3" w:history="1">
        <w:r>
          <w:rPr/>
          <w:t xml:space="preserve">Table 5.3. Violations under Semantics I (seed 20260915, n = 200)</w:t>
        </w:r>
        <w:r>
          <w:tab/>
        </w:r>
        <w:r>
          <w:fldChar w:fldCharType="begin"/>
        </w:r>
        <w:r>
          <w:instrText xml:space="preserve"> PAGEREF tbl_5_3 \h </w:instrText>
        </w:r>
        <w:r>
          <w:fldChar w:fldCharType="separate"/>
        </w:r>
        <w:r>
          <w:rPr/>
          <w:t xml:space="preserve">#</w:t>
        </w:r>
        <w:r>
          <w:fldChar w:fldCharType="end"/>
        </w:r>
      </w:hyperlink>
    </w:p>
    <w:p>
      <w:pPr>
        <w:pStyle w:val="TOC2"/>
      </w:pPr>
      <w:hyperlink w:anchor="tbl_5_4" w:history="1">
        <w:r>
          <w:rPr/>
          <w:t xml:space="preserve">Table 5.4. Exhaustive search over  assignments (horizon = 14 months)</w:t>
        </w:r>
        <w:r>
          <w:tab/>
        </w:r>
        <w:r>
          <w:fldChar w:fldCharType="begin"/>
        </w:r>
        <w:r>
          <w:instrText xml:space="preserve"> PAGEREF tbl_5_4 \h </w:instrText>
        </w:r>
        <w:r>
          <w:fldChar w:fldCharType="separate"/>
        </w:r>
        <w:r>
          <w:rPr/>
          <w:t xml:space="preserve">#</w:t>
        </w:r>
        <w:r>
          <w:fldChar w:fldCharType="end"/>
        </w:r>
      </w:hyperlink>
    </w:p>
    <w:p>
      <w:pPr>
        <w:pStyle w:val="TOC2"/>
      </w:pPr>
      <w:hyperlink w:anchor="tbl_5_5" w:history="1">
        <w:r>
          <w:rPr/>
          <w:t xml:space="preserve">Table 5.5. Results at  and  (seed 20260915, n = 200)</w:t>
        </w:r>
        <w:r>
          <w:tab/>
        </w:r>
        <w:r>
          <w:fldChar w:fldCharType="begin"/>
        </w:r>
        <w:r>
          <w:instrText xml:space="preserve"> PAGEREF tbl_5_5 \h </w:instrText>
        </w:r>
        <w:r>
          <w:fldChar w:fldCharType="separate"/>
        </w:r>
        <w:r>
          <w:rPr/>
          <w:t xml:space="preserve">#</w:t>
        </w:r>
        <w:r>
          <w:fldChar w:fldCharType="end"/>
        </w:r>
      </w:hyperlink>
    </w:p>
    <w:p>
      <w:pPr>
        <w:pStyle w:val="TOC2"/>
      </w:pPr>
      <w:hyperlink w:anchor="tbl_5_6" w:history="1">
        <w:r>
          <w:rPr/>
          <w:t xml:space="preserve">Table 5.6. Results under Semantics II (same 200 records, same seed)</w:t>
        </w:r>
        <w:r>
          <w:tab/>
        </w:r>
        <w:r>
          <w:fldChar w:fldCharType="begin"/>
        </w:r>
        <w:r>
          <w:instrText xml:space="preserve"> PAGEREF tbl_5_6 \h </w:instrText>
        </w:r>
        <w:r>
          <w:fldChar w:fldCharType="separate"/>
        </w:r>
        <w:r>
          <w:rPr/>
          <w:t xml:space="preserve">#</w:t>
        </w:r>
        <w:r>
          <w:fldChar w:fldCharType="end"/>
        </w:r>
      </w:hyperlink>
    </w:p>
    <w:p>
      <w:pPr>
        <w:pStyle w:val="TOC2"/>
      </w:pPr>
      <w:hyperlink w:anchor="tbl_5_7" w:history="1">
        <w:r>
          <w:rPr/>
          <w:t xml:space="preserve">Table 5.7. Constructed against Synthea-generated payloads (same seed, same timings)</w:t>
        </w:r>
        <w:r>
          <w:tab/>
        </w:r>
        <w:r>
          <w:fldChar w:fldCharType="begin"/>
        </w:r>
        <w:r>
          <w:instrText xml:space="preserve"> PAGEREF tbl_5_7 \h </w:instrText>
        </w:r>
        <w:r>
          <w:fldChar w:fldCharType="separate"/>
        </w:r>
        <w:r>
          <w:rPr/>
          <w:t xml:space="preserve">#</w:t>
        </w:r>
        <w:r>
          <w:fldChar w:fldCharType="end"/>
        </w:r>
      </w:hyperlink>
    </w:p>
    <w:p>
      <w:pPr>
        <w:pStyle w:val="Heading1"/>
      </w:pPr>
      <w:bookmarkStart w:id="1015" w:name="ch_1"/>
      <w:r>
        <w:t xml:space="preserve">Chapter 1. Introduction</w:t>
      </w:r>
      <w:bookmarkEnd w:id="1015"/>
    </w:p>
    <w:bookmarkStart w:id="25" w:name="background-and-context"/>
    <w:p>
      <w:pPr>
        <w:pStyle w:val="Heading2"/>
      </w:pPr>
      <w:bookmarkStart w:id="1016" w:name="sec_1_1"/>
      <w:r>
        <w:t xml:space="preserve">1.1 Background and Context</w:t>
      </w:r>
      <w:bookmarkEnd w:id="1016"/>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of every Secure Processing Environment</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5"/>
    <w:bookmarkStart w:id="26" w:name="problem-statement"/>
    <w:p>
      <w:pPr>
        <w:pStyle w:val="Heading2"/>
      </w:pPr>
      <w:bookmarkStart w:id="1017" w:name="sec_1_2"/>
      <w:r>
        <w:t xml:space="preserve">1.2 Problem Statement</w:t>
      </w:r>
      <w:bookmarkEnd w:id="1017"/>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w:t>
      </w:r>
      <w:hyperlink w:anchor="sec_1_1" w:history="1">
        <w:r>
          <w:rPr>
            <w:rStyle w:val="Hyperlink"/>
          </w:rPr>
          <w:t xml:space="preserve">Section 1.1</w:t>
        </w:r>
      </w:hyperlink>
      <w:r>
        <w:t xml:space="preserve">),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w:t>
      </w:r>
      <w:hyperlink w:anchor="sec_2_3" w:history="1">
        <w:r>
          <w:rPr>
            <w:rStyle w:val="Hyperlink"/>
          </w:rPr>
          <w:t xml:space="preserve">Sections 2.3</w:t>
        </w:r>
      </w:hyperlink>
      <w:r>
        <w:t xml:space="preserve">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the length of the floor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26"/>
    <w:bookmarkStart w:id="27" w:name="research-objectives-and-questions"/>
    <w:p>
      <w:pPr>
        <w:pStyle w:val="Heading2"/>
      </w:pPr>
      <w:bookmarkStart w:id="1018" w:name="sec_1_3"/>
      <w:r>
        <w:t xml:space="preserve">1.3 Research Objectives and Questions</w:t>
      </w:r>
      <w:bookmarkEnd w:id="1018"/>
    </w:p>
    <w:p>
      <w:pPr>
        <w:pStyle w:val="FirstParagraph"/>
      </w:pPr>
      <w:r>
        <w:t xml:space="preserve">The objective of this thesis is to formally characterise, and then resolve by design, the conflict between the three retention regimes identified in </w:t>
      </w:r>
      <w:hyperlink w:anchor="sec_1_2" w:history="1">
        <w:r>
          <w:rPr>
            <w:rStyle w:val="Hyperlink"/>
          </w:rPr>
          <w:t xml:space="preserve">Section 1.2</w:t>
        </w:r>
      </w:hyperlink>
      <w:r>
        <w:t xml:space="preserve">.</w:t>
      </w:r>
    </w:p>
    <w:p>
      <w:pPr>
        <w:pStyle w:val="BodyText"/>
      </w:pPr>
      <w:r>
        <w:t xml:space="preserve">The analytical core of the thesis is the Tri-Lateral Retention Feasibility Model (TRF Model), a constraint-satisfaction formulation developed in </w:t>
      </w:r>
      <w:hyperlink w:anchor="ch_4" w:history="1">
        <w:r>
          <w:rPr>
            <w:rStyle w:val="Hyperlink"/>
          </w:rPr>
          <w:t xml:space="preserve">Chapter 4</w:t>
        </w:r>
      </w:hyperlink>
      <w:r>
        <w:t xml:space="preserve"> within the established tradition of formal legal-compliance verification (Feng, Marsso, Sabetzadeh, &amp; Chechik, 2023). The model decomposes each cross-border audit record into an event-metadata component, itself divided into the accessor’s fields and the link to the patient,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w:t>
      </w:r>
      <w:hyperlink w:anchor="ch_2" w:history="1">
        <w:r>
          <w:rPr>
            <w:rStyle w:val="Hyperlink"/>
          </w:rPr>
          <w:t xml:space="preserve">Chapter 2</w:t>
        </w:r>
      </w:hyperlink>
      <w:r>
        <w:t xml:space="preserve">’s literature analysis and the formal characterisation in Chapter 4. SQ2 is addressed through the TRF Model’s feasibility propositions, the mechanism specification in </w:t>
      </w:r>
      <w:hyperlink w:anchor="ch_4" w:history="1">
        <w:r>
          <w:rPr>
            <w:rStyle w:val="Hyperlink"/>
          </w:rPr>
          <w:t xml:space="preserve">Chapter 4</w:t>
        </w:r>
      </w:hyperlink>
      <w:r>
        <w:t xml:space="preserve">, and the executable demonstration in Chapter 5. SQ3 is addressed through </w:t>
      </w:r>
      <w:hyperlink w:anchor="ch_4" w:history="1">
        <w:r>
          <w:rPr>
            <w:rStyle w:val="Hyperlink"/>
          </w:rPr>
          <w:t xml:space="preserve">Chapter 4</w:t>
        </w:r>
      </w:hyperlink>
      <w:r>
        <w:t xml:space="preserve">’s integration analysis and </w:t>
      </w:r>
      <w:hyperlink w:anchor="ch_6" w:history="1">
        <w:r>
          <w:rPr>
            <w:rStyle w:val="Hyperlink"/>
          </w:rPr>
          <w:t xml:space="preserve">Chapter 6</w:t>
        </w:r>
      </w:hyperlink>
      <w:r>
        <w:t xml:space="preserve">’s discussion of implications for Norwegian implementing actors.</w:t>
      </w:r>
    </w:p>
    <w:bookmarkEnd w:id="27"/>
    <w:bookmarkStart w:id="28" w:name="significance-and-relevance"/>
    <w:p>
      <w:pPr>
        <w:pStyle w:val="Heading2"/>
      </w:pPr>
      <w:bookmarkStart w:id="1019" w:name="sec_1_4"/>
      <w:r>
        <w:t xml:space="preserve">1.4 Significance and Relevance</w:t>
      </w:r>
      <w:bookmarkEnd w:id="1019"/>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w:t>
      </w:r>
      <w:hyperlink w:anchor="sec_1_1" w:history="1">
        <w:r>
          <w:rPr>
            <w:rStyle w:val="Hyperlink"/>
          </w:rPr>
          <w:t xml:space="preserve">Section 1.1</w:t>
        </w:r>
      </w:hyperlink>
      <w:r>
        <w:t xml:space="preserve">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and that separation of the record from the thing recorded is the move </w:t>
      </w:r>
      <w:hyperlink w:anchor="ch_4" w:history="1">
        <w:r>
          <w:rPr>
            <w:rStyle w:val="Hyperlink"/>
          </w:rPr>
          <w:t xml:space="preserve">Chapter 4</w:t>
        </w:r>
      </w:hyperlink>
      <w:r>
        <w:t xml:space="preserve"> makes for the audit trail.</w:t>
      </w:r>
    </w:p>
    <w:bookmarkEnd w:id="28"/>
    <w:bookmarkStart w:id="29" w:name="scope-and-out-of-scope"/>
    <w:p>
      <w:pPr>
        <w:pStyle w:val="Heading2"/>
      </w:pPr>
      <w:bookmarkStart w:id="1020" w:name="sec_1_5"/>
      <w:r>
        <w:t xml:space="preserve">1.5 Scope and Out-of-Scope</w:t>
      </w:r>
      <w:bookmarkEnd w:id="1020"/>
    </w:p>
    <w:p>
      <w:pPr>
        <w:pStyle w:val="FirstParagraph"/>
      </w:pPr>
      <w:r>
        <w:t xml:space="preserve">This thesis is bounded by a deliberate and explicit scope, set by what can be defended within the time and resources of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29"/>
    <w:bookmarkStart w:id="30" w:name="methodological-approach"/>
    <w:p>
      <w:pPr>
        <w:pStyle w:val="Heading2"/>
      </w:pPr>
      <w:bookmarkStart w:id="1021" w:name="sec_1_6"/>
      <w:r>
        <w:t xml:space="preserve">1.6 Methodological Approach</w:t>
      </w:r>
      <w:bookmarkEnd w:id="1021"/>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w:t>
      </w:r>
      <w:hyperlink w:anchor="ch_4" w:history="1">
        <w:r>
          <w:rPr>
            <w:rStyle w:val="Hyperlink"/>
          </w:rPr>
          <w:t xml:space="preserve">Chapter 4</w:t>
        </w:r>
      </w:hyperlink>
      <w:r>
        <w:t xml:space="preserve">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0"/>
    <w:bookmarkStart w:id="31" w:name="thesis-structure"/>
    <w:p>
      <w:pPr>
        <w:pStyle w:val="Heading2"/>
      </w:pPr>
      <w:bookmarkStart w:id="1022" w:name="sec_1_7"/>
      <w:r>
        <w:t xml:space="preserve">1.7 Thesis Structure</w:t>
      </w:r>
      <w:bookmarkEnd w:id="1022"/>
    </w:p>
    <w:p>
      <w:pPr>
        <w:pStyle w:val="FirstParagraph"/>
      </w:pPr>
      <w:r>
        <w:t xml:space="preserve">The thesis is organised in seven chapters and appendices.</w:t>
      </w:r>
    </w:p>
    <w:p>
      <w:pPr>
        <w:pStyle w:val="BodyText"/>
      </w:pPr>
      <w:hyperlink w:anchor="ch_1" w:history="1">
        <w:r>
          <w:rPr>
            <w:rStyle w:val="Hyperlink"/>
            <w:iCs/>
            <w:i/>
          </w:rPr>
          <w:t xml:space="preserve">Chapter 1</w:t>
        </w:r>
      </w:hyperlink>
      <w:r>
        <w:t xml:space="preserve"> </w:t>
      </w:r>
      <w:r>
        <w:t xml:space="preserve">introduces the regulatory background, the problem, the research objectives, the significance of the study, the scope and explicit out-of-scope boundaries, and the methodological approach.</w:t>
      </w:r>
    </w:p>
    <w:p>
      <w:pPr>
        <w:pStyle w:val="BodyText"/>
      </w:pPr>
      <w:hyperlink w:anchor="ch_2" w:history="1">
        <w:r>
          <w:rPr>
            <w:rStyle w:val="Hyperlink"/>
            <w:iCs/>
            <w:i/>
          </w:rPr>
          <w:t xml:space="preserve">Chapter 2</w:t>
        </w:r>
      </w:hyperlink>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hyperlink w:anchor="ch_3" w:history="1">
        <w:r>
          <w:rPr>
            <w:rStyle w:val="Hyperlink"/>
            <w:iCs/>
            <w:i/>
          </w:rPr>
          <w:t xml:space="preserve">Chapter 3</w:t>
        </w:r>
      </w:hyperlink>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hyperlink w:anchor="ch_4" w:history="1">
        <w:r>
          <w:rPr>
            <w:rStyle w:val="Hyperlink"/>
            <w:iCs/>
            <w:i/>
          </w:rPr>
          <w:t xml:space="preserve">Chapter 4</w:t>
        </w:r>
      </w:hyperlink>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w:t>
      </w:r>
      <w:hyperlink w:anchor="tbl_4_1" w:history="1">
        <w:r>
          <w:rPr>
            <w:rStyle w:val="Hyperlink"/>
          </w:rPr>
          <w:t xml:space="preserve">Table 4.1</w:t>
        </w:r>
      </w:hyperlink>
      <w:r>
        <w:t xml:space="preserve">).</w:t>
      </w:r>
    </w:p>
    <w:p>
      <w:pPr>
        <w:pStyle w:val="BodyText"/>
      </w:pPr>
      <w:hyperlink w:anchor="ch_5" w:history="1">
        <w:r>
          <w:rPr>
            <w:rStyle w:val="Hyperlink"/>
            <w:iCs/>
            <w:i/>
          </w:rPr>
          <w:t xml:space="preserve">Chapter 5</w:t>
        </w:r>
      </w:hyperlink>
      <w:r>
        <w:t xml:space="preserve"> </w:t>
      </w:r>
      <w:r>
        <w:t xml:space="preserve">presents the sandbox demonstration: the executable feasibility check, the independent exhaustive cross-check, the audit-log integrity and tamper tests, and the optional run with real envelope encryption.</w:t>
      </w:r>
      <w:r>
        <w:t xml:space="preserve"> </w:t>
      </w:r>
      <w:hyperlink w:anchor="ch_6" w:history="1">
        <w:r>
          <w:rPr>
            <w:rStyle w:val="Hyperlink"/>
            <w:iCs/>
            <w:i/>
          </w:rPr>
          <w:t xml:space="preserve">Chapter 6</w:t>
        </w:r>
      </w:hyperlink>
      <w:r>
        <w:t xml:space="preserve"> </w:t>
      </w:r>
      <w:r>
        <w:t xml:space="preserve">discusses findings and their implications for practice, theory, and policy, engages the principal counter-positions, and tests the model on a statute outside health.</w:t>
      </w:r>
      <w:r>
        <w:t xml:space="preserve"> </w:t>
      </w:r>
      <w:hyperlink w:anchor="ch_7" w:history="1">
        <w:r>
          <w:rPr>
            <w:rStyle w:val="Hyperlink"/>
            <w:iCs/>
            <w:i/>
          </w:rPr>
          <w:t xml:space="preserve">Chapter 7</w:t>
        </w:r>
      </w:hyperlink>
      <w:r>
        <w:t xml:space="preserve"> </w:t>
      </w:r>
      <w:r>
        <w:t xml:space="preserve">concludes, summarises contributions, revisits limitations, and outlines future work.</w:t>
      </w:r>
    </w:p>
    <w:bookmarkEnd w:id="31"/>
    <w:bookmarkEnd w:id="32"/>
    <w:bookmarkStart w:id="50" w:name="X61356a8dd943f7272c3310c94cfa9c8ca767dda"/>
    <w:p>
      <w:pPr>
        <w:pStyle w:val="Heading1"/>
      </w:pPr>
      <w:bookmarkStart w:id="1023" w:name="ch_2"/>
      <w:r>
        <w:t xml:space="preserve">Chapter 2. Literature Review and Theoretical Foundation</w:t>
      </w:r>
      <w:bookmarkEnd w:id="1023"/>
    </w:p>
    <w:bookmarkStart w:id="40" w:name="review-protocol"/>
    <w:p>
      <w:pPr>
        <w:pStyle w:val="Heading2"/>
      </w:pPr>
      <w:bookmarkStart w:id="1024" w:name="sec_2_1"/>
      <w:r>
        <w:t xml:space="preserve">2.1 Review Protocol</w:t>
      </w:r>
      <w:bookmarkEnd w:id="1024"/>
    </w:p>
    <w:bookmarkStart w:id="33"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w:t>
      </w:r>
      <w:hyperlink w:anchor="sec_2_1" w:history="1">
        <w:r>
          <w:rPr>
            <w:rStyle w:val="Hyperlink"/>
          </w:rPr>
          <w:t xml:space="preserve">Section 2.1</w:t>
        </w:r>
      </w:hyperlink>
      <w:r>
        <w:t xml:space="preserve">.6 provides that protocol and states plainly that it was not the instrument used here.</w:t>
      </w:r>
    </w:p>
    <w:bookmarkEnd w:id="33"/>
    <w:bookmarkStart w:id="34"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4"/>
    <w:bookmarkStart w:id="35"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5"/>
    <w:bookmarkStart w:id="36" w:name="search-rounds"/>
    <w:p>
      <w:pPr>
        <w:pStyle w:val="Heading3"/>
      </w:pPr>
      <w:r>
        <w:t xml:space="preserve">2.1.4 Search rounds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Round</w:t>
            </w:r>
          </w:p>
        </w:tc>
        <w:tc>
          <w:tcPr>
            <w:tcBorders>
              <w:bottom w:val="single" w:sz="8" w:space="0" w:color="333333"/>
            </w:tcBorders>
            <w:shd w:val="clear" w:color="auto" w:fill="E8EDF4"/>
          </w:tcPr>
          <w:p>
            <w:pPr>
              <w:pStyle w:val="Compact"/>
              <w:jc w:val="left"/>
            </w:pPr>
            <w:r>
              <w:rPr>
                <w:b/>
                <w:sz w:val="20"/>
                <w:szCs w:val="20"/>
              </w:rPr>
              <w:t xml:space="preserve">Date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Distinct queries</w:t>
            </w:r>
          </w:p>
        </w:tc>
      </w:tr>
      <w:tr>
        <w:trPr>
          <w:cantSplit/>
        </w:trPr>
        <w:tc>
          <w:tcPr/>
          <w:p>
            <w:pPr>
              <w:pStyle w:val="Compact"/>
              <w:jc w:val="left"/>
            </w:pPr>
            <w:r>
              <w:rPr>
                <w:sz w:val="20"/>
                <w:szCs w:val="20"/>
              </w:rPr>
              <w:t xml:space="preserve">0</w:t>
            </w:r>
          </w:p>
        </w:tc>
        <w:tc>
          <w:tcPr/>
          <w:p>
            <w:pPr>
              <w:pStyle w:val="Compact"/>
              <w:jc w:val="left"/>
            </w:pPr>
            <w:r>
              <w:rPr>
                <w:sz w:val="20"/>
                <w:szCs w:val="20"/>
              </w:rPr>
              <w:t xml:space="preserve">before 24 May 2026</w:t>
            </w:r>
          </w:p>
        </w:tc>
        <w:tc>
          <w:tcPr/>
          <w:p>
            <w:pPr>
              <w:pStyle w:val="Compact"/>
              <w:jc w:val="left"/>
            </w:pPr>
            <w:r>
              <w:rPr>
                <w:sz w:val="20"/>
                <w:szCs w:val="20"/>
              </w:rPr>
              <w:t xml:space="preserve">Exploratory reading and drafting, documented at artifact level only</w:t>
            </w:r>
          </w:p>
        </w:tc>
        <w:tc>
          <w:tcPr/>
          <w:p>
            <w:pPr>
              <w:pStyle w:val="Compact"/>
              <w:jc w:val="left"/>
            </w:pPr>
            <w:r>
              <w:rPr>
                <w:sz w:val="20"/>
                <w:szCs w:val="20"/>
              </w:rPr>
              <w:t xml:space="preserve">not recoverable</w:t>
            </w:r>
          </w:p>
        </w:tc>
      </w:tr>
      <w:tr>
        <w:trPr>
          <w:cantSplit/>
        </w:trPr>
        <w:tc>
          <w:tcPr/>
          <w:p>
            <w:pPr>
              <w:pStyle w:val="Compact"/>
              <w:jc w:val="left"/>
            </w:pPr>
            <w:r>
              <w:rPr>
                <w:sz w:val="20"/>
                <w:szCs w:val="20"/>
              </w:rPr>
              <w:t xml:space="preserve">1</w:t>
            </w:r>
          </w:p>
        </w:tc>
        <w:tc>
          <w:tcPr/>
          <w:p>
            <w:pPr>
              <w:pStyle w:val="Compact"/>
              <w:jc w:val="left"/>
            </w:pPr>
            <w:r>
              <w:rPr>
                <w:sz w:val="20"/>
                <w:szCs w:val="20"/>
              </w:rPr>
              <w:t xml:space="preserve">25 May 2026</w:t>
            </w:r>
          </w:p>
        </w:tc>
        <w:tc>
          <w:tcPr/>
          <w:p>
            <w:pPr>
              <w:pStyle w:val="Compact"/>
              <w:jc w:val="left"/>
            </w:pPr>
            <w:r>
              <w:rPr>
                <w:sz w:val="20"/>
                <w:szCs w:val="20"/>
              </w:rPr>
              <w:t xml:space="preserve">Landscape, infrastructure, regulatory baseline</w:t>
            </w:r>
          </w:p>
        </w:tc>
        <w:tc>
          <w:tcPr/>
          <w:p>
            <w:pPr>
              <w:pStyle w:val="Compact"/>
              <w:jc w:val="left"/>
            </w:pPr>
            <w:r>
              <w:rPr>
                <w:sz w:val="20"/>
                <w:szCs w:val="20"/>
              </w:rPr>
              <w:t xml:space="preserve">16</w:t>
            </w:r>
          </w:p>
        </w:tc>
      </w:tr>
      <w:tr>
        <w:trPr>
          <w:cantSplit/>
        </w:trPr>
        <w:tc>
          <w:tcPr/>
          <w:p>
            <w:pPr>
              <w:pStyle w:val="Compact"/>
              <w:jc w:val="left"/>
            </w:pPr>
            <w:r>
              <w:rPr>
                <w:sz w:val="20"/>
                <w:szCs w:val="20"/>
              </w:rPr>
              <w:t xml:space="preserve">2</w:t>
            </w:r>
          </w:p>
        </w:tc>
        <w:tc>
          <w:tcPr/>
          <w:p>
            <w:pPr>
              <w:pStyle w:val="Compact"/>
              <w:jc w:val="left"/>
            </w:pPr>
            <w:r>
              <w:rPr>
                <w:sz w:val="20"/>
                <w:szCs w:val="20"/>
              </w:rPr>
              <w:t xml:space="preserve">29 May 2026</w:t>
            </w:r>
          </w:p>
        </w:tc>
        <w:tc>
          <w:tcPr/>
          <w:p>
            <w:pPr>
              <w:pStyle w:val="Compact"/>
              <w:jc w:val="left"/>
            </w:pPr>
            <w:r>
              <w:rPr>
                <w:sz w:val="20"/>
                <w:szCs w:val="20"/>
              </w:rPr>
              <w:t xml:space="preserve">Verification and correction of the initial draft’s claims</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3</w:t>
            </w:r>
          </w:p>
        </w:tc>
        <w:tc>
          <w:tcPr/>
          <w:p>
            <w:pPr>
              <w:pStyle w:val="Compact"/>
              <w:jc w:val="left"/>
            </w:pPr>
            <w:r>
              <w:rPr>
                <w:sz w:val="20"/>
                <w:szCs w:val="20"/>
              </w:rPr>
              <w:t xml:space="preserve">15 September 2026</w:t>
            </w:r>
          </w:p>
        </w:tc>
        <w:tc>
          <w:tcPr/>
          <w:p>
            <w:pPr>
              <w:pStyle w:val="Compact"/>
              <w:jc w:val="left"/>
            </w:pPr>
            <w:r>
              <w:rPr>
                <w:sz w:val="20"/>
                <w:szCs w:val="20"/>
              </w:rPr>
              <w:t xml:space="preserve">Resumption; novelty audit and currency check</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4</w:t>
            </w:r>
          </w:p>
        </w:tc>
        <w:tc>
          <w:tcPr/>
          <w:p>
            <w:pPr>
              <w:pStyle w:val="Compact"/>
              <w:jc w:val="left"/>
            </w:pPr>
            <w:r>
              <w:rPr>
                <w:sz w:val="20"/>
                <w:szCs w:val="20"/>
              </w:rPr>
              <w:t xml:space="preserve">16 September 2026</w:t>
            </w:r>
          </w:p>
        </w:tc>
        <w:tc>
          <w:tcPr/>
          <w:p>
            <w:pPr>
              <w:pStyle w:val="Compact"/>
              <w:jc w:val="left"/>
            </w:pPr>
            <w:r>
              <w:rPr>
                <w:sz w:val="20"/>
                <w:szCs w:val="20"/>
              </w:rPr>
              <w:t xml:space="preserve">Adversarial novelty testing, prior art, final currency</w:t>
            </w:r>
          </w:p>
        </w:tc>
        <w:tc>
          <w:tcPr/>
          <w:p>
            <w:pPr>
              <w:pStyle w:val="Compact"/>
              <w:jc w:val="left"/>
            </w:pPr>
            <w:r>
              <w:rPr>
                <w:sz w:val="20"/>
                <w:szCs w:val="20"/>
              </w:rPr>
              <w:t xml:space="preserve">23</w:t>
            </w:r>
          </w:p>
        </w:tc>
      </w:tr>
      <w:tr>
        <w:trPr>
          <w:cantSplit/>
        </w:trPr>
        <w:tc>
          <w:tcPr/>
          <w:p>
            <w:pPr>
              <w:pStyle w:val="Compact"/>
              <w:jc w:val="left"/>
            </w:pPr>
            <w:r>
              <w:rPr>
                <w:sz w:val="20"/>
                <w:szCs w:val="20"/>
              </w:rPr>
              <w:t xml:space="preserve">5</w:t>
            </w:r>
          </w:p>
        </w:tc>
        <w:tc>
          <w:tcPr/>
          <w:p>
            <w:pPr>
              <w:pStyle w:val="Compact"/>
              <w:jc w:val="left"/>
            </w:pPr>
            <w:r>
              <w:rPr>
                <w:sz w:val="20"/>
                <w:szCs w:val="20"/>
              </w:rPr>
              <w:t xml:space="preserve">28 September 2026</w:t>
            </w:r>
          </w:p>
        </w:tc>
        <w:tc>
          <w:tcPr/>
          <w:p>
            <w:pPr>
              <w:pStyle w:val="Compact"/>
              <w:jc w:val="left"/>
            </w:pPr>
            <w:r>
              <w:rPr>
                <w:sz w:val="20"/>
                <w:szCs w:val="20"/>
              </w:rPr>
              <w:t xml:space="preserve">Locator verification and source-standing audit; no discovery queries</w:t>
            </w:r>
          </w:p>
        </w:tc>
        <w:tc>
          <w:tcPr/>
          <w:p>
            <w:pPr>
              <w:pStyle w:val="Compact"/>
              <w:jc w:val="left"/>
            </w:pPr>
            <w:r>
              <w:rPr>
                <w:sz w:val="20"/>
                <w:szCs w:val="20"/>
              </w:rPr>
              <w:t xml:space="preserve">18 locator checks</w:t>
            </w:r>
          </w:p>
        </w:tc>
      </w:tr>
      <w:tr>
        <w:trPr>
          <w:cantSplit/>
        </w:trPr>
        <w:tc>
          <w:tcPr/>
          <w:p>
            <w:pPr>
              <w:pStyle w:val="Compact"/>
            </w:pPr>
          </w:p>
        </w:tc>
        <w:tc>
          <w:tcPr/>
          <w:p>
            <w:pPr>
              <w:pStyle w:val="Compact"/>
            </w:pPr>
          </w:p>
        </w:tc>
        <w:tc>
          <w:tcPr/>
          <w:p>
            <w:pPr>
              <w:pStyle w:val="Compact"/>
              <w:jc w:val="left"/>
            </w:pPr>
            <w:r>
              <w:rPr>
                <w:bCs/>
                <w:b/>
                <w:sz w:val="20"/>
                <w:szCs w:val="20"/>
              </w:rPr>
              <w:t xml:space="preserve">Total discovery and verification queries, rounds 1–4</w:t>
            </w:r>
          </w:p>
        </w:tc>
        <w:tc>
          <w:tcPr/>
          <w:p>
            <w:pPr>
              <w:pStyle w:val="Compact"/>
              <w:jc w:val="left"/>
            </w:pPr>
            <w:r>
              <w:rPr>
                <w:bCs/>
                <w:b/>
                <w:sz w:val="20"/>
                <w:szCs w:val="20"/>
              </w:rPr>
              <w:t xml:space="preserve">59</w:t>
            </w:r>
          </w:p>
        </w:tc>
      </w:tr>
    </w:tbl>
    <w:p>
      <w:pPr>
        <w:pStyle w:val="BodyText"/>
        <w:spacing w:before="240" w:after="160" w:line="360" w:lineRule="auto"/>
      </w:pPr>
      <w:r>
        <w:t xml:space="preserve">Round 0 is the exploratory reading that preceded the documented rounds. Its queries were not recorded, and it contributes nothing to the absence claim of </w:t>
      </w:r>
      <w:hyperlink w:anchor="sec_2_9" w:history="1">
        <w:r>
          <w:rPr>
            <w:rStyle w:val="Hyperlink"/>
          </w:rPr>
          <w:t xml:space="preserve">Section 2.9</w:t>
        </w:r>
      </w:hyperlink>
      <w:r>
        <w:t xml:space="preserve">,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bookmarkEnd w:id="36"/>
    <w:bookmarkStart w:id="37"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37"/>
    <w:bookmarkStart w:id="38"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w:t>
            </w:r>
          </w:p>
        </w:tc>
        <w:tc>
          <w:tcPr>
            <w:tcBorders>
              <w:bottom w:val="single" w:sz="8" w:space="0" w:color="333333"/>
            </w:tcBorders>
            <w:shd w:val="clear" w:color="auto" w:fill="E8EDF4"/>
          </w:tcPr>
          <w:p>
            <w:pPr>
              <w:pStyle w:val="Compact"/>
              <w:jc w:val="left"/>
            </w:pPr>
            <w:r>
              <w:rPr>
                <w:b/>
                <w:sz w:val="20"/>
                <w:szCs w:val="20"/>
              </w:rPr>
              <w:t xml:space="preserve">String</w:t>
            </w:r>
          </w:p>
        </w:tc>
      </w:tr>
      <w:tr>
        <w:trPr>
          <w:cantSplit/>
        </w:trPr>
        <w:tc>
          <w:tcPr/>
          <w:p>
            <w:pPr>
              <w:pStyle w:val="Compact"/>
              <w:jc w:val="left"/>
            </w:pPr>
            <w:r>
              <w:rPr>
                <w:sz w:val="20"/>
                <w:szCs w:val="20"/>
              </w:rPr>
              <w:t xml:space="preserve">B1</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TITLE-ABS-KEY(("crypto-shredding" OR "cryptographic erasure" OR "crypto erasure" OR "secure deletion" OR "data sanitization") AND ("GDPR" OR "right to erasure" OR "right to be forgotten"))</w:t>
            </w:r>
          </w:p>
        </w:tc>
      </w:tr>
      <w:tr>
        <w:trPr>
          <w:cantSplit/>
        </w:trPr>
        <w:tc>
          <w:tcPr/>
          <w:p>
            <w:pPr>
              <w:pStyle w:val="Compact"/>
              <w:jc w:val="left"/>
            </w:pPr>
            <w:r>
              <w:rPr>
                <w:sz w:val="20"/>
                <w:szCs w:val="20"/>
              </w:rPr>
              <w:t xml:space="preserve">B2</w:t>
            </w:r>
          </w:p>
        </w:tc>
        <w:tc>
          <w:tcPr/>
          <w:p>
            <w:pPr>
              <w:pStyle w:val="Compact"/>
              <w:jc w:val="left"/>
            </w:pPr>
            <w:r>
              <w:rPr>
                <w:sz w:val="20"/>
                <w:szCs w:val="20"/>
              </w:rPr>
              <w:t xml:space="preserve">Scopus, IEEE Xplore</w:t>
            </w:r>
          </w:p>
        </w:tc>
        <w:tc>
          <w:tcPr/>
          <w:p>
            <w:pPr>
              <w:pStyle w:val="Compact"/>
              <w:jc w:val="left"/>
            </w:pPr>
            <w:r>
              <w:rPr>
                <w:rStyle w:val="VerbatimChar"/>
                <w:sz w:val="20"/>
                <w:szCs w:val="20"/>
              </w:rPr>
              <w:t xml:space="preserve">TITLE-ABS-KEY(("audit log" OR "audit trail" OR "access log") AND ("retention" OR "retention period") AND ("erasure" OR "deletion") AND ("conflict" OR "tension" OR "reconcil*"))</w:t>
            </w:r>
          </w:p>
        </w:tc>
      </w:tr>
      <w:tr>
        <w:trPr>
          <w:cantSplit/>
        </w:trPr>
        <w:tc>
          <w:tcPr/>
          <w:p>
            <w:pPr>
              <w:pStyle w:val="Compact"/>
              <w:jc w:val="left"/>
            </w:pPr>
            <w:r>
              <w:rPr>
                <w:sz w:val="20"/>
                <w:szCs w:val="20"/>
              </w:rPr>
              <w:t xml:space="preserve">B3</w:t>
            </w:r>
          </w:p>
        </w:tc>
        <w:tc>
          <w:tcPr/>
          <w:p>
            <w:pPr>
              <w:pStyle w:val="Compact"/>
              <w:jc w:val="left"/>
            </w:pPr>
            <w:r>
              <w:rPr>
                <w:sz w:val="20"/>
                <w:szCs w:val="20"/>
              </w:rPr>
              <w:t xml:space="preserve">Scopus, PubMed</w:t>
            </w:r>
          </w:p>
        </w:tc>
        <w:tc>
          <w:tcPr/>
          <w:p>
            <w:pPr>
              <w:pStyle w:val="Compact"/>
              <w:jc w:val="left"/>
            </w:pPr>
            <w:r>
              <w:rPr>
                <w:rStyle w:val="VerbatimChar"/>
                <w:sz w:val="20"/>
                <w:szCs w:val="20"/>
              </w:rPr>
              <w:t xml:space="preserve">TITLE-ABS-KEY(("European Health Data Space" OR "EHDS" OR "MyHealth@EU" OR "eHDSI") AND ("secure processing environment" OR "audit" OR "retention" OR "erasure"))</w:t>
            </w:r>
          </w:p>
        </w:tc>
      </w:tr>
      <w:tr>
        <w:trPr>
          <w:cantSplit/>
        </w:trPr>
        <w:tc>
          <w:tcPr/>
          <w:p>
            <w:pPr>
              <w:pStyle w:val="Compact"/>
              <w:jc w:val="left"/>
            </w:pPr>
            <w:r>
              <w:rPr>
                <w:sz w:val="20"/>
                <w:szCs w:val="20"/>
              </w:rPr>
              <w:t xml:space="preserve">B4</w:t>
            </w:r>
          </w:p>
        </w:tc>
        <w:tc>
          <w:tcPr/>
          <w:p>
            <w:pPr>
              <w:pStyle w:val="Compact"/>
              <w:jc w:val="left"/>
            </w:pPr>
            <w:r>
              <w:rPr>
                <w:sz w:val="20"/>
                <w:szCs w:val="20"/>
              </w:rPr>
              <w:t xml:space="preserve">Scopus, IEEE Xplore, ACM</w:t>
            </w:r>
          </w:p>
        </w:tc>
        <w:tc>
          <w:tcPr/>
          <w:p>
            <w:pPr>
              <w:pStyle w:val="Compact"/>
              <w:jc w:val="left"/>
            </w:pPr>
            <w:r>
              <w:rPr>
                <w:rStyle w:val="VerbatimChar"/>
                <w:sz w:val="20"/>
                <w:szCs w:val="20"/>
              </w:rPr>
              <w:t xml:space="preserve">TITLE-ABS-KEY(("formal verification" OR "satisfiability" OR "temporal logic" OR "constraint satisfaction") AND ("regulatory compliance" OR "legal compliance" OR "GDPR"))</w:t>
            </w:r>
          </w:p>
        </w:tc>
      </w:tr>
      <w:tr>
        <w:trPr>
          <w:cantSplit/>
        </w:trPr>
        <w:tc>
          <w:tcPr/>
          <w:p>
            <w:pPr>
              <w:pStyle w:val="Compact"/>
              <w:jc w:val="left"/>
            </w:pPr>
            <w:r>
              <w:rPr>
                <w:sz w:val="20"/>
                <w:szCs w:val="20"/>
              </w:rPr>
              <w:t xml:space="preserve">B5</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TITLE-ABS-KEY(("health data" OR "electronic health record") AND ("cross-border" OR "cross border") AND ("privacy" OR "data protection") AND ("Norway" OR "Nordic" OR "EEA"))</w:t>
            </w:r>
          </w:p>
        </w:tc>
      </w:tr>
      <w:tr>
        <w:trPr>
          <w:cantSplit/>
        </w:trPr>
        <w:tc>
          <w:tcPr/>
          <w:p>
            <w:pPr>
              <w:pStyle w:val="Compact"/>
              <w:jc w:val="left"/>
            </w:pPr>
            <w:r>
              <w:rPr>
                <w:sz w:val="20"/>
                <w:szCs w:val="20"/>
              </w:rPr>
              <w:t xml:space="preserve">B6</w:t>
            </w:r>
          </w:p>
        </w:tc>
        <w:tc>
          <w:tcPr/>
          <w:p>
            <w:pPr>
              <w:pStyle w:val="Compact"/>
              <w:jc w:val="left"/>
            </w:pPr>
            <w:r>
              <w:rPr>
                <w:sz w:val="20"/>
                <w:szCs w:val="20"/>
              </w:rPr>
              <w:t xml:space="preserve">IACR ePrint, arXiv</w:t>
            </w:r>
          </w:p>
        </w:tc>
        <w:tc>
          <w:tcPr/>
          <w:p>
            <w:pPr>
              <w:pStyle w:val="Compact"/>
              <w:jc w:val="left"/>
            </w:pPr>
            <w:r>
              <w:rPr>
                <w:rStyle w:val="VerbatimChar"/>
                <w:sz w:val="20"/>
                <w:szCs w:val="20"/>
              </w:rPr>
              <w:t xml:space="preserve">("certified deletion" OR "proof of secure erasure" OR "provable deletion") AND ("verifiab*" OR "attestation")</w:t>
            </w:r>
          </w:p>
        </w:tc>
      </w:tr>
    </w:tbl>
    <w:p>
      <w:pPr>
        <w:pStyle w:val="BodyText"/>
        <w:spacing w:before="240" w:after="160" w:line="360" w:lineRule="auto"/>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38"/>
    <w:bookmarkStart w:id="39" w:name="limitations-of-the-protocol"/>
    <w:p>
      <w:pPr>
        <w:pStyle w:val="Heading3"/>
      </w:pPr>
      <w:r>
        <w:t xml:space="preserve">2.1.7 Limitations of the protocol</w:t>
      </w:r>
    </w:p>
    <w:p>
      <w:pPr>
        <w:pStyle w:val="FirstParagraph"/>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w:t>
      </w:r>
      <w:hyperlink w:anchor="sec_2_9" w:history="1">
        <w:r>
          <w:rPr>
            <w:rStyle w:val="Hyperlink"/>
          </w:rPr>
          <w:t xml:space="preserve">Section 2.9</w:t>
        </w:r>
      </w:hyperlink>
      <w:r>
        <w:t xml:space="preserve">, rests on four dated search rounds, two of them adversarial, together with an independent corroborating statement in the cryptographic literature. But an absence established by searching remains weaker evidence than a positive finding. </w:t>
      </w:r>
      <w:hyperlink w:anchor="sec_2_9" w:history="1">
        <w:r>
          <w:rPr>
            <w:rStyle w:val="Hyperlink"/>
          </w:rPr>
          <w:t xml:space="preserve">Section 2.9</w:t>
        </w:r>
      </w:hyperlink>
      <w:r>
        <w:t xml:space="preserve"> therefore states the additional reasons the gap is likely genuine, rather than resting on the searches alone.</w:t>
      </w:r>
    </w:p>
    <w:bookmarkEnd w:id="39"/>
    <w:bookmarkEnd w:id="40"/>
    <w:bookmarkStart w:id="41" w:name="X777571ee1b46e521d75cc362ca0aec8a0b0f1d5"/>
    <w:p>
      <w:pPr>
        <w:pStyle w:val="Heading2"/>
      </w:pPr>
      <w:bookmarkStart w:id="1025" w:name="sec_2_2"/>
      <w:r>
        <w:t xml:space="preserve">2.2 The Cross-Border Health Data Exchange Landscape</w:t>
      </w:r>
      <w:bookmarkEnd w:id="1025"/>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w:t>
      </w:r>
      <w:hyperlink w:anchor="sec_2_3" w:history="1">
        <w:r>
          <w:rPr>
            <w:rStyle w:val="Hyperlink"/>
          </w:rPr>
          <w:t xml:space="preserve">Section 2.3</w:t>
        </w:r>
      </w:hyperlink>
      <w:r>
        <w:t xml:space="preserve">).</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w:t>
      </w:r>
      <w:hyperlink w:anchor="sec_2_3" w:history="1">
        <w:r>
          <w:rPr>
            <w:rStyle w:val="Hyperlink"/>
          </w:rPr>
          <w:t xml:space="preserve">Section 2.3</w:t>
        </w:r>
      </w:hyperlink>
      <w:r>
        <w:t xml:space="preserve"> will demonstrate.</w:t>
      </w:r>
    </w:p>
    <w:bookmarkEnd w:id="41"/>
    <w:bookmarkStart w:id="42" w:name="X4be697201be8c63802c0d6f66dbba8224584210"/>
    <w:p>
      <w:pPr>
        <w:pStyle w:val="Heading2"/>
      </w:pPr>
      <w:bookmarkStart w:id="1026" w:name="sec_2_3"/>
      <w:r>
        <w:t xml:space="preserve">2.3 The Audit-Retention versus Right-to-Erasure Tension</w:t>
      </w:r>
      <w:bookmarkEnd w:id="1026"/>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w:t>
      </w:r>
      <w:hyperlink w:anchor="ch_4" w:history="1">
        <w:r>
          <w:rPr>
            <w:rStyle w:val="Hyperlink"/>
          </w:rPr>
          <w:t xml:space="preserve">Chapter 4</w:t>
        </w:r>
      </w:hyperlink>
      <w:r>
        <w:t xml:space="preserve">,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Electronic health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the permitted data are not to remain within it.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of Secure Processing Environments</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On the broad reading it reaches access logs kept at patient-record granularity, whose entries are themselves data concerning health; on a narrower reading it reaches only the permitted dataset. The reading is contestable,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of why the conflict has not been addressed is procedural.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the period its deployment binding sets.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cross-border floor.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w:t>
      </w:r>
      <w:hyperlink w:anchor="ch_4" w:history="1">
        <w:r>
          <w:rPr>
            <w:rStyle w:val="Hyperlink"/>
          </w:rPr>
          <w:t xml:space="preserve">Chapter 4</w:t>
        </w:r>
      </w:hyperlink>
      <w:r>
        <w:t xml:space="preserve">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it.</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w:t>
      </w:r>
      <w:hyperlink w:anchor="ch_4" w:history="1">
        <w:r>
          <w:rPr>
            <w:rStyle w:val="Hyperlink"/>
          </w:rPr>
          <w:t xml:space="preserve">Chapter 4</w:t>
        </w:r>
      </w:hyperlink>
      <w:r>
        <w:t xml:space="preserve"> designs to this corridor explicitly, and </w:t>
      </w:r>
      <w:hyperlink w:anchor="sec_2_4" w:history="1">
        <w:r>
          <w:rPr>
            <w:rStyle w:val="Hyperlink"/>
          </w:rPr>
          <w:t xml:space="preserve">Section 2.4</w:t>
        </w:r>
      </w:hyperlink>
      <w:r>
        <w:t xml:space="preserve">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bookmarkEnd w:id="42"/>
    <w:bookmarkStart w:id="43" w:name="X503ef9221cec91dd90cf14136ea9b482a7dd448"/>
    <w:p>
      <w:pPr>
        <w:pStyle w:val="Heading2"/>
      </w:pPr>
      <w:bookmarkStart w:id="1027" w:name="sec_2_4"/>
      <w:r>
        <w:t xml:space="preserve">2.4 Cryptographic Approaches to Audit Compliance</w:t>
      </w:r>
      <w:bookmarkEnd w:id="1027"/>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w:t>
      </w:r>
      <w:r>
        <w:t xml:space="preserve"> </w:t>
      </w:r>
      <w:r>
        <w:t xml:space="preserve">“</w:t>
      </w:r>
      <w:r>
        <w:t xml:space="preserve">immutable audit trail</w:t>
      </w:r>
      <w:r>
        <w:t xml:space="preserve">”</w:t>
      </w:r>
      <w:r>
        <w:t xml:space="preserve">. It illustrates the pattern on which the mechanism of this thesis also rests: commitments in the trail, data held elsewhere.</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keeps the construction and resolves the tension by deciding what an entry may contain.</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w:t>
      </w:r>
      <w:hyperlink w:anchor="sec_2_9" w:history="1">
        <w:r>
          <w:rPr>
            <w:rStyle w:val="Hyperlink"/>
          </w:rPr>
          <w:t xml:space="preserve">Section 2.9</w:t>
        </w:r>
      </w:hyperlink>
      <w:r>
        <w:t xml:space="preserve">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w:t>
      </w:r>
      <w:hyperlink w:anchor="ch_4" w:history="1">
        <w:r>
          <w:rPr>
            <w:rStyle w:val="Hyperlink"/>
          </w:rPr>
          <w:t xml:space="preserve">Chapter 4</w:t>
        </w:r>
      </w:hyperlink>
      <w:r>
        <w:t xml:space="preserve">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w:t>
      </w:r>
      <w:hyperlink w:anchor="sec_2_3" w:history="1">
        <w:r>
          <w:rPr>
            <w:rStyle w:val="Hyperlink"/>
          </w:rPr>
          <w:t xml:space="preserve">Section 2.3</w:t>
        </w:r>
      </w:hyperlink>
      <w:r>
        <w:t xml:space="preserve">,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w:t>
      </w:r>
      <w:hyperlink w:anchor="ch_4" w:history="1">
        <w:r>
          <w:rPr>
            <w:rStyle w:val="Hyperlink"/>
          </w:rPr>
          <w:t xml:space="preserve">Chapter 4</w:t>
        </w:r>
      </w:hyperlink>
      <w:r>
        <w:t xml:space="preserve">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w:t>
      </w:r>
      <w:hyperlink w:anchor="sec_2_9" w:history="1">
        <w:r>
          <w:rPr>
            <w:rStyle w:val="Hyperlink"/>
          </w:rPr>
          <w:t xml:space="preserve">Section 2.9</w:t>
        </w:r>
      </w:hyperlink>
      <w:r>
        <w:t xml:space="preserve">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3"/>
    <w:bookmarkStart w:id="44" w:name="X6b186caf35254075744a51c53c2cb13b427ff25"/>
    <w:p>
      <w:pPr>
        <w:pStyle w:val="Heading2"/>
      </w:pPr>
      <w:bookmarkStart w:id="1028" w:name="sec_2_5"/>
      <w:r>
        <w:t xml:space="preserve">2.5 Formal Approaches to Regulatory-Compliance Verification</w:t>
      </w:r>
      <w:bookmarkEnd w:id="1028"/>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w:t>
      </w:r>
      <w:hyperlink w:anchor="ch_4" w:history="1">
        <w:r>
          <w:rPr>
            <w:rStyle w:val="Hyperlink"/>
          </w:rPr>
          <w:t xml:space="preserve">Chapter 4</w:t>
        </w:r>
      </w:hyperlink>
      <w:r>
        <w:t xml:space="preserve">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w:t>
      </w:r>
      <w:hyperlink w:anchor="sec_2_4" w:history="1">
        <w:r>
          <w:rPr>
            <w:rStyle w:val="Hyperlink"/>
          </w:rPr>
          <w:t xml:space="preserve">Section 2.4</w:t>
        </w:r>
      </w:hyperlink>
      <w:r>
        <w:t xml:space="preserve">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w:t>
      </w:r>
      <w:hyperlink w:anchor="ch_4" w:history="1">
        <w:r>
          <w:rPr>
            <w:rStyle w:val="Hyperlink"/>
          </w:rPr>
          <w:t xml:space="preserve">Chapter 4</w:t>
        </w:r>
      </w:hyperlink>
      <w:r>
        <w:t xml:space="preserve"> is constructed to occupy exactly this space, borrowing its method from the first strand, its erasure semantics from the second, and its modelling style from the third.</w:t>
      </w:r>
    </w:p>
    <w:bookmarkEnd w:id="44"/>
    <w:bookmarkStart w:id="45" w:name="norwegian-secondary-use-infrastructure"/>
    <w:p>
      <w:pPr>
        <w:pStyle w:val="Heading2"/>
      </w:pPr>
      <w:bookmarkStart w:id="1029" w:name="sec_2_6"/>
      <w:r>
        <w:t xml:space="preserve">2.6 Norwegian Secondary-Use Infrastructure</w:t>
      </w:r>
      <w:bookmarkEnd w:id="1029"/>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w:t>
      </w:r>
      <w:hyperlink w:anchor="sec_2_3" w:history="1">
        <w:r>
          <w:rPr>
            <w:rStyle w:val="Hyperlink"/>
          </w:rPr>
          <w:t xml:space="preserve">Section 2.3</w:t>
        </w:r>
      </w:hyperlink>
      <w:r>
        <w:t xml:space="preserve">.</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w:t>
      </w:r>
      <w:hyperlink w:anchor="sec_2_2" w:history="1">
        <w:r>
          <w:rPr>
            <w:rStyle w:val="Hyperlink"/>
          </w:rPr>
          <w:t xml:space="preserve">Section 2.2</w:t>
        </w:r>
      </w:hyperlink>
      <w:r>
        <w:t xml:space="preserve"> in production (Helsedirektoratet, 2026), the cross-border audit records this thesis concerns are beginning to be generated in Norway, at presently small volume.</w:t>
      </w:r>
    </w:p>
    <w:p>
      <w:pPr>
        <w:pStyle w:val="BodyText"/>
      </w:pPr>
      <w:r>
        <w:t xml:space="preserve">The design consequence carried into </w:t>
      </w:r>
      <w:hyperlink w:anchor="ch_4" w:history="1">
        <w:r>
          <w:rPr>
            <w:rStyle w:val="Hyperlink"/>
          </w:rPr>
          <w:t xml:space="preserve">Chapter 4</w:t>
        </w:r>
      </w:hyperlink>
      <w:r>
        <w:t xml:space="preserve">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5"/>
    <w:bookmarkStart w:id="46" w:name="information-logistics-framing"/>
    <w:p>
      <w:pPr>
        <w:pStyle w:val="Heading2"/>
      </w:pPr>
      <w:bookmarkStart w:id="1030" w:name="sec_2_7"/>
      <w:r>
        <w:t xml:space="preserve">2.7 Information Logistics Framing</w:t>
      </w:r>
      <w:bookmarkEnd w:id="1030"/>
    </w:p>
    <w:p>
      <w:pPr>
        <w:pStyle w:val="FirstParagraph"/>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w:t>
      </w:r>
      <w:hyperlink w:anchor="ch_4" w:history="1">
        <w:r>
          <w:rPr>
            <w:rStyle w:val="Hyperlink"/>
          </w:rPr>
          <w:t xml:space="preserve">Chapter 4</w:t>
        </w:r>
      </w:hyperlink>
      <w:r>
        <w:t xml:space="preserve">, </w:t>
      </w:r>
      <w:hyperlink w:anchor="sec_4_5" w:history="1">
        <w:r>
          <w:rPr>
            <w:rStyle w:val="Hyperlink"/>
          </w:rPr>
          <w:t xml:space="preserve">Section 4.5</w:t>
        </w:r>
      </w:hyperlink>
      <w:r>
        <w:t xml:space="preserve">). Checked against the anchoring result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46"/>
    <w:bookmarkStart w:id="47" w:name="comparative-analysis"/>
    <w:p>
      <w:pPr>
        <w:pStyle w:val="Heading2"/>
      </w:pPr>
      <w:bookmarkStart w:id="1031" w:name="sec_2_8"/>
      <w:r>
        <w:t xml:space="preserve">2.8 Comparative Analysis</w:t>
      </w:r>
      <w:bookmarkEnd w:id="1031"/>
    </w:p>
    <w:p>
      <w:pPr>
        <w:pStyle w:val="FirstParagraph"/>
      </w:pPr>
      <w:r>
        <w:t xml:space="preserve">The position of the proposed contribution within the existing literature is summarised in </w:t>
      </w:r>
      <w:hyperlink w:anchor="tbl_2_1" w:history="1">
        <w:r>
          <w:rPr>
            <w:rStyle w:val="Hyperlink"/>
          </w:rPr>
          <w:t xml:space="preserve">Table 2.1</w:t>
        </w:r>
      </w:hyperlink>
      <w:r>
        <w:t xml:space="preserve">,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TableCaption"/>
      </w:pPr>
      <w:bookmarkStart w:id="1001" w:name="tbl_2_1"/>
      <w:r>
        <w:rPr>
          <w:b/>
          <w:color w:val="1F3864"/>
        </w:rPr>
        <w:t xml:space="preserve">Table 2.1.</w:t>
      </w:r>
      <w:r>
        <w:t xml:space="preserve"> Comparative Analysis of Cryptographic Compliance Approaches to Health Data Audit</w:t>
      </w:r>
      <w:bookmarkEnd w:id="1001"/>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System</w:t>
            </w:r>
          </w:p>
        </w:tc>
        <w:tc>
          <w:tcPr>
            <w:tcBorders>
              <w:bottom w:val="single" w:sz="8" w:space="0" w:color="333333"/>
            </w:tcBorders>
            <w:shd w:val="clear" w:color="auto" w:fill="E8EDF4"/>
          </w:tcPr>
          <w:p>
            <w:pPr>
              <w:pStyle w:val="Compact"/>
              <w:jc w:val="left"/>
            </w:pPr>
            <w:r>
              <w:rPr>
                <w:b/>
                <w:sz w:val="20"/>
                <w:szCs w:val="20"/>
              </w:rPr>
              <w:t xml:space="preserve">Cross-Border or Cross-Institutional</w:t>
            </w:r>
          </w:p>
        </w:tc>
        <w:tc>
          <w:tcPr>
            <w:tcBorders>
              <w:bottom w:val="single" w:sz="8" w:space="0" w:color="333333"/>
            </w:tcBorders>
            <w:shd w:val="clear" w:color="auto" w:fill="E8EDF4"/>
          </w:tcPr>
          <w:p>
            <w:pPr>
              <w:pStyle w:val="Compact"/>
              <w:jc w:val="left"/>
            </w:pPr>
            <w:r>
              <w:rPr>
                <w:b/>
                <w:sz w:val="20"/>
                <w:szCs w:val="20"/>
              </w:rPr>
              <w:t xml:space="preserve">Hardware Dependency</w:t>
            </w:r>
          </w:p>
        </w:tc>
        <w:tc>
          <w:tcPr>
            <w:tcBorders>
              <w:bottom w:val="single" w:sz="8" w:space="0" w:color="333333"/>
            </w:tcBorders>
            <w:shd w:val="clear" w:color="auto" w:fill="E8EDF4"/>
          </w:tcPr>
          <w:p>
            <w:pPr>
              <w:pStyle w:val="Compact"/>
              <w:jc w:val="left"/>
            </w:pPr>
            <w:r>
              <w:rPr>
                <w:b/>
                <w:sz w:val="20"/>
                <w:szCs w:val="20"/>
              </w:rPr>
              <w:t xml:space="preserve">Addresses GDPR Article 17 Erasure</w:t>
            </w:r>
          </w:p>
        </w:tc>
        <w:tc>
          <w:tcPr>
            <w:tcBorders>
              <w:bottom w:val="single" w:sz="8" w:space="0" w:color="333333"/>
            </w:tcBorders>
            <w:shd w:val="clear" w:color="auto" w:fill="E8EDF4"/>
          </w:tcPr>
          <w:p>
            <w:pPr>
              <w:pStyle w:val="Compact"/>
              <w:jc w:val="left"/>
            </w:pPr>
            <w:r>
              <w:rPr>
                <w:b/>
                <w:sz w:val="20"/>
                <w:szCs w:val="20"/>
              </w:rPr>
              <w:t xml:space="preserve">Primary or Secondary Use</w:t>
            </w:r>
          </w:p>
        </w:tc>
        <w:tc>
          <w:tcPr>
            <w:tcBorders>
              <w:bottom w:val="single" w:sz="8" w:space="0" w:color="333333"/>
            </w:tcBorders>
            <w:shd w:val="clear" w:color="auto" w:fill="E8EDF4"/>
          </w:tcPr>
          <w:p>
            <w:pPr>
              <w:pStyle w:val="Compact"/>
              <w:jc w:val="left"/>
            </w:pPr>
            <w:r>
              <w:rPr>
                <w:b/>
                <w:sz w:val="20"/>
                <w:szCs w:val="20"/>
              </w:rPr>
              <w:t xml:space="preserve">Norwegian Context</w:t>
            </w:r>
          </w:p>
        </w:tc>
        <w:tc>
          <w:tcPr>
            <w:tcBorders>
              <w:bottom w:val="single" w:sz="8" w:space="0" w:color="333333"/>
            </w:tcBorders>
            <w:shd w:val="clear" w:color="auto" w:fill="E8EDF4"/>
          </w:tcPr>
          <w:p>
            <w:pPr>
              <w:pStyle w:val="Compact"/>
              <w:jc w:val="left"/>
            </w:pPr>
            <w:r>
              <w:rPr>
                <w:b/>
                <w:sz w:val="20"/>
                <w:szCs w:val="20"/>
              </w:rPr>
              <w:t xml:space="preserve">Formal Model of the Retention–Erasure Conflict</w:t>
            </w:r>
          </w:p>
        </w:tc>
      </w:tr>
      <w:tr>
        <w:trPr>
          <w:cantSplit/>
        </w:trPr>
        <w:tc>
          <w:tcPr/>
          <w:p>
            <w:pPr>
              <w:pStyle w:val="Compact"/>
              <w:jc w:val="left"/>
            </w:pPr>
            <w:r>
              <w:rPr>
                <w:iCs/>
                <w:i/>
                <w:bCs/>
                <w:b/>
                <w:sz w:val="20"/>
                <w:szCs w:val="20"/>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KONFIDO (Natsiavas et al., 2021; Diamantopoulos et al., 2019)</w:t>
            </w:r>
          </w:p>
        </w:tc>
        <w:tc>
          <w:tcPr/>
          <w:p>
            <w:pPr>
              <w:pStyle w:val="Compact"/>
              <w:jc w:val="left"/>
            </w:pPr>
            <w:r>
              <w:rPr>
                <w:sz w:val="20"/>
                <w:szCs w:val="20"/>
              </w:rPr>
              <w:t xml:space="preserve">Cross-border (OpenNCP)</w:t>
            </w:r>
          </w:p>
        </w:tc>
        <w:tc>
          <w:tcPr/>
          <w:p>
            <w:pPr>
              <w:pStyle w:val="Compact"/>
              <w:jc w:val="left"/>
            </w:pPr>
            <w:r>
              <w:rPr>
                <w:sz w:val="20"/>
                <w:szCs w:val="20"/>
              </w:rPr>
              <w:t xml:space="preserve">Yes — Intel SGX</w:t>
            </w:r>
          </w:p>
        </w:tc>
        <w:tc>
          <w:tcPr/>
          <w:p>
            <w:pPr>
              <w:pStyle w:val="Compact"/>
              <w:jc w:val="left"/>
            </w:pPr>
            <w:r>
              <w:rPr>
                <w:sz w:val="20"/>
                <w:szCs w:val="20"/>
              </w:rPr>
              <w:t xml:space="preserve">No — treats immutability as feature</w:t>
            </w:r>
          </w:p>
        </w:tc>
        <w:tc>
          <w:tcPr/>
          <w:p>
            <w:pPr>
              <w:pStyle w:val="Compact"/>
              <w:jc w:val="left"/>
            </w:pPr>
            <w:r>
              <w:rPr>
                <w:sz w:val="20"/>
                <w:szCs w:val="20"/>
              </w:rPr>
              <w:t xml:space="preserve">Primary use</w:t>
            </w:r>
          </w:p>
        </w:tc>
        <w:tc>
          <w:tcPr/>
          <w:p>
            <w:pPr>
              <w:pStyle w:val="Compact"/>
              <w:jc w:val="left"/>
            </w:pPr>
            <w:r>
              <w:rPr>
                <w:sz w:val="20"/>
                <w:szCs w:val="20"/>
              </w:rPr>
              <w:t xml:space="preserve">EU pilot; not Norway-specific</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ZK-EHR (Albalwy, 2026)</w:t>
            </w:r>
          </w:p>
        </w:tc>
        <w:tc>
          <w:tcPr/>
          <w:p>
            <w:pPr>
              <w:pStyle w:val="Compact"/>
              <w:jc w:val="left"/>
            </w:pPr>
            <w:r>
              <w:rPr>
                <w:sz w:val="20"/>
                <w:szCs w:val="20"/>
              </w:rPr>
              <w:t xml:space="preserve">Cross-institutional</w:t>
            </w:r>
          </w:p>
        </w:tc>
        <w:tc>
          <w:tcPr/>
          <w:p>
            <w:pPr>
              <w:pStyle w:val="Compact"/>
              <w:jc w:val="left"/>
            </w:pPr>
            <w:r>
              <w:rPr>
                <w:sz w:val="20"/>
                <w:szCs w:val="20"/>
              </w:rPr>
              <w:t xml:space="preserve">No — software only</w:t>
            </w:r>
          </w:p>
        </w:tc>
        <w:tc>
          <w:tcPr/>
          <w:p>
            <w:pPr>
              <w:pStyle w:val="Compact"/>
              <w:jc w:val="left"/>
            </w:pPr>
            <w:r>
              <w:rPr>
                <w:sz w:val="20"/>
                <w:szCs w:val="20"/>
              </w:rPr>
              <w:t xml:space="preserve">Partial — revocation, not the retention conflict</w:t>
            </w:r>
          </w:p>
        </w:tc>
        <w:tc>
          <w:tcPr/>
          <w:p>
            <w:pPr>
              <w:pStyle w:val="Compact"/>
              <w:jc w:val="left"/>
            </w:pPr>
            <w:r>
              <w:rPr>
                <w:sz w:val="20"/>
                <w:szCs w:val="20"/>
              </w:rPr>
              <w:t xml:space="preserve">Primary use (clinical)</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Health-zkIDM (Bai et al., 2022)</w:t>
            </w:r>
          </w:p>
        </w:tc>
        <w:tc>
          <w:tcPr/>
          <w:p>
            <w:pPr>
              <w:pStyle w:val="Compact"/>
              <w:jc w:val="left"/>
            </w:pPr>
            <w:r>
              <w:rPr>
                <w:sz w:val="20"/>
                <w:szCs w:val="20"/>
              </w:rPr>
              <w:t xml:space="preserve">Identity (institutional)</w:t>
            </w:r>
          </w:p>
        </w:tc>
        <w:tc>
          <w:tcPr/>
          <w:p>
            <w:pPr>
              <w:pStyle w:val="Compact"/>
              <w:jc w:val="left"/>
            </w:pPr>
            <w:r>
              <w:rPr>
                <w:sz w:val="20"/>
                <w:szCs w:val="20"/>
              </w:rPr>
              <w:t xml:space="preserve">No</w:t>
            </w:r>
          </w:p>
        </w:tc>
        <w:tc>
          <w:tcPr/>
          <w:p>
            <w:pPr>
              <w:pStyle w:val="Compact"/>
              <w:jc w:val="left"/>
            </w:pPr>
            <w:r>
              <w:rPr>
                <w:sz w:val="20"/>
                <w:szCs w:val="20"/>
              </w:rPr>
              <w:t xml:space="preserve">No</w:t>
            </w:r>
          </w:p>
        </w:tc>
        <w:tc>
          <w:tcPr/>
          <w:p>
            <w:pPr>
              <w:pStyle w:val="Compact"/>
              <w:jc w:val="left"/>
            </w:pPr>
            <w:r>
              <w:rPr>
                <w:sz w:val="20"/>
                <w:szCs w:val="20"/>
              </w:rPr>
              <w:t xml:space="preserve">Primary use (identity)</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NewbornTime (Brunner et al., 2025)</w:t>
            </w:r>
          </w:p>
        </w:tc>
        <w:tc>
          <w:tcPr/>
          <w:p>
            <w:pPr>
              <w:pStyle w:val="Compact"/>
              <w:jc w:val="left"/>
            </w:pPr>
            <w:r>
              <w:rPr>
                <w:sz w:val="20"/>
                <w:szCs w:val="20"/>
              </w:rPr>
              <w:t xml:space="preserve">Single-institution (Stavanger)</w:t>
            </w:r>
          </w:p>
        </w:tc>
        <w:tc>
          <w:tcPr/>
          <w:p>
            <w:pPr>
              <w:pStyle w:val="Compact"/>
              <w:jc w:val="left"/>
            </w:pPr>
            <w:r>
              <w:rPr>
                <w:sz w:val="20"/>
                <w:szCs w:val="20"/>
              </w:rPr>
              <w:t xml:space="preserve">No</w:t>
            </w:r>
          </w:p>
        </w:tc>
        <w:tc>
          <w:tcPr/>
          <w:p>
            <w:pPr>
              <w:pStyle w:val="Compact"/>
              <w:jc w:val="left"/>
            </w:pPr>
            <w:r>
              <w:rPr>
                <w:sz w:val="20"/>
                <w:szCs w:val="20"/>
              </w:rPr>
              <w:t xml:space="preserve">Yes — consent withdrawal</w:t>
            </w:r>
          </w:p>
        </w:tc>
        <w:tc>
          <w:tcPr/>
          <w:p>
            <w:pPr>
              <w:pStyle w:val="Compact"/>
              <w:jc w:val="left"/>
            </w:pPr>
            <w:r>
              <w:rPr>
                <w:sz w:val="20"/>
                <w:szCs w:val="20"/>
              </w:rPr>
              <w:t xml:space="preserve">Primary use (clinical research)</w:t>
            </w:r>
          </w:p>
        </w:tc>
        <w:tc>
          <w:tcPr/>
          <w:p>
            <w:pPr>
              <w:pStyle w:val="Compact"/>
              <w:jc w:val="left"/>
            </w:pPr>
            <w:r>
              <w:rPr>
                <w:sz w:val="20"/>
                <w:szCs w:val="20"/>
              </w:rPr>
              <w:t xml:space="preserve">Yes — Norwegian deployment</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SPUHiN D5.2 criteria (SPUHiN, 2025)</w:t>
            </w:r>
          </w:p>
        </w:tc>
        <w:tc>
          <w:tcPr/>
          <w:p>
            <w:pPr>
              <w:pStyle w:val="Compact"/>
              <w:jc w:val="left"/>
            </w:pPr>
            <w:r>
              <w:rPr>
                <w:sz w:val="20"/>
                <w:szCs w:val="20"/>
              </w:rPr>
              <w:t xml:space="preserve">National policy framework</w:t>
            </w:r>
          </w:p>
        </w:tc>
        <w:tc>
          <w:tcPr/>
          <w:p>
            <w:pPr>
              <w:pStyle w:val="Compact"/>
              <w:jc w:val="left"/>
            </w:pPr>
            <w:r>
              <w:rPr>
                <w:sz w:val="20"/>
                <w:szCs w:val="20"/>
              </w:rPr>
              <w:t xml:space="preserve">n/a — specification</w:t>
            </w:r>
          </w:p>
        </w:tc>
        <w:tc>
          <w:tcPr/>
          <w:p>
            <w:pPr>
              <w:pStyle w:val="Compact"/>
              <w:jc w:val="left"/>
            </w:pPr>
            <w:r>
              <w:rPr>
                <w:sz w:val="20"/>
                <w:szCs w:val="20"/>
              </w:rPr>
              <w:t xml:space="preserve">No — not addressed at any grade</w:t>
            </w:r>
          </w:p>
        </w:tc>
        <w:tc>
          <w:tcPr/>
          <w:p>
            <w:pPr>
              <w:pStyle w:val="Compact"/>
              <w:jc w:val="left"/>
            </w:pPr>
            <w:r>
              <w:rPr>
                <w:sz w:val="20"/>
                <w:szCs w:val="20"/>
              </w:rPr>
              <w:t xml:space="preserve">Secondary use (SPE)</w:t>
            </w:r>
          </w:p>
        </w:tc>
        <w:tc>
          <w:tcPr/>
          <w:p>
            <w:pPr>
              <w:pStyle w:val="Compact"/>
              <w:jc w:val="left"/>
            </w:pPr>
            <w:r>
              <w:rPr>
                <w:sz w:val="20"/>
                <w:szCs w:val="20"/>
              </w:rPr>
              <w:t xml:space="preserve">Yes — Norwegian policy, hearing version</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zkFL-Health (Sharma et al., 2025)</w:t>
            </w:r>
          </w:p>
        </w:tc>
        <w:tc>
          <w:tcPr/>
          <w:p>
            <w:pPr>
              <w:pStyle w:val="Compact"/>
              <w:jc w:val="left"/>
            </w:pPr>
            <w:r>
              <w:rPr>
                <w:sz w:val="20"/>
                <w:szCs w:val="20"/>
              </w:rPr>
              <w:t xml:space="preserve">Cross-institutional federated</w:t>
            </w:r>
          </w:p>
        </w:tc>
        <w:tc>
          <w:tcPr/>
          <w:p>
            <w:pPr>
              <w:pStyle w:val="Compact"/>
              <w:jc w:val="left"/>
            </w:pPr>
            <w:r>
              <w:rPr>
                <w:sz w:val="20"/>
                <w:szCs w:val="20"/>
              </w:rPr>
              <w:t xml:space="preserve">Yes — TEE aggregator</w:t>
            </w:r>
          </w:p>
        </w:tc>
        <w:tc>
          <w:tcPr/>
          <w:p>
            <w:pPr>
              <w:pStyle w:val="Compact"/>
              <w:jc w:val="left"/>
            </w:pPr>
            <w:r>
              <w:rPr>
                <w:sz w:val="20"/>
                <w:szCs w:val="20"/>
              </w:rPr>
              <w:t xml:space="preserve">No</w:t>
            </w:r>
          </w:p>
        </w:tc>
        <w:tc>
          <w:tcPr/>
          <w:p>
            <w:pPr>
              <w:pStyle w:val="Compact"/>
              <w:jc w:val="left"/>
            </w:pPr>
            <w:r>
              <w:rPr>
                <w:sz w:val="20"/>
                <w:szCs w:val="20"/>
              </w:rPr>
              <w:t xml:space="preserve">Secondary use (AI training)</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Ledger crypto-erasure SoK (Aikebaier, 2026)</w:t>
            </w:r>
          </w:p>
        </w:tc>
        <w:tc>
          <w:tcPr/>
          <w:p>
            <w:pPr>
              <w:pStyle w:val="Compact"/>
              <w:jc w:val="left"/>
            </w:pPr>
            <w:r>
              <w:rPr>
                <w:sz w:val="20"/>
                <w:szCs w:val="20"/>
              </w:rPr>
              <w:t xml:space="preserve">Storage-technology scope (public ledgers)</w:t>
            </w:r>
          </w:p>
        </w:tc>
        <w:tc>
          <w:tcPr/>
          <w:p>
            <w:pPr>
              <w:pStyle w:val="Compact"/>
              <w:jc w:val="left"/>
            </w:pPr>
            <w:r>
              <w:rPr>
                <w:sz w:val="20"/>
                <w:szCs w:val="20"/>
              </w:rPr>
              <w:t xml:space="preserve">No</w:t>
            </w:r>
          </w:p>
        </w:tc>
        <w:tc>
          <w:tcPr/>
          <w:p>
            <w:pPr>
              <w:pStyle w:val="Compact"/>
              <w:jc w:val="left"/>
            </w:pPr>
            <w:r>
              <w:rPr>
                <w:sz w:val="20"/>
                <w:szCs w:val="20"/>
              </w:rPr>
              <w:t xml:space="preserve">Yes — formalises erasure side only</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Partial — formalises erasure, excludes retention law by stated scope</w:t>
            </w:r>
          </w:p>
        </w:tc>
      </w:tr>
      <w:tr>
        <w:trPr>
          <w:cantSplit/>
        </w:trPr>
        <w:tc>
          <w:tcPr/>
          <w:p>
            <w:pPr>
              <w:pStyle w:val="Compact"/>
              <w:jc w:val="left"/>
            </w:pPr>
            <w:r>
              <w:rPr>
                <w:sz w:val="20"/>
                <w:szCs w:val="20"/>
              </w:rPr>
              <w:t xml:space="preserve">Practitioner crypto-shredding pattern (VeritasChain, 2026)</w:t>
            </w:r>
          </w:p>
        </w:tc>
        <w:tc>
          <w:tcPr/>
          <w:p>
            <w:pPr>
              <w:pStyle w:val="Compact"/>
              <w:jc w:val="left"/>
            </w:pPr>
            <w:r>
              <w:rPr>
                <w:sz w:val="20"/>
                <w:szCs w:val="20"/>
              </w:rPr>
              <w:t xml:space="preserve">Sector pattern (finance)</w:t>
            </w:r>
          </w:p>
        </w:tc>
        <w:tc>
          <w:tcPr/>
          <w:p>
            <w:pPr>
              <w:pStyle w:val="Compact"/>
              <w:jc w:val="left"/>
            </w:pPr>
            <w:r>
              <w:rPr>
                <w:sz w:val="20"/>
                <w:szCs w:val="20"/>
              </w:rPr>
              <w:t xml:space="preserve">No</w:t>
            </w:r>
          </w:p>
        </w:tc>
        <w:tc>
          <w:tcPr/>
          <w:p>
            <w:pPr>
              <w:pStyle w:val="Compact"/>
              <w:jc w:val="left"/>
            </w:pPr>
            <w:r>
              <w:rPr>
                <w:sz w:val="20"/>
                <w:szCs w:val="20"/>
              </w:rPr>
              <w:t xml:space="preserve">Yes — asserted, bi-lateral</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No — asserted reconciliation, no model, no verifiability semantics</w:t>
            </w:r>
          </w:p>
        </w:tc>
      </w:tr>
      <w:tr>
        <w:trPr>
          <w:cantSplit/>
        </w:trPr>
        <w:tc>
          <w:tcPr/>
          <w:p>
            <w:pPr>
              <w:pStyle w:val="Compact"/>
              <w:jc w:val="left"/>
            </w:pPr>
            <w:r>
              <w:rPr>
                <w:bCs/>
                <w:b/>
                <w:sz w:val="20"/>
                <w:szCs w:val="20"/>
              </w:rPr>
              <w:t xml:space="preserve">This thesis (TRF Model + Crypto-Erasure by Invalidation)</w:t>
            </w:r>
          </w:p>
        </w:tc>
        <w:tc>
          <w:tcPr/>
          <w:p>
            <w:pPr>
              <w:pStyle w:val="Compact"/>
              <w:jc w:val="left"/>
            </w:pPr>
            <w:r>
              <w:rPr>
                <w:bCs/>
                <w:b/>
                <w:sz w:val="20"/>
                <w:szCs w:val="20"/>
              </w:rPr>
              <w:t xml:space="preserve">Cross-border</w:t>
            </w:r>
          </w:p>
        </w:tc>
        <w:tc>
          <w:tcPr/>
          <w:p>
            <w:pPr>
              <w:pStyle w:val="Compact"/>
              <w:jc w:val="left"/>
            </w:pPr>
            <w:r>
              <w:rPr>
                <w:bCs/>
                <w:b/>
                <w:sz w:val="20"/>
                <w:szCs w:val="20"/>
              </w:rPr>
              <w:t xml:space="preserve">No — software only</w:t>
            </w:r>
          </w:p>
        </w:tc>
        <w:tc>
          <w:tcPr/>
          <w:p>
            <w:pPr>
              <w:pStyle w:val="Compact"/>
              <w:jc w:val="left"/>
            </w:pPr>
            <w:r>
              <w:rPr>
                <w:bCs/>
                <w:b/>
                <w:sz w:val="20"/>
                <w:szCs w:val="20"/>
              </w:rPr>
              <w:t xml:space="preserve">Yes — derived from the model, within the EDPB 02/2025 corridor</w:t>
            </w:r>
          </w:p>
        </w:tc>
        <w:tc>
          <w:tcPr/>
          <w:p>
            <w:pPr>
              <w:pStyle w:val="Compact"/>
              <w:jc w:val="left"/>
            </w:pPr>
            <w:r>
              <w:rPr>
                <w:bCs/>
                <w:b/>
                <w:sz w:val="20"/>
                <w:szCs w:val="20"/>
              </w:rPr>
              <w:t xml:space="preserve">Both, at the audit-trail boundary</w:t>
            </w:r>
          </w:p>
        </w:tc>
        <w:tc>
          <w:tcPr/>
          <w:p>
            <w:pPr>
              <w:pStyle w:val="Compact"/>
              <w:jc w:val="left"/>
            </w:pPr>
            <w:r>
              <w:rPr>
                <w:bCs/>
                <w:b/>
                <w:sz w:val="20"/>
                <w:szCs w:val="20"/>
              </w:rPr>
              <w:t xml:space="preserve">Yes — designed against the documented Norwegian substrate</w:t>
            </w:r>
          </w:p>
        </w:tc>
        <w:tc>
          <w:tcPr/>
          <w:p>
            <w:pPr>
              <w:pStyle w:val="Compact"/>
              <w:jc w:val="left"/>
            </w:pPr>
            <w:r>
              <w:rPr>
                <w:bCs/>
                <w:b/>
                <w:sz w:val="20"/>
                <w:szCs w:val="20"/>
              </w:rPr>
              <w:t xml:space="preserve">Yes — tri-lateral feasibility model with infeasibility and feasibility results</w:t>
            </w:r>
          </w:p>
        </w:tc>
      </w:tr>
    </w:tbl>
    <w:p>
      <w:pPr>
        <w:pStyle w:val="BodyText"/>
        <w:spacing w:before="240" w:after="160" w:line="360" w:lineRule="auto"/>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w:t>
      </w:r>
      <w:hyperlink w:anchor="sec_2_4" w:history="1">
        <w:r>
          <w:rPr>
            <w:rStyle w:val="Hyperlink"/>
          </w:rPr>
          <w:t xml:space="preserve">Section 2.4</w:t>
        </w:r>
      </w:hyperlink>
      <w:r>
        <w:t xml:space="preserve">), nor the general formal method, which is established (</w:t>
      </w:r>
      <w:hyperlink w:anchor="sec_2_5" w:history="1">
        <w:r>
          <w:rPr>
            <w:rStyle w:val="Hyperlink"/>
          </w:rPr>
          <w:t xml:space="preserve">Section 2.5</w:t>
        </w:r>
      </w:hyperlink>
      <w:r>
        <w:t xml:space="preserve">),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47"/>
    <w:bookmarkStart w:id="48" w:name="identified-research-gaps"/>
    <w:p>
      <w:pPr>
        <w:pStyle w:val="Heading2"/>
      </w:pPr>
      <w:bookmarkStart w:id="1032" w:name="sec_2_9"/>
      <w:r>
        <w:t xml:space="preserve">2.9 Identified Research Gaps</w:t>
      </w:r>
      <w:bookmarkEnd w:id="1032"/>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w:t>
      </w:r>
      <w:hyperlink w:anchor="sec_2_1" w:history="1">
        <w:r>
          <w:rPr>
            <w:rStyle w:val="Hyperlink"/>
          </w:rPr>
          <w:t xml:space="preserve">Section 2.1</w:t>
        </w:r>
      </w:hyperlink>
      <w:r>
        <w:t xml:space="preserve">.4 and on the absence of any treatment in the regulatory and Joint Action guidance reviewed in </w:t>
      </w:r>
      <w:hyperlink w:anchor="sec_2_3" w:history="1">
        <w:r>
          <w:rPr>
            <w:rStyle w:val="Hyperlink"/>
          </w:rPr>
          <w:t xml:space="preserve">Sections 2.3</w:t>
        </w:r>
      </w:hyperlink>
      <w:r>
        <w:t xml:space="preserve">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w:t>
      </w:r>
      <w:hyperlink w:anchor="ch_4" w:history="1">
        <w:r>
          <w:rPr>
            <w:rStyle w:val="Hyperlink"/>
          </w:rPr>
          <w:t xml:space="preserve">Chapter 4</w:t>
        </w:r>
      </w:hyperlink>
      <w:r>
        <w:t xml:space="preserve"> discharges.</w:t>
      </w:r>
    </w:p>
    <w:p>
      <w:pPr>
        <w:pStyle w:val="BodyText"/>
      </w:pPr>
      <w:r>
        <w:t xml:space="preserve">These four gaps converge on the research question stated in </w:t>
      </w:r>
      <w:hyperlink w:anchor="ch_1" w:history="1">
        <w:r>
          <w:rPr>
            <w:rStyle w:val="Hyperlink"/>
          </w:rPr>
          <w:t xml:space="preserve">Chapter 1</w:t>
        </w:r>
      </w:hyperlink>
      <w:r>
        <w:t xml:space="preserve"> and are addressed, respectively, by the formal model, the mechanism specification, the boundary-placement design decision, and the residue analysis of </w:t>
      </w:r>
      <w:hyperlink w:anchor="ch_4" w:history="1">
        <w:r>
          <w:rPr>
            <w:rStyle w:val="Hyperlink"/>
          </w:rPr>
          <w:t xml:space="preserve">Chapter 4</w:t>
        </w:r>
      </w:hyperlink>
      <w:r>
        <w:t xml:space="preserve">, with the demonstration of </w:t>
      </w:r>
      <w:hyperlink w:anchor="ch_5" w:history="1">
        <w:r>
          <w:rPr>
            <w:rStyle w:val="Hyperlink"/>
          </w:rPr>
          <w:t xml:space="preserve">Chapter 5</w:t>
        </w:r>
      </w:hyperlink>
      <w:r>
        <w:t xml:space="preserve"> witnessing the first two executably.</w:t>
      </w:r>
    </w:p>
    <w:bookmarkEnd w:id="48"/>
    <w:bookmarkStart w:id="49" w:name="conceptual-positioning-of-the-thesis"/>
    <w:p>
      <w:pPr>
        <w:pStyle w:val="Heading2"/>
      </w:pPr>
      <w:bookmarkStart w:id="1033" w:name="sec_2_10"/>
      <w:r>
        <w:t xml:space="preserve">2.10 Conceptual Positioning of the Thesis</w:t>
      </w:r>
      <w:bookmarkEnd w:id="1033"/>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w:t>
      </w:r>
      <w:hyperlink w:anchor="sec_2_8" w:history="1">
        <w:r>
          <w:rPr>
            <w:rStyle w:val="Hyperlink"/>
          </w:rPr>
          <w:t xml:space="preserve">Section 2.8</w:t>
        </w:r>
      </w:hyperlink>
      <w:r>
        <w:t xml:space="preserve"> supports that claim entry by entry. The remaining chapters elaborate this claim through the methodology of </w:t>
      </w:r>
      <w:hyperlink w:anchor="ch_3" w:history="1">
        <w:r>
          <w:rPr>
            <w:rStyle w:val="Hyperlink"/>
          </w:rPr>
          <w:t xml:space="preserve">Chapter 3</w:t>
        </w:r>
      </w:hyperlink>
      <w:r>
        <w:t xml:space="preserve">, the model and specification of </w:t>
      </w:r>
      <w:hyperlink w:anchor="ch_4" w:history="1">
        <w:r>
          <w:rPr>
            <w:rStyle w:val="Hyperlink"/>
          </w:rPr>
          <w:t xml:space="preserve">Chapter 4</w:t>
        </w:r>
      </w:hyperlink>
      <w:r>
        <w:t xml:space="preserve">, and the executable demonstration of Chapter 5. The counter-positions identified in this review are engaged substantively in </w:t>
      </w:r>
      <w:hyperlink w:anchor="ch_6" w:history="1">
        <w:r>
          <w:rPr>
            <w:rStyle w:val="Hyperlink"/>
          </w:rPr>
          <w:t xml:space="preserve">Chapter 6</w:t>
        </w:r>
      </w:hyperlink>
      <w:r>
        <w:t xml:space="preserve">: the unprovability of key destruction, the personal-data status of surviving residues, and the operational-complexity critique of crypto-shredding.</w:t>
      </w:r>
    </w:p>
    <w:bookmarkEnd w:id="49"/>
    <w:bookmarkEnd w:id="50"/>
    <w:bookmarkStart w:id="60" w:name="Xc642577019a76bd27fe42ea49bac447856470a9"/>
    <w:p>
      <w:pPr>
        <w:pStyle w:val="Heading1"/>
      </w:pPr>
      <w:bookmarkStart w:id="1034" w:name="ch_3"/>
      <w:r>
        <w:t xml:space="preserve">Chapter 3. Methodology and Research Design</w:t>
      </w:r>
      <w:bookmarkEnd w:id="1034"/>
    </w:p>
    <w:bookmarkStart w:id="51" w:name="research-paradigm"/>
    <w:p>
      <w:pPr>
        <w:pStyle w:val="Heading2"/>
      </w:pPr>
      <w:bookmarkStart w:id="1035" w:name="sec_3_1"/>
      <w:r>
        <w:t xml:space="preserve">3.1 Research Paradigm</w:t>
      </w:r>
      <w:bookmarkEnd w:id="1035"/>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w:t>
      </w:r>
      <w:hyperlink w:anchor="ch_2" w:history="1">
        <w:r>
          <w:rPr>
            <w:rStyle w:val="Hyperlink"/>
          </w:rPr>
          <w:t xml:space="preserve">Chapter 2</w:t>
        </w:r>
      </w:hyperlink>
      <w:r>
        <w:t xml:space="preserve">: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w:t>
      </w:r>
      <w:hyperlink w:anchor="ch_2" w:history="1">
        <w:r>
          <w:rPr>
            <w:rStyle w:val="Hyperlink"/>
          </w:rPr>
          <w:t xml:space="preserve">Chapter 2</w:t>
        </w:r>
      </w:hyperlink>
      <w:r>
        <w:t xml:space="preserve">,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w:t>
      </w:r>
      <w:hyperlink w:anchor="sec_3_3" w:history="1">
        <w:r>
          <w:rPr>
            <w:rStyle w:val="Hyperlink"/>
          </w:rPr>
          <w:t xml:space="preserve">Section 3.3</w:t>
        </w:r>
      </w:hyperlink>
      <w:r>
        <w:t xml:space="preserve">, permits the model and the artefact to be produced together, with the model supplying the rigour and the artefact supplying the relevance.</w:t>
      </w:r>
    </w:p>
    <w:bookmarkEnd w:id="51"/>
    <w:bookmarkStart w:id="52" w:name="the-design-science-cycle-adopted"/>
    <w:p>
      <w:pPr>
        <w:pStyle w:val="Heading2"/>
      </w:pPr>
      <w:bookmarkStart w:id="1036" w:name="sec_3_2"/>
      <w:r>
        <w:t xml:space="preserve">3.2 The Design Science Cycle Adopted</w:t>
      </w:r>
      <w:bookmarkEnd w:id="1036"/>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w:t>
      </w:r>
      <w:hyperlink w:anchor="ch_4" w:history="1">
        <w:r>
          <w:rPr>
            <w:rStyle w:val="Hyperlink"/>
          </w:rPr>
          <w:t xml:space="preserve">Chapter 4</w:t>
        </w:r>
      </w:hyperlink>
      <w:r>
        <w:t xml:space="preserve"> showed that machinery to be unnecessary for the audit-trail problem. That correction is itself an instance of the design cycle operating as intended.</w:t>
      </w:r>
    </w:p>
    <w:bookmarkEnd w:id="52"/>
    <w:bookmarkStart w:id="53" w:name="X19f4312b49998825ef2288fd27080c33ccc84e7"/>
    <w:p>
      <w:pPr>
        <w:pStyle w:val="Heading2"/>
      </w:pPr>
      <w:bookmarkStart w:id="1037" w:name="sec_3_3"/>
      <w:r>
        <w:t xml:space="preserve">3.3 The Specification-and-Demonstration Variant, Extended with Formal Modelling</w:t>
      </w:r>
      <w:bookmarkEnd w:id="1037"/>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w:t>
      </w:r>
      <w:hyperlink w:anchor="ch_2" w:history="1">
        <w:r>
          <w:rPr>
            <w:rStyle w:val="Hyperlink"/>
          </w:rPr>
          <w:t xml:space="preserve">Chapter 2</w:t>
        </w:r>
      </w:hyperlink>
      <w:r>
        <w:t xml:space="preserve">, </w:t>
      </w:r>
      <w:hyperlink w:anchor="sec_2_5" w:history="1">
        <w:r>
          <w:rPr>
            <w:rStyle w:val="Hyperlink"/>
          </w:rPr>
          <w:t xml:space="preserve">Section 2.5</w:t>
        </w:r>
      </w:hyperlink>
      <w:r>
        <w:t xml:space="preserve">,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w:t>
      </w:r>
      <w:hyperlink w:anchor="sec_3_7" w:history="1">
        <w:r>
          <w:rPr>
            <w:rStyle w:val="Hyperlink"/>
          </w:rPr>
          <w:t xml:space="preserve">Section 3.7</w:t>
        </w:r>
      </w:hyperlink>
      <w:r>
        <w:t xml:space="preserve"> and revisited in Chapter 6.</w:t>
      </w:r>
    </w:p>
    <w:bookmarkEnd w:id="53"/>
    <w:bookmarkStart w:id="54" w:name="formal-modelling-methodology"/>
    <w:p>
      <w:pPr>
        <w:pStyle w:val="Heading2"/>
      </w:pPr>
      <w:bookmarkStart w:id="1038" w:name="sec_3_4"/>
      <w:r>
        <w:t xml:space="preserve">3.4 Formal-Modelling Methodology</w:t>
      </w:r>
      <w:bookmarkEnd w:id="1038"/>
    </w:p>
    <w:p>
      <w:pPr>
        <w:pStyle w:val="FirstParagraph"/>
      </w:pPr>
      <w:r>
        <w:t xml:space="preserve">This section states how the TRF Model is constructed. The model itself, with its full notation, propositions, and proofs, is developed in </w:t>
      </w:r>
      <w:hyperlink w:anchor="ch_4" w:history="1">
        <w:r>
          <w:rPr>
            <w:rStyle w:val="Hyperlink"/>
          </w:rPr>
          <w:t xml:space="preserve">Chapter 4</w:t>
        </w:r>
      </w:hyperlink>
      <w:r>
        <w:t xml:space="preserve">;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w:t>
      </w:r>
      <w:hyperlink w:anchor="sec_3_7" w:history="1">
        <w:r>
          <w:rPr>
            <w:rStyle w:val="Hyperlink"/>
          </w:rPr>
          <w:t xml:space="preserve">Section 3.7</w:t>
        </w:r>
      </w:hyperlink>
      <w:r>
        <w:t xml:space="preserve">).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w:t>
      </w:r>
      <w:hyperlink w:anchor="sec_3_7" w:history="1">
        <w:r>
          <w:rPr>
            <w:rStyle w:val="Hyperlink"/>
          </w:rPr>
          <w:t xml:space="preserve">Section 3.7</w:t>
        </w:r>
      </w:hyperlink>
      <w:r>
        <w:t xml:space="preserve">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w:t>
      </w:r>
      <w:hyperlink w:anchor="sec_3_6" w:history="1">
        <w:r>
          <w:rPr>
            <w:rStyle w:val="Hyperlink"/>
          </w:rPr>
          <w:t xml:space="preserve">Section 3.6</w:t>
        </w:r>
      </w:hyperlink>
      <w:r>
        <w:t xml:space="preserve">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4"/>
    <w:bookmarkStart w:id="55" w:name="synthetic-data"/>
    <w:p>
      <w:pPr>
        <w:pStyle w:val="Heading2"/>
      </w:pPr>
      <w:bookmarkStart w:id="1039" w:name="sec_3_5"/>
      <w:r>
        <w:t xml:space="preserve">3.5 Synthetic Data</w:t>
      </w:r>
      <w:bookmarkEnd w:id="1039"/>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w:t>
      </w:r>
      <w:hyperlink w:anchor="ch_4" w:history="1">
        <w:r>
          <w:rPr>
            <w:rStyle w:val="Hyperlink"/>
          </w:rPr>
          <w:t xml:space="preserve">Chapter 4</w:t>
        </w:r>
      </w:hyperlink>
      <w:r>
        <w:t xml:space="preserve">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w:t>
      </w:r>
      <w:hyperlink w:anchor="ch_5" w:history="1">
        <w:r>
          <w:rPr>
            <w:rStyle w:val="Hyperlink"/>
          </w:rPr>
          <w:t xml:space="preserve">Chapter 5</w:t>
        </w:r>
      </w:hyperlink>
      <w:r>
        <w:t xml:space="preserve">, and is restated there.</w:t>
      </w:r>
    </w:p>
    <w:bookmarkEnd w:id="55"/>
    <w:bookmarkStart w:id="56" w:name="sandbox-implementation-approach"/>
    <w:p>
      <w:pPr>
        <w:pStyle w:val="Heading2"/>
      </w:pPr>
      <w:bookmarkStart w:id="1040" w:name="sec_3_6"/>
      <w:r>
        <w:t xml:space="preserve">3.6 Sandbox Implementation Approach</w:t>
      </w:r>
      <w:bookmarkEnd w:id="1040"/>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w:t>
      </w:r>
      <w:hyperlink w:anchor="tbl_5_1" w:history="1">
        <w:r>
          <w:rPr>
            <w:rStyle w:val="Hyperlink"/>
          </w:rPr>
          <w:t xml:space="preserve">Table 5.1</w:t>
        </w:r>
      </w:hyperlink>
      <w:r>
        <w:t xml:space="preserve">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w:t>
      </w:r>
      <w:hyperlink w:anchor="tbl_5_1" w:history="1">
        <w:r>
          <w:rPr>
            <w:rStyle w:val="Hyperlink"/>
          </w:rPr>
          <w:t xml:space="preserve">Table 5.1</w:t>
        </w:r>
      </w:hyperlink>
      <w:r>
        <w:t xml:space="preserve">)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w:t>
      </w:r>
      <w:hyperlink w:anchor="ch_2" w:history="1">
        <w:r>
          <w:rPr>
            <w:rStyle w:val="Hyperlink"/>
          </w:rPr>
          <w:t xml:space="preserve">Chapter 2</w:t>
        </w:r>
      </w:hyperlink>
      <w:r>
        <w:t xml:space="preserve">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This is a robustness measure rather than a component of the contribution.</w:t>
      </w:r>
    </w:p>
    <w:p>
      <w:pPr>
        <w:pStyle w:val="BodyText"/>
      </w:pPr>
      <w:r>
        <w:t xml:space="preserve">What the sandbox does not do bounds what </w:t>
      </w:r>
      <w:hyperlink w:anchor="ch_5" w:history="1">
        <w:r>
          <w:rPr>
            <w:rStyle w:val="Hyperlink"/>
          </w:rPr>
          <w:t xml:space="preserve">Chapter 5</w:t>
        </w:r>
      </w:hyperlink>
      <w:r>
        <w:t xml:space="preserve">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56"/>
    <w:bookmarkStart w:id="57" w:name="validity-reliability-and-limitations"/>
    <w:p>
      <w:pPr>
        <w:pStyle w:val="Heading2"/>
      </w:pPr>
      <w:bookmarkStart w:id="1041" w:name="sec_3_7"/>
      <w:r>
        <w:t xml:space="preserve">3.7 Validity, Reliability, and Limitations</w:t>
      </w:r>
      <w:bookmarkEnd w:id="1041"/>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w:t>
      </w:r>
      <w:hyperlink w:anchor="ch_4" w:history="1">
        <w:r>
          <w:rPr>
            <w:rStyle w:val="Hyperlink"/>
          </w:rPr>
          <w:t xml:space="preserve">Chapter 4</w:t>
        </w:r>
      </w:hyperlink>
      <w:r>
        <w:t xml:space="preserve"> is in fact the witness the feasibility result requires. This is assessed by argument and by the executable check of </w:t>
      </w:r>
      <w:hyperlink w:anchor="sec_3_6" w:history="1">
        <w:r>
          <w:rPr>
            <w:rStyle w:val="Hyperlink"/>
          </w:rPr>
          <w:t xml:space="preserve">Section 3.6</w:t>
        </w:r>
      </w:hyperlink>
      <w:r>
        <w:t xml:space="preserve">,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w:t>
      </w:r>
      <w:hyperlink w:anchor="tbl_4_1" w:history="1">
        <w:r>
          <w:rPr>
            <w:rStyle w:val="Hyperlink"/>
          </w:rPr>
          <w:t xml:space="preserve">Table 4.1</w:t>
        </w:r>
      </w:hyperlink>
      <w:r>
        <w:t xml:space="preserve">,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w:t>
      </w:r>
      <w:hyperlink w:anchor="sec_3_3" w:history="1">
        <w:r>
          <w:rPr>
            <w:rStyle w:val="Hyperlink"/>
          </w:rPr>
          <w:t xml:space="preserve">Section 3.3</w:t>
        </w:r>
      </w:hyperlink>
      <w:r>
        <w:t xml:space="preserve">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w:t>
      </w:r>
      <w:hyperlink w:anchor="ch_2" w:history="1">
        <w:r>
          <w:rPr>
            <w:rStyle w:val="Hyperlink"/>
          </w:rPr>
          <w:t xml:space="preserve">Chapter 2</w:t>
        </w:r>
      </w:hyperlink>
      <w:r>
        <w:t xml:space="preserve">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w:t>
      </w:r>
      <w:hyperlink w:anchor="ch_6" w:history="1">
        <w:r>
          <w:rPr>
            <w:rStyle w:val="Hyperlink"/>
          </w:rPr>
          <w:t xml:space="preserve">Chapter 6</w:t>
        </w:r>
      </w:hyperlink>
      <w:r>
        <w:t xml:space="preserve">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the critique and </w:t>
      </w:r>
      <w:hyperlink w:anchor="sec_6_5" w:history="1">
        <w:r>
          <w:rPr>
            <w:rStyle w:val="Hyperlink"/>
          </w:rPr>
          <w:t xml:space="preserve">Section 6.5</w:t>
        </w:r>
      </w:hyperlink>
      <w:r>
        <w:t xml:space="preserve">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confronts both and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w:t>
      </w:r>
      <w:hyperlink w:anchor="ch_5" w:history="1">
        <w:r>
          <w:rPr>
            <w:rStyle w:val="Hyperlink"/>
          </w:rPr>
          <w:t xml:space="preserve">Chapter 5</w:t>
        </w:r>
      </w:hyperlink>
      <w:r>
        <w:t xml:space="preserve">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57"/>
    <w:bookmarkStart w:id="58" w:name="evaluation-design-for-the-next-cycle"/>
    <w:p>
      <w:pPr>
        <w:pStyle w:val="Heading2"/>
      </w:pPr>
      <w:bookmarkStart w:id="1042" w:name="sec_3_8"/>
      <w:r>
        <w:t xml:space="preserve">3.8 Evaluation Design for the Next Cycle</w:t>
      </w:r>
      <w:bookmarkEnd w:id="1042"/>
    </w:p>
    <w:p>
      <w:pPr>
        <w:pStyle w:val="FirstParagraph"/>
      </w:pPr>
      <w:r>
        <w:t xml:space="preserve">The evaluation reported in this thesis is analytical, as </w:t>
      </w:r>
      <w:hyperlink w:anchor="sec_3_7" w:history="1">
        <w:r>
          <w:rPr>
            <w:rStyle w:val="Hyperlink"/>
          </w:rPr>
          <w:t xml:space="preserve">Section 3.7</w:t>
        </w:r>
      </w:hyperlink>
      <w:r>
        <w:t xml:space="preserve">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of </w:t>
      </w:r>
      <w:hyperlink w:anchor="sec_3_9" w:history="1">
        <w:r>
          <w:rPr>
            <w:rStyle w:val="Hyperlink"/>
          </w:rPr>
          <w:t xml:space="preserve">Section 3.9</w:t>
        </w:r>
      </w:hyperlink>
      <w:r>
        <w:t xml:space="preserve"> below, and of the Declaration of Originality, each of which states that this research involves no human participants. Those statements are accurate for the thesis as submitted.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carries execution of this instrument as the immediate next step in the research programme.</w:t>
      </w:r>
    </w:p>
    <w:bookmarkEnd w:id="58"/>
    <w:bookmarkStart w:id="59" w:name="ethical-considerations"/>
    <w:p>
      <w:pPr>
        <w:pStyle w:val="Heading2"/>
      </w:pPr>
      <w:bookmarkStart w:id="1043" w:name="sec_3_9"/>
      <w:r>
        <w:t xml:space="preserve">3.9 Ethical Considerations</w:t>
      </w:r>
      <w:bookmarkEnd w:id="1043"/>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are described as future work and never as achievements.</w:t>
      </w:r>
    </w:p>
    <w:p>
      <w:pPr>
        <w:pStyle w:val="BodyText"/>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bookmarkEnd w:id="59"/>
    <w:bookmarkEnd w:id="60"/>
    <w:bookmarkStart w:id="73" w:name="X2971a2bc3f1973506a5daa95b277d527922fc52"/>
    <w:p>
      <w:pPr>
        <w:pStyle w:val="Heading1"/>
      </w:pPr>
      <w:bookmarkStart w:id="1044" w:name="ch_4"/>
      <w:r>
        <w:t xml:space="preserve">Chapter 4. The Tri-Lateral Retention Feasibility Model and the Crypto-Erasure by Invalidation Mechanism</w:t>
      </w:r>
      <w:bookmarkEnd w:id="1044"/>
    </w:p>
    <w:p>
      <w:pPr>
        <w:pStyle w:val="FirstParagraph"/>
      </w:pPr>
      <w:r>
        <w:rPr>
          <w:iCs/>
          <w:i/>
        </w:rPr>
        <w:t xml:space="preserve">Proposition statements and proofs in this chapter are the author’s own. Regulatory claims are anchored to the primary instruments cited at each point.</w:t>
      </w:r>
    </w:p>
    <w:bookmarkStart w:id="61" w:name="purpose-and-structure-of-the-chapter"/>
    <w:p>
      <w:pPr>
        <w:pStyle w:val="Heading2"/>
      </w:pPr>
      <w:bookmarkStart w:id="1045" w:name="sec_4_1"/>
      <w:r>
        <w:t xml:space="preserve">4.1 Purpose and Structure of the Chapter</w:t>
      </w:r>
      <w:bookmarkEnd w:id="1045"/>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an audit log may happen to retain. This is the necessity analysis begun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w:t>
      </w:r>
      <w:hyperlink w:anchor="sec_4_2" w:history="1">
        <w:r>
          <w:rPr>
            <w:rStyle w:val="Hyperlink"/>
          </w:rPr>
          <w:t xml:space="preserve">Section 4.2</w:t>
        </w:r>
      </w:hyperlink>
      <w:r>
        <w:t xml:space="preserve"> documents that translation claim by claim rather than asserting it.</w:t>
      </w:r>
    </w:p>
    <w:bookmarkEnd w:id="61"/>
    <w:bookmarkStart w:id="62" w:name="Xffef421608dbde39858ce0190b0b9b95157db9d"/>
    <w:p>
      <w:pPr>
        <w:pStyle w:val="Heading2"/>
      </w:pPr>
      <w:bookmarkStart w:id="1046" w:name="sec_4_2"/>
      <w:r>
        <w:t xml:space="preserve">4.2 What Must Be Retained: The Necessity Analysis</w:t>
      </w:r>
      <w:bookmarkEnd w:id="1046"/>
    </w:p>
    <w:p>
      <w:pPr>
        <w:pStyle w:val="FirstParagraph"/>
      </w:pPr>
      <w:r>
        <w:t xml:space="preserve">The decomposition that makes the model possible is not a modelling convenience. It is derived from the legal position established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w:t>
      </w:r>
      <w:hyperlink w:anchor="sec_4_9" w:history="1">
        <w:r>
          <w:rPr>
            <w:rStyle w:val="Hyperlink"/>
          </w:rPr>
          <w:t xml:space="preserve">Section 4.9</w:t>
        </w:r>
      </w:hyperlink>
      <w:r>
        <w:t xml:space="preserve">.</w:t>
      </w:r>
    </w:p>
    <w:bookmarkEnd w:id="62"/>
    <w:bookmarkStart w:id="63" w:name="the-model-objects-and-notation"/>
    <w:p>
      <w:pPr>
        <w:pStyle w:val="Heading2"/>
      </w:pPr>
      <w:bookmarkStart w:id="1047" w:name="sec_4_3"/>
      <w:r>
        <w:t xml:space="preserve">4.3 The Model: Objects and Notation</w:t>
      </w:r>
      <w:bookmarkEnd w:id="1047"/>
    </w:p>
    <w:p>
      <w:pPr>
        <w:pStyle w:val="FirstParagraph"/>
      </w:pPr>
      <w:r>
        <w:t xml:space="preserve">Let the time domain be discretised into months, indexed by</w:t>
      </w:r>
      <w:r>
        <w:t xml:space="preserve"> </w:t>
      </w:r>
      <m:oMath>
        <m:r>
          <m:t>t</m:t>
        </m:r>
        <m:r>
          <m:rPr>
            <m:sty m:val="p"/>
          </m:rPr>
          <m:t>∈</m:t>
        </m:r>
        <m:r>
          <m:rPr>
            <m:scr m:val="double-struck"/>
            <m:sty m:val="p"/>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sepChr m:val=""/>
              <m:endChr m:val=")"/>
              <m:grow/>
            </m:dPr>
            <m:e>
              <m:r>
                <m:t> </m:t>
              </m:r>
              <m:r>
                <m:t>m</m:t>
              </m:r>
              <m:d>
                <m:dPr>
                  <m:begChr m:val="("/>
                  <m:sepChr m:val=""/>
                  <m:endChr m:val=")"/>
                  <m:grow/>
                </m:dPr>
                <m:e>
                  <m:r>
                    <m:t>a</m:t>
                  </m:r>
                </m:e>
              </m:d>
              <m:r>
                <m:rPr>
                  <m:sty m:val="p"/>
                </m:rPr>
                <m:t>,</m:t>
              </m:r>
              <m:r>
                <m:t> </m:t>
              </m:r>
              <m:r>
                <m:t>p</m:t>
              </m:r>
              <m:d>
                <m:dPr>
                  <m:begChr m:val="("/>
                  <m:sepChr m:val=""/>
                  <m:endChr m:val=")"/>
                  <m:grow/>
                </m:dPr>
                <m:e>
                  <m:r>
                    <m:t>a</m:t>
                  </m:r>
                </m:e>
              </m:d>
              <m:r>
                <m:rPr>
                  <m:sty m:val="p"/>
                </m:rPr>
                <m:t>,</m:t>
              </m:r>
              <m:r>
                <m:t> </m:t>
              </m:r>
              <m:r>
                <m:t>c</m:t>
              </m:r>
              <m:d>
                <m:dPr>
                  <m:begChr m:val="("/>
                  <m:sepChr m:val=""/>
                  <m:endChr m:val=")"/>
                  <m:grow/>
                </m:dPr>
                <m:e>
                  <m:r>
                    <m:t>a</m:t>
                  </m:r>
                </m:e>
              </m:d>
              <m:r>
                <m:rPr>
                  <m:sty m:val="p"/>
                </m:rPr>
                <m:t>,</m:t>
              </m:r>
              <m:r>
                <m:t> </m:t>
              </m:r>
              <m:r>
                <m:t>k</m:t>
              </m:r>
              <m:d>
                <m:dPr>
                  <m:begChr m:val="("/>
                  <m:sepChr m:val=""/>
                  <m:endChr m:val=")"/>
                  <m:grow/>
                </m:dPr>
                <m:e>
                  <m:r>
                    <m:t>a</m:t>
                  </m:r>
                </m:e>
              </m:d>
              <m:r>
                <m:rPr>
                  <m:sty m:val="p"/>
                </m:rPr>
                <m:t>,</m:t>
              </m:r>
              <m:r>
                <m:t> </m:t>
              </m:r>
              <m:r>
                <m:t>t</m:t>
              </m:r>
              <m:d>
                <m:dPr>
                  <m:begChr m:val="("/>
                  <m:sepChr m:val=""/>
                  <m:endChr m:val=")"/>
                  <m:grow/>
                </m:dPr>
                <m:e>
                  <m:r>
                    <m:t>a</m:t>
                  </m:r>
                </m:e>
              </m:d>
              <m:r>
                <m:rPr>
                  <m:sty m:val="p"/>
                </m:rPr>
                <m:t>,</m:t>
              </m:r>
              <m:r>
                <m:t> </m:t>
              </m:r>
              <m:r>
                <m:t>F</m:t>
              </m:r>
              <m:d>
                <m:dPr>
                  <m:begChr m:val="("/>
                  <m:sepChr m:val=""/>
                  <m:endChr m:val=")"/>
                  <m:grow/>
                </m:dPr>
                <m:e>
                  <m:r>
                    <m:t>a</m:t>
                  </m:r>
                </m:e>
              </m:d>
              <m:r>
                <m:rPr>
                  <m:sty m:val="p"/>
                </m:rPr>
                <m:t>,</m:t>
              </m:r>
              <m:r>
                <m:t> </m:t>
              </m:r>
              <m:r>
                <m:t>σ</m:t>
              </m:r>
              <m:d>
                <m:dPr>
                  <m:begChr m:val="("/>
                  <m:sepChr m:val=""/>
                  <m:endChr m:val=")"/>
                  <m:grow/>
                </m:dPr>
                <m:e>
                  <m:r>
                    <m:t>a</m:t>
                  </m:r>
                </m:e>
              </m:d>
              <m:r>
                <m:t> </m:t>
              </m:r>
            </m:e>
          </m:d>
        </m:oMath>
      </m:oMathPara>
    </w:p>
    <w:p>
      <w:pPr>
        <w:pStyle w:val="FirstParagraph"/>
      </w:pPr>
      <w:r>
        <w:t xml:space="preserve">where:</w:t>
      </w:r>
    </w:p>
    <w:p>
      <w:pPr>
        <w:pStyle w:val="Compact"/>
        <w:numPr>
          <w:ilvl w:val="0"/>
          <w:numId w:val="1001"/>
        </w:numPr>
      </w:pPr>
      <m:oMath>
        <m:r>
          <m:t>m</m:t>
        </m:r>
        <m:d>
          <m:dPr>
            <m:begChr m:val="("/>
            <m:sepChr m:val=""/>
            <m:end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sepChr m:val=""/>
            <m:endChr m:val=")"/>
            <m:grow/>
          </m:dPr>
          <m:e>
            <m:r>
              <m:t>a</m:t>
            </m:r>
          </m:e>
        </m:d>
        <m:r>
          <m:rPr>
            <m:sty m:val="p"/>
          </m:rPr>
          <m:t>=</m:t>
        </m:r>
        <m:sSub>
          <m:e>
            <m:r>
              <m:t>m</m:t>
            </m:r>
          </m:e>
          <m:sub>
            <m:r>
              <m:t>a</m:t>
            </m:r>
            <m:r>
              <m:t>c</m:t>
            </m:r>
            <m:r>
              <m:t>c</m:t>
            </m:r>
          </m:sub>
        </m:sSub>
        <m:d>
          <m:dPr>
            <m:begChr m:val="("/>
            <m:sepChr m:val=""/>
            <m:endChr m:val=")"/>
            <m:grow/>
          </m:dPr>
          <m:e>
            <m:r>
              <m:t>a</m:t>
            </m:r>
          </m:e>
        </m:d>
        <m:r>
          <m:rPr>
            <m:sty m:val="p"/>
          </m:rPr>
          <m:t>∪</m:t>
        </m:r>
        <m:sSub>
          <m:e>
            <m:r>
              <m:t>m</m:t>
            </m:r>
          </m:e>
          <m:sub>
            <m:r>
              <m:t>s</m:t>
            </m:r>
            <m:r>
              <m:t>u</m:t>
            </m:r>
            <m:r>
              <m:t>b</m:t>
            </m:r>
            <m:r>
              <m:t>j</m:t>
            </m:r>
          </m:sub>
        </m:sSub>
        <m:d>
          <m:dPr>
            <m:begChr m:val="("/>
            <m:sepChr m:val=""/>
            <m:end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sepChr m:val=""/>
            <m:end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relate the event to a data subject: the patient pseudonym and any reference to that subject’s records. The partition does work only in the Secure Processing Environment case (</w:t>
      </w:r>
      <w:hyperlink w:anchor="sec_4_6" w:history="1">
        <w:r>
          <w:rPr>
            <w:rStyle w:val="Hyperlink"/>
          </w:rPr>
          <w:t xml:space="preserve">Section 4.6</w:t>
        </w:r>
      </w:hyperlink>
      <w:r>
        <w:t xml:space="preserve">).</w:t>
      </w:r>
    </w:p>
    <w:p>
      <w:pPr>
        <w:pStyle w:val="Compact"/>
        <w:numPr>
          <w:ilvl w:val="0"/>
          <w:numId w:val="1001"/>
        </w:numPr>
      </w:pPr>
      <m:oMath>
        <m:r>
          <m:t>p</m:t>
        </m:r>
        <m:d>
          <m:dPr>
            <m:begChr m:val="("/>
            <m:sepChr m:val=""/>
            <m:end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w:t>
      </w:r>
      <w:hyperlink w:anchor="sec_4_2" w:history="1">
        <w:r>
          <w:rPr>
            <w:rStyle w:val="Hyperlink"/>
          </w:rPr>
          <w:t xml:space="preserve">Section 4.2</w:t>
        </w:r>
      </w:hyperlink>
      <w:r>
        <w:t xml:space="preserve">).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w:t>
      </w:r>
      <w:r>
        <w:t xml:space="preserve"> </w:t>
      </w:r>
      <w:r>
        <w:t xml:space="preserve">“</w:t>
      </w:r>
      <w:r>
        <w:t xml:space="preserve">access to electronic health data</w:t>
      </w:r>
      <w:r>
        <w:t xml:space="preserve">”</w:t>
      </w:r>
      <w:r>
        <w:t xml:space="preserve"> </w:t>
      </w:r>
      <w:r>
        <w:t xml:space="preserve">and</w:t>
      </w:r>
      <w:r>
        <w:t xml:space="preserve"> </w:t>
      </w:r>
      <w:r>
        <w:t xml:space="preserve">“</w:t>
      </w:r>
      <w:r>
        <w:t xml:space="preserve">data import, export, or release of outputs</w:t>
      </w:r>
      <w:r>
        <w:t xml:space="preserve">”</w:t>
      </w:r>
      <w:r>
        <w:t xml:space="preserve"> </w:t>
      </w:r>
      <w:r>
        <w:t xml:space="preserve">and fixes no fields (TEHDAS2, 2026, Table 5.4, OPR-17, p. 51); whatever an environment records under those headings beyond the accessor fields is</w:t>
      </w:r>
      <w:r>
        <w:t xml:space="preserve"> </w:t>
      </w:r>
      <m:oMath>
        <m:r>
          <m:t>p</m:t>
        </m:r>
        <m:d>
          <m:dPr>
            <m:begChr m:val="("/>
            <m:sepChr m:val=""/>
            <m:endChr m:val=")"/>
            <m:grow/>
          </m:dPr>
          <m:e>
            <m:r>
              <m:t>a</m:t>
            </m:r>
          </m:e>
        </m:d>
      </m:oMath>
      <w:r>
        <w:t xml:space="preserve">. The model does not require</w:t>
      </w:r>
      <w:r>
        <w:t xml:space="preserve"> </w:t>
      </w:r>
      <m:oMath>
        <m:r>
          <m:t>p</m:t>
        </m:r>
        <m:d>
          <m:dPr>
            <m:begChr m:val="("/>
            <m:sepChr m:val=""/>
            <m:endChr m:val=")"/>
            <m:grow/>
          </m:dPr>
          <m:e>
            <m:r>
              <m:t>a</m:t>
            </m:r>
          </m:e>
        </m:d>
      </m:oMath>
      <w:r>
        <w:t xml:space="preserve"> </w:t>
      </w:r>
      <w:r>
        <w:t xml:space="preserve">to be a clinical document, only personal data that the accountability purpose does not need.</w:t>
      </w:r>
    </w:p>
    <w:p>
      <w:pPr>
        <w:pStyle w:val="Compact"/>
        <w:numPr>
          <w:ilvl w:val="0"/>
          <w:numId w:val="1001"/>
        </w:numPr>
      </w:pPr>
      <m:oMath>
        <m:r>
          <m:t>c</m:t>
        </m:r>
        <m:d>
          <m:dPr>
            <m:begChr m:val="("/>
            <m:sepChr m:val=""/>
            <m:end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where</w:t>
      </w:r>
      <w:r>
        <w:t xml:space="preserve"> </w:t>
      </w:r>
      <m:oMath>
        <m:r>
          <m:t>r</m:t>
        </m:r>
        <m:d>
          <m:dPr>
            <m:begChr m:val="("/>
            <m:sepChr m:val=""/>
            <m:end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w:t>
      </w:r>
      <w:hyperlink w:anchor="sec_4_9" w:history="1">
        <w:r>
          <w:rPr>
            <w:rStyle w:val="Hyperlink"/>
          </w:rPr>
          <w:t xml:space="preserve">Section 4.9</w:t>
        </w:r>
      </w:hyperlink>
      <w:r>
        <w:t xml:space="preserve"> and is not optional.</w:t>
      </w:r>
    </w:p>
    <w:p>
      <w:pPr>
        <w:pStyle w:val="Compact"/>
        <w:numPr>
          <w:ilvl w:val="0"/>
          <w:numId w:val="1001"/>
        </w:numPr>
      </w:pPr>
      <m:oMath>
        <m:r>
          <m:t>k</m:t>
        </m:r>
        <m:d>
          <m:dPr>
            <m:begChr m:val="("/>
            <m:sepChr m:val=""/>
            <m:end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sepChr m:val=""/>
            <m:endChr m:val=")"/>
            <m:grow/>
          </m:dPr>
          <m:e>
            <m:r>
              <m:t>a</m:t>
            </m:r>
          </m:e>
        </m:d>
      </m:oMath>
      <w:r>
        <w:t xml:space="preserve"> </w:t>
      </w:r>
      <w:r>
        <w:t xml:space="preserve">is stored.</w:t>
      </w:r>
    </w:p>
    <w:p>
      <w:pPr>
        <w:pStyle w:val="Compact"/>
        <w:numPr>
          <w:ilvl w:val="0"/>
          <w:numId w:val="1001"/>
        </w:numPr>
      </w:pPr>
      <m:oMath>
        <m:r>
          <m:t>t</m:t>
        </m:r>
        <m:d>
          <m:dPr>
            <m:begChr m:val="("/>
            <m:sepChr m:val=""/>
            <m:endChr m:val=")"/>
            <m:grow/>
          </m:dPr>
          <m:e>
            <m:r>
              <m:t>a</m:t>
            </m:r>
          </m:e>
        </m:d>
      </m:oMath>
      <w:r>
        <w:t xml:space="preserve"> </w:t>
      </w:r>
      <w:r>
        <w:t xml:space="preserve">is the month in which the access event occurred.</w:t>
      </w:r>
    </w:p>
    <w:p>
      <w:pPr>
        <w:pStyle w:val="Compact"/>
        <w:numPr>
          <w:ilvl w:val="0"/>
          <w:numId w:val="1001"/>
        </w:numPr>
      </w:pPr>
      <m:oMath>
        <m:r>
          <m:t>F</m:t>
        </m:r>
        <m:d>
          <m:dPr>
            <m:begChr m:val="("/>
            <m:sepChr m:val=""/>
            <m:endChr m:val=")"/>
            <m:grow/>
          </m:dPr>
          <m:e>
            <m:r>
              <m:t>a</m:t>
            </m:r>
          </m:e>
        </m:d>
        <m:r>
          <m:rPr>
            <m:sty m:val="p"/>
          </m:rPr>
          <m:t>∈</m:t>
        </m:r>
        <m:r>
          <m:rPr>
            <m:scr m:val="double-struck"/>
            <m:sty m:val="p"/>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pStyle w:val="Compact"/>
        <w:numPr>
          <w:ilvl w:val="0"/>
          <w:numId w:val="1001"/>
        </w:numPr>
      </w:pPr>
      <m:oMath>
        <m:r>
          <m:t>σ</m:t>
        </m:r>
        <m:d>
          <m:dPr>
            <m:begChr m:val="("/>
            <m:sepChr m:val=""/>
            <m:endChr m:val=")"/>
            <m:grow/>
          </m:dPr>
          <m:e>
            <m:r>
              <m:t>a</m:t>
            </m:r>
          </m:e>
        </m:d>
        <m:r>
          <m:rPr>
            <m:sty m:val="p"/>
          </m:rPr>
          <m:t>∈</m:t>
        </m:r>
        <m:r>
          <m:rPr>
            <m:sty m:val="p"/>
          </m:rPr>
          <m:t>{</m:t>
        </m:r>
        <m:r>
          <m:rPr>
            <m:nor/>
          </m:rPr>
          <m:t>primary</m:t>
        </m:r>
        <m:r>
          <m:rPr>
            <m:sty m:val="p"/>
          </m:rPr>
          <m:t>,</m:t>
        </m:r>
        <m:r>
          <m:rPr>
            <m:nor/>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sets out the correspondence. In the present setting it takes two values:</w:t>
      </w:r>
    </w:p>
    <w:p>
      <w:pPr>
        <w:pStyle w:val="Compact"/>
        <w:numPr>
          <w:ilvl w:val="0"/>
          <w:numId w:val="1002"/>
        </w:numPr>
      </w:pPr>
      <m:oMath>
        <m:r>
          <m:t>F</m:t>
        </m:r>
        <m:d>
          <m:dPr>
            <m:begChr m:val="("/>
            <m:sepChr m:val=""/>
            <m:end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pStyle w:val="Compact"/>
        <w:numPr>
          <w:ilvl w:val="0"/>
          <w:numId w:val="1002"/>
        </w:numPr>
      </w:pPr>
      <m:oMath>
        <m:r>
          <m:t>F</m:t>
        </m:r>
        <m:d>
          <m:dPr>
            <m:begChr m:val="("/>
            <m:sepChr m:val=""/>
            <m:end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sepChr m:val=""/>
            <m:end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sepChr m:val=""/>
            <m:end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sepChr m:val=""/>
            <m:endChr m:val=")"/>
            <m:grow/>
          </m:dPr>
          <m:e>
            <m:r>
              <m:t>a</m:t>
            </m:r>
          </m:e>
        </m:d>
      </m:oMath>
      <w:r>
        <w:t xml:space="preserve"> </w:t>
      </w:r>
      <w:r>
        <w:t xml:space="preserve">for records with</w:t>
      </w:r>
      <w:r>
        <w:t xml:space="preserve"> </w:t>
      </w:r>
      <m:oMath>
        <m:r>
          <m:t>σ</m:t>
        </m:r>
        <m:d>
          <m:dPr>
            <m:begChr m:val="("/>
            <m:sepChr m:val=""/>
            <m:end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sepChr m:val=""/>
            <m:end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sepChr m:val=""/>
            <m:end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records this as a stated abstraction.</w:t>
      </w:r>
    </w:p>
    <w:p>
      <w:pPr>
        <w:pStyle w:val="BodyText"/>
      </w:pPr>
      <w:r>
        <w:t xml:space="preserve">The Secure Processing Environment case needs one further variable, and only on the reading of Article 68(12) that </w:t>
      </w:r>
      <w:hyperlink w:anchor="sec_4_6" w:history="1">
        <w:r>
          <w:rPr>
            <w:rStyle w:val="Hyperlink"/>
          </w:rPr>
          <w:t xml:space="preserve">Section 4.6</w:t>
        </w:r>
      </w:hyperlink>
      <w:r>
        <w:t xml:space="preserve"> identifies. Let</w:t>
      </w:r>
      <w:r>
        <w:t xml:space="preserve"> </w:t>
      </w:r>
      <m:oMath>
        <m:r>
          <m:t>β</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sepChr m:val=""/>
            <m:end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w:t>
      </w:r>
      <w:hyperlink w:anchor="sec_4_5" w:history="1">
        <w:r>
          <w:rPr>
            <w:rStyle w:val="Hyperlink"/>
          </w:rPr>
          <w:t xml:space="preserve">Section 4.5</w:t>
        </w:r>
      </w:hyperlink>
      <w:r>
        <w:t xml:space="preserve">, and the two competing definitions are what the propositions distinguish.</w:t>
      </w:r>
    </w:p>
    <w:bookmarkEnd w:id="63"/>
    <w:bookmarkStart w:id="64" w:name="the-three-constraints"/>
    <w:p>
      <w:pPr>
        <w:pStyle w:val="Heading2"/>
      </w:pPr>
      <w:bookmarkStart w:id="1048" w:name="sec_4_4"/>
      <w:r>
        <w:t xml:space="preserve">4.4 The Three Constraints</w:t>
      </w:r>
      <w:bookmarkEnd w:id="1048"/>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w:t>
      </w:r>
    </w:p>
    <w:p>
      <w:pPr>
        <w:pStyle w:val="BodyText"/>
      </w:pPr>
      <m:oMathPara>
        <m:oMathParaPr>
          <m:jc m:val="center"/>
        </m:oMathParaPr>
        <m:oMath>
          <m:r>
            <m:t>V</m:t>
          </m:r>
          <m:d>
            <m:dPr>
              <m:begChr m:val="("/>
              <m:sepChr m:val=""/>
              <m:endChr m:val=")"/>
              <m:grow/>
            </m:dPr>
            <m:e>
              <m:r>
                <m:t>a</m:t>
              </m:r>
              <m:r>
                <m:rPr>
                  <m:sty m:val="p"/>
                </m:rPr>
                <m:t>,</m:t>
              </m:r>
              <m:r>
                <m:t>t</m:t>
              </m:r>
            </m:e>
          </m:d>
          <m:r>
            <m:rPr>
              <m:sty m:val="p"/>
            </m:rPr>
            <m:t>=</m:t>
          </m:r>
          <m:r>
            <m:t>1</m:t>
          </m:r>
          <m:r>
            <m:t>  </m:t>
          </m:r>
          <m:r>
            <m:rPr>
              <m:sty m:val="p"/>
            </m:rPr>
            <m:t>∀</m:t>
          </m:r>
          <m:r>
            <m:t> </m:t>
          </m:r>
          <m:r>
            <m:t>t</m:t>
          </m:r>
          <m:r>
            <m:rPr>
              <m:sty m:val="p"/>
            </m:rPr>
            <m:t>∈</m:t>
          </m:r>
          <m:d>
            <m:dPr>
              <m:begChr m:val="["/>
              <m:sepChr m:val=""/>
              <m:endChr m:val="]"/>
              <m:grow/>
            </m:dPr>
            <m:e>
              <m:r>
                <m:t> </m:t>
              </m:r>
              <m:r>
                <m:t>t</m:t>
              </m:r>
              <m:d>
                <m:dPr>
                  <m:begChr m:val="("/>
                  <m:sepChr m:val=""/>
                  <m:endChr m:val=")"/>
                  <m:grow/>
                </m:dPr>
                <m:e>
                  <m:r>
                    <m:t>a</m:t>
                  </m:r>
                </m:e>
              </m:d>
              <m:r>
                <m:rPr>
                  <m:sty m:val="p"/>
                </m:rPr>
                <m:t>,</m:t>
              </m:r>
              <m:r>
                <m:t> </m:t>
              </m:r>
              <m:r>
                <m:t>t</m:t>
              </m:r>
              <m:d>
                <m:dPr>
                  <m:begChr m:val="("/>
                  <m:sepChr m:val=""/>
                  <m:endChr m:val=")"/>
                  <m:grow/>
                </m:dPr>
                <m:e>
                  <m:r>
                    <m:t>a</m:t>
                  </m:r>
                </m:e>
              </m:d>
              <m:r>
                <m:rPr>
                  <m:sty m:val="p"/>
                </m:rPr>
                <m:t>+</m:t>
              </m:r>
              <m:r>
                <m:t>F</m:t>
              </m:r>
              <m:d>
                <m:dPr>
                  <m:begChr m:val="("/>
                  <m:sepChr m:val=""/>
                  <m:end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sepChr m:val=""/>
            <m:end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sepChr m:val=""/>
            <m:end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the eHDSI deployment baseline as reported, an illustrative value,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sepChr m:val=""/>
            <m:end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sepChr m:val=""/>
              <m:end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explains why this affects the frequencies reported in </w:t>
      </w:r>
      <w:hyperlink w:anchor="ch_5" w:history="1">
        <w:r>
          <w:rPr>
            <w:rStyle w:val="Hyperlink"/>
          </w:rPr>
          <w:t xml:space="preserve">Chapter 5</w:t>
        </w:r>
      </w:hyperlink>
      <w:r>
        <w:t xml:space="preserve">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sepChr m:val=""/>
            <m:end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and, where the record’s subject fields are electronic health data within the environment (</w:t>
      </w:r>
      <w:hyperlink w:anchor="sec_4_6" w:history="1">
        <w:r>
          <w:rPr>
            <w:rStyle w:val="Hyperlink"/>
          </w:rPr>
          <w:t xml:space="preserve">Section 4.6</w:t>
        </w:r>
      </w:hyperlink>
      <w:r>
        <w:t xml:space="preserve">),</w:t>
      </w:r>
    </w:p>
    <w:p>
      <w:pPr>
        <w:pStyle w:val="BodyText"/>
      </w:pPr>
      <m:oMathPara>
        <m:oMathParaPr>
          <m:jc m:val="center"/>
        </m:oMathParaPr>
        <m:oMath>
          <m:r>
            <m:t>β</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w:t>
      </w:r>
      <w:hyperlink w:anchor="sec_4_5" w:history="1">
        <w:r>
          <w:rPr>
            <w:rStyle w:val="Hyperlink"/>
          </w:rPr>
          <w:t xml:space="preserve">Section 4.5</w:t>
        </w:r>
      </w:hyperlink>
      <w:r>
        <w:t xml:space="preserve"> makes explicit.</w:t>
      </w:r>
    </w:p>
    <w:bookmarkEnd w:id="64"/>
    <w:bookmarkStart w:id="65" w:name="two-semantics-of-verifiability"/>
    <w:p>
      <w:pPr>
        <w:pStyle w:val="Heading2"/>
      </w:pPr>
      <w:bookmarkStart w:id="1049" w:name="sec_4_5"/>
      <w:r>
        <w:t xml:space="preserve">4.5 Two Semantics of Verifiability</w:t>
      </w:r>
      <w:bookmarkEnd w:id="1049"/>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m:oMathPara>
    </w:p>
    <w:p>
      <w:pPr>
        <w:pStyle w:val="FirstParagraph"/>
      </w:pPr>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How common such logs are is not established here. What is established is that nothing in the instruments rules them out and that the cross-border profile supplies their content, since ITI-55 requires both gateways to record the patient’s demographic query (</w:t>
      </w:r>
      <w:hyperlink w:anchor="sec_4_3" w:history="1">
        <w:r>
          <w:rPr>
            <w:rStyle w:val="Hyperlink"/>
          </w:rPr>
          <w:t xml:space="preserve">Section 4.3</w:t>
        </w:r>
      </w:hyperlink>
      <w:r>
        <w:t xml:space="preserve">). No instrument states this semantics, and none states the alternative.</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sepChr m:val=""/>
              <m:endChr m:val=")"/>
              <m:grow/>
            </m:dPr>
            <m:e>
              <m:r>
                <m:t>a</m:t>
              </m:r>
              <m:r>
                <m:rPr>
                  <m:sty m:val="p"/>
                </m:rPr>
                <m:t>,</m:t>
              </m:r>
              <m:r>
                <m:t>t</m:t>
              </m:r>
            </m:e>
          </m:d>
          <m:r>
            <m:rPr>
              <m:sty m:val="p"/>
            </m:rPr>
            <m:t>=</m:t>
          </m:r>
          <m:r>
            <m:t>1</m:t>
          </m:r>
          <m:r>
            <m:rPr>
              <m:sty m:val="p"/>
            </m:rPr>
            <m:t>⇔</m:t>
          </m:r>
          <m:r>
            <m:rPr>
              <m:nor/>
            </m:rPr>
            <m:t>(i)</m:t>
          </m:r>
          <m:r>
            <m:rPr>
              <m:sty m:val="p"/>
            </m:rPr>
            <m:t>∧</m:t>
          </m:r>
          <m:r>
            <m:rPr>
              <m:nor/>
            </m:rPr>
            <m:t>(ii)</m:t>
          </m:r>
          <m:r>
            <m:rPr>
              <m:sty m:val="p"/>
            </m:rPr>
            <m:t>∧</m:t>
          </m:r>
          <m:r>
            <m:rPr>
              <m:nor/>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sepChr m:val=""/>
            <m:end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sepChr m:val=""/>
            <m:endChr m:val=")"/>
            <m:grow/>
          </m:dPr>
          <m:e>
            <m:r>
              <m:t>a</m:t>
            </m:r>
          </m:e>
        </m:d>
      </m:oMath>
      <w:r>
        <w:t xml:space="preserve"> </w:t>
      </w:r>
      <w:r>
        <w:t xml:space="preserve">unless its removal is recorded under (iii); (ii)</w:t>
      </w:r>
      <w:r>
        <w:t xml:space="preserve"> </w:t>
      </w:r>
      <m:oMath>
        <m:r>
          <m:t>c</m:t>
        </m:r>
        <m:d>
          <m:dPr>
            <m:begChr m:val="("/>
            <m:sepChr m:val=""/>
            <m:endChr m:val=")"/>
            <m:grow/>
          </m:dPr>
          <m:e>
            <m:r>
              <m:t>a</m:t>
            </m:r>
          </m:e>
        </m:d>
      </m:oMath>
      <w:r>
        <w:t xml:space="preserve"> </w:t>
      </w:r>
      <w:r>
        <w:t xml:space="preserve">is present and binding; and (iii) if</w:t>
      </w:r>
      <w:r>
        <w:t xml:space="preserve"> </w:t>
      </w:r>
      <m:oMath>
        <m:r>
          <m:t>α</m:t>
        </m:r>
        <m:d>
          <m:dPr>
            <m:begChr m:val="("/>
            <m:sepChr m:val=""/>
            <m:end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sepChr m:val=""/>
            <m:end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sepChr m:val=""/>
            <m:end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w:t>
      </w:r>
      <w:hyperlink w:anchor="sec_4_10" w:history="1">
        <w:r>
          <w:rPr>
            <w:rStyle w:val="Hyperlink"/>
          </w:rPr>
          <w:t xml:space="preserve">Section 4.10</w:t>
        </w:r>
      </w:hyperlink>
      <w:r>
        <w:t xml:space="preserve"> argues that Semantics II is the better reading of what the instruments require; the propositions below establish what follows from each.</w:t>
      </w:r>
    </w:p>
    <w:bookmarkEnd w:id="65"/>
    <w:bookmarkStart w:id="66" w:name="X92b2126634aa6a7e3b60431749c90a4eaf881bd"/>
    <w:p>
      <w:pPr>
        <w:pStyle w:val="Heading2"/>
      </w:pPr>
      <w:bookmarkStart w:id="1050" w:name="sec_4_6"/>
      <w:r>
        <w:t xml:space="preserve">4.6 Propositions 1 and 3: Infeasibility, and Where the Ceiling Is Anchored</w:t>
      </w:r>
      <w:bookmarkEnd w:id="1050"/>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sepChr m:val=""/>
              <m:endChr m:val=")"/>
              <m:grow/>
            </m:dPr>
            <m:e>
              <m:r>
                <m:t>a</m:t>
              </m:r>
            </m:e>
          </m:d>
          <m:r>
            <m:rPr>
              <m:sty m:val="p"/>
            </m:rPr>
            <m:t>+</m:t>
          </m:r>
          <m:r>
            <m:t>δ</m:t>
          </m:r>
          <m:r>
            <m:rPr>
              <m:sty m:val="p"/>
            </m:rPr>
            <m:t>≤</m:t>
          </m:r>
          <m:r>
            <m:t>t</m:t>
          </m:r>
          <m:d>
            <m:dPr>
              <m:begChr m:val="("/>
              <m:sepChr m:val=""/>
              <m:endChr m:val=")"/>
              <m:grow/>
            </m:dPr>
            <m:e>
              <m:r>
                <m:t>a</m:t>
              </m:r>
            </m:e>
          </m:d>
          <m:r>
            <m:rPr>
              <m:sty m:val="p"/>
            </m:rPr>
            <m:t>+</m:t>
          </m:r>
          <m:r>
            <m:t>F</m:t>
          </m:r>
          <m:d>
            <m:dPr>
              <m:begChr m:val="("/>
              <m:sepChr m:val=""/>
              <m:endChr m:val=")"/>
              <m:grow/>
            </m:dPr>
            <m:e>
              <m:r>
                <m:t>a</m:t>
              </m:r>
            </m:e>
          </m:d>
          <m:r>
            <m:t> </m:t>
          </m:r>
          <m:r>
            <m:rPr>
              <m:nor/>
            </m:rPr>
            <m:t>or</m:t>
          </m:r>
          <m:r>
            <m:t> </m:t>
          </m:r>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F</m:t>
          </m:r>
          <m:d>
            <m:dPr>
              <m:begChr m:val="("/>
              <m:sepChr m:val=""/>
              <m:end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sepChr m:val=""/>
            <m:end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sepChr m:val=""/>
            <m:endChr m:val=")"/>
            <m:grow/>
          </m:dPr>
          <m:e>
            <m:r>
              <m:t>a</m:t>
            </m:r>
          </m:e>
        </m:d>
        <m:r>
          <m:rPr>
            <m:sty m:val="p"/>
          </m:rPr>
          <m:t>+</m:t>
        </m:r>
        <m:r>
          <m:t>F</m:t>
        </m:r>
        <m:d>
          <m:dPr>
            <m:begChr m:val="("/>
            <m:sepChr m:val=""/>
            <m:end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sepChr m:val=""/>
            <m:end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sepChr m:val=""/>
            <m:end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sepChr m:val=""/>
            <m:endChr m:val=")"/>
            <m:grow/>
          </m:dPr>
          <m:e>
            <m:r>
              <m:t>a</m:t>
            </m:r>
            <m:r>
              <m:rPr>
                <m:sty m:val="p"/>
              </m:rPr>
              <m:t>,</m:t>
            </m:r>
            <m:sSup>
              <m:e>
                <m:r>
                  <m:t>t</m:t>
                </m:r>
              </m:e>
              <m:sup>
                <m:r>
                  <m:rPr>
                    <m:sty m:val="p"/>
                  </m:rPr>
                  <m:t>*</m:t>
                </m:r>
              </m:sup>
            </m:sSup>
          </m:e>
        </m:d>
        <m:r>
          <m:rPr>
            <m:sty m:val="p"/>
          </m:rPr>
          <m:t>=</m:t>
        </m:r>
        <m:r>
          <m:t>α</m:t>
        </m:r>
        <m:d>
          <m:dPr>
            <m:begChr m:val="("/>
            <m:sepChr m:val=""/>
            <m:endChr m:val=")"/>
            <m:grow/>
          </m:dPr>
          <m:e>
            <m:r>
              <m:t>a</m:t>
            </m:r>
            <m:r>
              <m:rPr>
                <m:sty m:val="p"/>
              </m:rPr>
              <m:t>,</m:t>
            </m:r>
            <m:sSup>
              <m:e>
                <m:r>
                  <m:t>t</m:t>
                </m:r>
              </m:e>
              <m:sup>
                <m:r>
                  <m:rPr>
                    <m:sty m:val="p"/>
                  </m:rPr>
                  <m:t>*</m:t>
                </m:r>
              </m:sup>
            </m:sSup>
          </m:e>
        </m:d>
      </m:oMath>
      <w:r>
        <w:t xml:space="preserve">, so C1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sepChr m:val=""/>
            <m:end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sepChr m:val=""/>
            <m:end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sepChr m:val=""/>
            <m:endChr m:val=")"/>
            <m:grow/>
          </m:dPr>
          <m:e>
            <m:r>
              <m:t>a</m:t>
            </m:r>
          </m:e>
        </m:d>
        <m:r>
          <m:rPr>
            <m:sty m:val="p"/>
          </m:rPr>
          <m:t>=</m:t>
        </m:r>
        <m:r>
          <m:t>12</m:t>
        </m:r>
      </m:oMath>
      <w:r>
        <w:t xml:space="preserve"> </w:t>
      </w:r>
      <w:r>
        <w:t xml:space="preserve">and</w:t>
      </w:r>
      <w:r>
        <w:t xml:space="preserve"> </w:t>
      </w:r>
      <m:oMath>
        <m:r>
          <m:t>σ</m:t>
        </m:r>
        <m:d>
          <m:dPr>
            <m:begChr m:val="("/>
            <m:sepChr m:val=""/>
            <m:end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w:t>
      </w:r>
      <w:hyperlink w:anchor="sec_4_7" w:history="1">
        <w:r>
          <w:rPr>
            <w:rStyle w:val="Hyperlink"/>
          </w:rPr>
          <w:t xml:space="preserve">Section 4.7</w:t>
        </w:r>
      </w:hyperlink>
      <w:r>
        <w:t xml:space="preserve">). </w:t>
      </w:r>
      <w:hyperlink w:anchor="ch_6" w:history="1">
        <w:r>
          <w:rPr>
            <w:rStyle w:val="Hyperlink"/>
          </w:rPr>
          <w:t xml:space="preserve">Chapter 6</w:t>
        </w:r>
      </w:hyperlink>
      <w:r>
        <w:t xml:space="preserve">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sepChr m:val=""/>
            <m:end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Hence (i) if the ceiling is anchored to the same event as the floor,</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sepChr m:val=""/>
            <m:endChr m:val=")"/>
            <m:grow/>
          </m:dPr>
          <m:e>
            <m:r>
              <m:t>a</m:t>
            </m:r>
          </m:e>
        </m:d>
        <m:r>
          <m:rPr>
            <m:sty m:val="p"/>
          </m:rPr>
          <m:t>−</m:t>
        </m:r>
        <m:r>
          <m:t>t</m:t>
        </m:r>
        <m:d>
          <m:dPr>
            <m:begChr m:val="("/>
            <m:sepChr m:val=""/>
            <m:end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sepChr m:val=""/>
            <m:endChr m:val=")"/>
            <m:grow/>
          </m:dPr>
          <m:e>
            <m:r>
              <m:t>a</m:t>
            </m:r>
          </m:e>
        </m:d>
        <m:r>
          <m:rPr>
            <m:sty m:val="p"/>
          </m:rPr>
          <m:t>+</m:t>
        </m:r>
        <m:r>
          <m:t>F</m:t>
        </m:r>
      </m:oMath>
      <w:r>
        <w:t xml:space="preserve">; the ceiling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sepChr m:val=""/>
            <m:endChr m:val=")"/>
            <m:grow/>
          </m:dPr>
          <m:e>
            <m:r>
              <m:t>a</m:t>
            </m:r>
          </m:e>
        </m:d>
        <m:r>
          <m:rPr>
            <m:sty m:val="p"/>
          </m:rPr>
          <m:t>+</m:t>
        </m:r>
        <m:r>
          <m:t>L</m:t>
        </m:r>
      </m:oMath>
      <w:r>
        <w:t xml:space="preserve">. Since</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oMath>
      <w:r>
        <w:t xml:space="preserve">, some month of the window carries both demands if and only if</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r>
          <m:rPr>
            <m:sty m:val="p"/>
          </m:rPr>
          <m:t>+</m:t>
        </m:r>
        <m:r>
          <m:t>F</m:t>
        </m:r>
      </m:oMath>
      <w:r>
        <w:t xml:space="preserve">. Cases (i) and (ii) substitute</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66"/>
    <w:bookmarkStart w:id="67" w:name="X6dfe5408d6382a293db062cfe2ac490646497a6"/>
    <w:p>
      <w:pPr>
        <w:pStyle w:val="Heading2"/>
      </w:pPr>
      <w:bookmarkStart w:id="1051" w:name="sec_4_7"/>
      <w:r>
        <w:t xml:space="preserve">4.7 Proposition 2: Feasibility under Accountability-Preserving Verifiability</w:t>
      </w:r>
      <w:bookmarkEnd w:id="1051"/>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sepChr m:val=""/>
            <m:end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sepChr m:val=""/>
            <m:endChr m:val=")"/>
            <m:grow/>
          </m:dPr>
          <m:e>
            <m:r>
              <m:t>a</m:t>
            </m:r>
          </m:e>
        </m:d>
        <m:r>
          <m:rPr>
            <m:sty m:val="p"/>
          </m:rPr>
          <m:t>}</m:t>
        </m:r>
      </m:oMath>
      <w:r>
        <w:t xml:space="preserve">, and for every floor parameter</w:t>
      </w:r>
      <w:r>
        <w:t xml:space="preserve"> </w:t>
      </w:r>
      <m:oMath>
        <m:r>
          <m:t>F</m:t>
        </m:r>
        <m:d>
          <m:dPr>
            <m:begChr m:val="("/>
            <m:sepChr m:val=""/>
            <m:endChr m:val=")"/>
            <m:grow/>
          </m:dPr>
          <m:e>
            <m:r>
              <m:t>a</m:t>
            </m:r>
          </m:e>
        </m:d>
        <m:r>
          <m:rPr>
            <m:sty m:val="p"/>
          </m:rPr>
          <m:t>∈</m:t>
        </m:r>
        <m:r>
          <m:rPr>
            <m:scr m:val="double-struck"/>
            <m:sty m:val="p"/>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sepChr m:val=""/>
              <m:endChr m:val=")"/>
              <m:grow/>
            </m:dPr>
            <m:e>
              <m:r>
                <m:t>a</m:t>
              </m:r>
            </m:e>
          </m:d>
          <m:r>
            <m:rPr>
              <m:sty m:val="p"/>
            </m:rPr>
            <m:t>=</m:t>
          </m:r>
          <m:r>
            <m:rPr>
              <m:sty m:val="p"/>
            </m:rPr>
            <m:t>min</m:t>
          </m:r>
          <m:d>
            <m:dPr>
              <m:begChr m:val="("/>
              <m:sepChr m:val=""/>
              <m:endChr m:val=")"/>
              <m:grow/>
            </m:dPr>
            <m:e>
              <m:r>
                <m:t> </m:t>
              </m:r>
              <m:sSub>
                <m:e>
                  <m:r>
                    <m:t>t</m:t>
                  </m:r>
                </m:e>
                <m:sub>
                  <m:r>
                    <m:t>r</m:t>
                  </m:r>
                </m:sub>
              </m:sSub>
              <m:d>
                <m:dPr>
                  <m:begChr m:val="("/>
                  <m:sepChr m:val=""/>
                  <m:endChr m:val=")"/>
                  <m:grow/>
                </m:dPr>
                <m:e>
                  <m:r>
                    <m:t>a</m:t>
                  </m:r>
                </m:e>
              </m:d>
              <m:r>
                <m:rPr>
                  <m:sty m:val="p"/>
                </m:rPr>
                <m:t>+</m:t>
              </m:r>
              <m:r>
                <m:t>δ</m:t>
              </m:r>
              <m:r>
                <m:rPr>
                  <m:sty m:val="p"/>
                </m:rPr>
                <m:t>,</m:t>
              </m:r>
              <m:r>
                <m:t> </m:t>
              </m:r>
              <m:r>
                <m:t> </m:t>
              </m:r>
              <m:sSub>
                <m:e>
                  <m:r>
                    <m:t>t</m:t>
                  </m:r>
                </m:e>
                <m:sub>
                  <m:r>
                    <m:t>π</m:t>
                  </m:r>
                </m:sub>
              </m:sSub>
              <m:d>
                <m:dPr>
                  <m:begChr m:val="("/>
                  <m:sepChr m:val=""/>
                  <m:end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pStyle w:val="Compact"/>
        <w:numPr>
          <w:ilvl w:val="0"/>
          <w:numId w:val="1003"/>
        </w:numPr>
      </w:pPr>
      <w:r>
        <w:t xml:space="preserve">For</w:t>
      </w:r>
      <w:r>
        <w:t xml:space="preserve"> </w:t>
      </w:r>
      <m:oMath>
        <m:r>
          <m:t>t</m:t>
        </m:r>
        <m:r>
          <m:rPr>
            <m:sty m:val="p"/>
          </m:rPr>
          <m:t>&lt;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1</m:t>
        </m:r>
      </m:oMath>
      <w:r>
        <w:t xml:space="preserve">. Retain</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k</m:t>
        </m:r>
        <m:d>
          <m:dPr>
            <m:begChr m:val="("/>
            <m:sepChr m:val=""/>
            <m:endChr m:val=")"/>
            <m:grow/>
          </m:dPr>
          <m:e>
            <m:r>
              <m:t>a</m:t>
            </m:r>
          </m:e>
        </m:d>
      </m:oMath>
      <w:r>
        <w:t xml:space="preserve">, and</w:t>
      </w:r>
      <w:r>
        <w:t xml:space="preserve"> </w:t>
      </w:r>
      <m:oMath>
        <m:r>
          <m:t>p</m:t>
        </m:r>
        <m:d>
          <m:dPr>
            <m:begChr m:val="("/>
            <m:sepChr m:val=""/>
            <m:endChr m:val=")"/>
            <m:grow/>
          </m:dPr>
          <m:e>
            <m:r>
              <m:t>a</m:t>
            </m:r>
          </m:e>
        </m:d>
      </m:oMath>
      <w:r>
        <w:t xml:space="preserve">.</w:t>
      </w:r>
    </w:p>
    <w:p>
      <w:pPr>
        <w:pStyle w:val="Compact"/>
        <w:numPr>
          <w:ilvl w:val="0"/>
          <w:numId w:val="1003"/>
        </w:numPr>
      </w:pPr>
      <w:r>
        <w:t xml:space="preserve">At</w:t>
      </w:r>
      <w:r>
        <w:t xml:space="preserve"> </w:t>
      </w:r>
      <m:oMath>
        <m:r>
          <m:t>t</m:t>
        </m:r>
        <m:r>
          <m:rPr>
            <m:sty m:val="p"/>
          </m:rPr>
          <m:t>=</m:t>
        </m:r>
        <m:sSup>
          <m:e>
            <m:r>
              <m:t>t</m:t>
            </m:r>
          </m:e>
          <m:sup>
            <m:r>
              <m:t>I</m:t>
            </m:r>
          </m:sup>
        </m:sSup>
        <m:d>
          <m:dPr>
            <m:begChr m:val="("/>
            <m:sepChr m:val=""/>
            <m:endChr m:val=")"/>
            <m:grow/>
          </m:dPr>
          <m:e>
            <m:r>
              <m:t>a</m:t>
            </m:r>
          </m:e>
        </m:d>
      </m:oMath>
      <w:r>
        <w:t xml:space="preserve">, if finite: destroy</w:t>
      </w:r>
      <w:r>
        <w:t xml:space="preserve"> </w:t>
      </w:r>
      <m:oMath>
        <m:r>
          <m:t>k</m:t>
        </m:r>
        <m:d>
          <m:dPr>
            <m:begChr m:val="("/>
            <m:sepChr m:val=""/>
            <m:end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sepChr m:val=""/>
            <m:endChr m:val=")"/>
            <m:grow/>
          </m:dPr>
          <m:e>
            <m:r>
              <m:t>a</m:t>
            </m:r>
          </m:e>
        </m:d>
      </m:oMath>
      <w:r>
        <w:t xml:space="preserve"> </w:t>
      </w:r>
      <w:r>
        <w:t xml:space="preserve">as well and set</w:t>
      </w:r>
      <w:r>
        <w:t xml:space="preserve"> </w:t>
      </w:r>
      <m:oMath>
        <m:r>
          <m:t>β</m:t>
        </m:r>
        <m:d>
          <m:dPr>
            <m:begChr m:val="("/>
            <m:sepChr m:val=""/>
            <m:end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sepChr m:val=""/>
            <m:end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sepChr m:val=""/>
            <m:endChr m:val=")"/>
            <m:grow/>
          </m:dPr>
          <m:e>
            <m:r>
              <m:t>a</m:t>
            </m:r>
          </m:e>
        </m:d>
      </m:oMath>
      <w:r>
        <w:t xml:space="preserve"> </w:t>
      </w:r>
      <w:r>
        <w:t xml:space="preserve">and</w:t>
      </w:r>
      <w:r>
        <w:t xml:space="preserve"> </w:t>
      </w:r>
      <m:oMath>
        <m:r>
          <m:t>c</m:t>
        </m:r>
        <m:d>
          <m:dPr>
            <m:begChr m:val="("/>
            <m:sepChr m:val=""/>
            <m:endChr m:val=")"/>
            <m:grow/>
          </m:dPr>
          <m:e>
            <m:r>
              <m:t>a</m:t>
            </m:r>
          </m:e>
        </m:d>
      </m:oMath>
      <w:r>
        <w:t xml:space="preserve"> </w:t>
      </w:r>
      <w:r>
        <w:t xml:space="preserve">unchanged.</w:t>
      </w:r>
    </w:p>
    <w:p>
      <w:pPr>
        <w:pStyle w:val="Compact"/>
        <w:numPr>
          <w:ilvl w:val="0"/>
          <w:numId w:val="1003"/>
        </w:numPr>
      </w:pPr>
      <w:r>
        <w:t xml:space="preserve">For</w:t>
      </w:r>
      <w:r>
        <w:t xml:space="preserve"> </w:t>
      </w:r>
      <m:oMath>
        <m:r>
          <m:t>t</m:t>
        </m:r>
        <m:r>
          <m:rPr>
            <m:sty m:val="p"/>
          </m:rPr>
          <m:t>&gt;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0</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sepChr m:val=""/>
            <m:endChr m:val=")"/>
            <m:grow/>
          </m:dPr>
          <m:e>
            <m:r>
              <m:t>a</m:t>
            </m:r>
          </m:e>
        </m:d>
        <m:r>
          <m:rPr>
            <m:sty m:val="p"/>
          </m:rPr>
          <m:t>,</m:t>
        </m:r>
        <m:r>
          <m:t>c</m:t>
        </m:r>
        <m:d>
          <m:dPr>
            <m:begChr m:val="("/>
            <m:sepChr m:val=""/>
            <m:endChr m:val=")"/>
            <m:grow/>
          </m:dPr>
          <m:e>
            <m:r>
              <m:t>a</m:t>
            </m:r>
          </m:e>
        </m:d>
      </m:oMath>
      <w:r>
        <w:t xml:space="preserve">, and</w:t>
      </w:r>
      <w:r>
        <w:t xml:space="preserve"> </w:t>
      </w:r>
      <m:oMath>
        <m:r>
          <m:t>ι</m:t>
        </m:r>
        <m:d>
          <m:dPr>
            <m:begChr m:val="("/>
            <m:sepChr m:val=""/>
            <m:endChr m:val=")"/>
            <m:grow/>
          </m:dPr>
          <m:e>
            <m:r>
              <m:t>a</m:t>
            </m:r>
          </m:e>
        </m:d>
      </m:oMath>
      <w:r>
        <w:t xml:space="preserve">.</w:t>
      </w:r>
    </w:p>
    <w:p>
      <w:pPr>
        <w:pStyle w:val="Compact"/>
        <w:numPr>
          <w:ilvl w:val="0"/>
          <w:numId w:val="1003"/>
        </w:numPr>
      </w:pPr>
      <w:r>
        <w:t xml:space="preserve">If C3 reaches the subject fields and</w:t>
      </w:r>
      <w:r>
        <w:t xml:space="preserve"> </w:t>
      </w:r>
      <m:oMath>
        <m:sSup>
          <m:e>
            <m:r>
              <m:t>t</m:t>
            </m:r>
          </m:e>
          <m:sup>
            <m:r>
              <m:t>I</m:t>
            </m:r>
          </m:sup>
        </m:sSup>
        <m:d>
          <m:dPr>
            <m:begChr m:val="("/>
            <m:sepChr m:val=""/>
            <m:endChr m:val=")"/>
            <m:grow/>
          </m:dPr>
          <m:e>
            <m:r>
              <m:t>a</m:t>
            </m:r>
          </m:e>
        </m:d>
        <m:r>
          <m:rPr>
            <m:sty m:val="p"/>
          </m:rPr>
          <m:t>&lt;</m:t>
        </m:r>
        <m:sSub>
          <m:e>
            <m:r>
              <m:t>t</m:t>
            </m:r>
          </m:e>
          <m:sub>
            <m:r>
              <m:t>π</m:t>
            </m:r>
          </m:sub>
        </m:sSub>
        <m:d>
          <m:dPr>
            <m:begChr m:val="("/>
            <m:sepChr m:val=""/>
            <m:end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sepChr m:val=""/>
            <m:endChr m:val=")"/>
            <m:grow/>
          </m:dPr>
          <m:e>
            <m:r>
              <m:t>a</m:t>
            </m:r>
          </m:e>
        </m:d>
      </m:oMath>
      <w:r>
        <w:t xml:space="preserve"> </w:t>
      </w:r>
      <w:r>
        <w:t xml:space="preserve">at</w:t>
      </w:r>
      <w:r>
        <w:t xml:space="preserve"> </w:t>
      </w:r>
      <m:oMath>
        <m:sSub>
          <m:e>
            <m:r>
              <m:t>t</m:t>
            </m:r>
          </m:e>
          <m:sub>
            <m:r>
              <m:t>π</m:t>
            </m:r>
          </m:sub>
        </m:sSub>
        <m:d>
          <m:dPr>
            <m:begChr m:val="("/>
            <m:sepChr m:val=""/>
            <m:endChr m:val=")"/>
            <m:grow/>
          </m:dPr>
          <m:e>
            <m:r>
              <m:t>a</m:t>
            </m:r>
          </m:e>
        </m:d>
        <m:r>
          <m:rPr>
            <m:sty m:val="p"/>
          </m:rPr>
          <m:t>+</m:t>
        </m:r>
        <m:r>
          <m:t>6</m:t>
        </m:r>
      </m:oMath>
      <w:r>
        <w:t xml:space="preserve">, set</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sepChr m:val=""/>
            <m:end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r</m:t>
            </m:r>
          </m:sub>
        </m:sSub>
        <m:d>
          <m:dPr>
            <m:begChr m:val="("/>
            <m:sepChr m:val=""/>
            <m:endChr m:val=")"/>
            <m:grow/>
          </m:dPr>
          <m:e>
            <m:r>
              <m:t>a</m:t>
            </m:r>
          </m:e>
        </m:d>
        <m:r>
          <m:rPr>
            <m:sty m:val="p"/>
          </m:rPr>
          <m:t>+</m:t>
        </m:r>
        <m:r>
          <m:t>δ</m:t>
        </m:r>
      </m:oMath>
      <w:r>
        <w:t xml:space="preserve"> </w:t>
      </w:r>
      <w:r>
        <w:t xml:space="preserve">by construction, and by steps 2–3,</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sepChr m:val=""/>
            <m:endChr m:val=")"/>
            <m:grow/>
          </m:dPr>
          <m:e>
            <m:r>
              <m:t>a</m:t>
            </m:r>
          </m:e>
        </m:d>
      </m:oMath>
      <w:r>
        <w:t xml:space="preserve">, hence for all</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 If</w:t>
      </w:r>
      <w:r>
        <w:t xml:space="preserve"> </w:t>
      </w:r>
      <m:oMath>
        <m:sSub>
          <m:e>
            <m:r>
              <m:t>t</m:t>
            </m:r>
          </m:e>
          <m:sub>
            <m:r>
              <m:t>r</m:t>
            </m:r>
          </m:sub>
        </m:sSub>
        <m:d>
          <m:dPr>
            <m:begChr m:val="("/>
            <m:sepChr m:val=""/>
            <m:end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sepChr m:val=""/>
            <m:endChr m:val=")"/>
            <m:grow/>
          </m:dPr>
          <m:e>
            <m:r>
              <m:t>a</m:t>
            </m:r>
          </m:e>
        </m:d>
      </m:oMath>
      <w:r>
        <w:t xml:space="preserve"> </w:t>
      </w:r>
      <w:r>
        <w:t xml:space="preserve">= secondary and</w:t>
      </w:r>
      <w:r>
        <w:t xml:space="preserve"> </w:t>
      </w:r>
      <m:oMath>
        <m:sSub>
          <m:e>
            <m:r>
              <m:t>t</m:t>
            </m:r>
          </m:e>
          <m:sub>
            <m:r>
              <m:t>π</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π</m:t>
            </m:r>
          </m:sub>
        </m:sSub>
        <m:d>
          <m:dPr>
            <m:begChr m:val="("/>
            <m:sepChr m:val=""/>
            <m:endChr m:val=")"/>
            <m:grow/>
          </m:dPr>
          <m:e>
            <m:r>
              <m:t>a</m:t>
            </m:r>
          </m:e>
        </m:d>
        <m:r>
          <m:rPr>
            <m:sty m:val="p"/>
          </m:rPr>
          <m:t>+</m:t>
        </m:r>
        <m:r>
          <m:t>6</m:t>
        </m:r>
      </m:oMath>
      <w:r>
        <w:t xml:space="preserve">, and by the same steps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sepChr m:val=""/>
            <m:end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sepChr m:val=""/>
            <m:end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sepChr m:val=""/>
            <m:endChr m:val=")"/>
            <m:grow/>
          </m:dPr>
          <m:e>
            <m:r>
              <m:t>a</m:t>
            </m:r>
          </m:e>
        </m:d>
      </m:oMath>
      <w:r>
        <w:t xml:space="preserve">, and the only removal of</w:t>
      </w:r>
      <w:r>
        <w:t xml:space="preserve"> </w:t>
      </w:r>
      <m:oMath>
        <m:sSub>
          <m:e>
            <m:r>
              <m:t>m</m:t>
            </m:r>
          </m:e>
          <m:sub>
            <m:r>
              <m:t>s</m:t>
            </m:r>
            <m:r>
              <m:t>u</m:t>
            </m:r>
            <m:r>
              <m:t>b</m:t>
            </m:r>
            <m:r>
              <m:t>j</m:t>
            </m:r>
          </m:sub>
        </m:sSub>
        <m:d>
          <m:dPr>
            <m:begChr m:val="("/>
            <m:sepChr m:val=""/>
            <m:endChr m:val=")"/>
            <m:grow/>
          </m:dPr>
          <m:e>
            <m:r>
              <m:t>a</m:t>
            </m:r>
          </m:e>
        </m:d>
      </m:oMath>
      <w:r>
        <w:t xml:space="preserve"> </w:t>
      </w:r>
      <w:r>
        <w:t xml:space="preserve">is recorded in</w:t>
      </w:r>
      <w:r>
        <w:t xml:space="preserve"> </w:t>
      </w:r>
      <m:oMath>
        <m:r>
          <m:t>ι</m:t>
        </m:r>
        <m:d>
          <m:dPr>
            <m:begChr m:val="("/>
            <m:sepChr m:val=""/>
            <m:endChr m:val=")"/>
            <m:grow/>
          </m:dPr>
          <m:e>
            <m:r>
              <m:t>a</m:t>
            </m:r>
          </m:e>
        </m:d>
      </m:oMath>
      <w:r>
        <w:t xml:space="preserve">. Condition (ii) holds because no step removes</w:t>
      </w:r>
      <w:r>
        <w:t xml:space="preserve"> </w:t>
      </w:r>
      <m:oMath>
        <m:r>
          <m:t>c</m:t>
        </m:r>
        <m:d>
          <m:dPr>
            <m:begChr m:val="("/>
            <m:sepChr m:val=""/>
            <m:endChr m:val=")"/>
            <m:grow/>
          </m:dPr>
          <m:e>
            <m:r>
              <m:t>a</m:t>
            </m:r>
          </m:e>
        </m:d>
      </m:oMath>
      <w:r>
        <w:t xml:space="preserve">; the commitment is not derived from</w:t>
      </w:r>
      <w:r>
        <w:t xml:space="preserve"> </w:t>
      </w:r>
      <m:oMath>
        <m:r>
          <m:t>k</m:t>
        </m:r>
        <m:d>
          <m:dPr>
            <m:begChr m:val="("/>
            <m:sepChr m:val=""/>
            <m:endChr m:val=")"/>
            <m:grow/>
          </m:dPr>
          <m:e>
            <m:r>
              <m:t>a</m:t>
            </m:r>
          </m:e>
        </m:d>
      </m:oMath>
      <w:r>
        <w:t xml:space="preserve"> </w:t>
      </w:r>
      <w:r>
        <w:t xml:space="preserve">and its persistence is unaffected by key destruction. For condition (iii): if</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sepChr m:val=""/>
            <m:endChr m:val=")"/>
            <m:grow/>
          </m:dPr>
          <m:e>
            <m:r>
              <m:t>a</m:t>
            </m:r>
          </m:e>
        </m:d>
      </m:oMath>
      <w:r>
        <w:t xml:space="preserve">, and step 2 has placed</w:t>
      </w:r>
      <w:r>
        <w:t xml:space="preserve"> </w:t>
      </w:r>
      <m:oMath>
        <m:r>
          <m:t>ι</m:t>
        </m:r>
        <m:d>
          <m:dPr>
            <m:begChr m:val="("/>
            <m:sepChr m:val=""/>
            <m:endChr m:val=")"/>
            <m:grow/>
          </m:dPr>
          <m:e>
            <m:r>
              <m:t>a</m:t>
            </m:r>
          </m:e>
        </m:d>
      </m:oMath>
      <w:r>
        <w:t xml:space="preserve"> </w:t>
      </w:r>
      <w:r>
        <w:t xml:space="preserve">in the audit trail, where step 3 retains it, and</w:t>
      </w:r>
      <w:r>
        <w:t xml:space="preserve"> </w:t>
      </w:r>
      <m:oMath>
        <m:r>
          <m:t>ι</m:t>
        </m:r>
        <m:d>
          <m:dPr>
            <m:begChr m:val="("/>
            <m:sepChr m:val=""/>
            <m:endChr m:val=")"/>
            <m:grow/>
          </m:dPr>
          <m:e>
            <m:r>
              <m:t>a</m:t>
            </m:r>
          </m:e>
        </m:d>
      </m:oMath>
      <w:r>
        <w:t xml:space="preserve"> </w:t>
      </w:r>
      <w:r>
        <w:t xml:space="preserve">is covered by (i). Hence</w:t>
      </w:r>
      <w:r>
        <w:t xml:space="preserve"> </w:t>
      </w:r>
      <m:oMath>
        <m:sSup>
          <m:e>
            <m:r>
              <m:t>V</m:t>
            </m:r>
          </m:e>
          <m:sup>
            <m:r>
              <m:t>I</m:t>
            </m:r>
            <m:r>
              <m:t>I</m:t>
            </m:r>
          </m:sup>
        </m:sSup>
        <m:d>
          <m:dPr>
            <m:begChr m:val="("/>
            <m:sepChr m:val=""/>
            <m:endChr m:val=")"/>
            <m:grow/>
          </m:dPr>
          <m:e>
            <m:r>
              <m:t>a</m:t>
            </m:r>
            <m:r>
              <m:rPr>
                <m:sty m:val="p"/>
              </m:rPr>
              <m:t>,</m:t>
            </m:r>
            <m:r>
              <m:t>t</m:t>
            </m:r>
          </m:e>
        </m:d>
        <m:r>
          <m:rPr>
            <m:sty m:val="p"/>
          </m:rPr>
          <m:t>=</m:t>
        </m:r>
        <m:r>
          <m:t>1</m:t>
        </m:r>
      </m:oMath>
      <w:r>
        <w:t xml:space="preserve"> </w:t>
      </w:r>
      <w:r>
        <w:t xml:space="preserve">throughout the window. The terminal transition of </w:t>
      </w:r>
      <w:hyperlink w:anchor="sec_4_8" w:history="1">
        <w:r>
          <w:rPr>
            <w:rStyle w:val="Hyperlink"/>
          </w:rPr>
          <w:t xml:space="preserve">Section 4.8</w:t>
        </w:r>
      </w:hyperlink>
      <w:r>
        <w:t xml:space="preserve">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sepChr m:val=""/>
            <m:end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sepChr m:val=""/>
            <m:end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theorems, because their proofs are short once the semantics are fixed. The weight of the argument lies elsewhere: in </w:t>
      </w:r>
      <w:hyperlink w:anchor="sec_4_2" w:history="1">
        <w:r>
          <w:rPr>
            <w:rStyle w:val="Hyperlink"/>
          </w:rPr>
          <w:t xml:space="preserve">Section 4.2</w:t>
        </w:r>
      </w:hyperlink>
      <w:r>
        <w:t xml:space="preserve">’s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w:t>
      </w:r>
      <w:hyperlink w:anchor="sec_4_2" w:history="1">
        <w:r>
          <w:rPr>
            <w:rStyle w:val="Hyperlink"/>
          </w:rPr>
          <w:t xml:space="preserve">Section 4.2</w:t>
        </w:r>
      </w:hyperlink>
      <w:r>
        <w:t xml:space="preserve"> and its want of authority is confronted in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w:t>
      </w:r>
      <w:hyperlink w:anchor="sec_4_9" w:history="1">
        <w:r>
          <w:rPr>
            <w:rStyle w:val="Hyperlink"/>
          </w:rPr>
          <w:t xml:space="preserve">Section 4.9</w:t>
        </w:r>
      </w:hyperlink>
      <w:r>
        <w:t xml:space="preserve"> addresses) nor that key destruction can be verified by an external party, which </w:t>
      </w:r>
      <w:hyperlink w:anchor="sec_4_10" w:history="1">
        <w:r>
          <w:rPr>
            <w:rStyle w:val="Hyperlink"/>
          </w:rPr>
          <w:t xml:space="preserve">Section 4.10</w:t>
        </w:r>
      </w:hyperlink>
      <w:r>
        <w:t xml:space="preserve"> concedes it cannot. The invalidation entry specified in </w:t>
      </w:r>
      <w:hyperlink w:anchor="sec_4_8" w:history="1">
        <w:r>
          <w:rPr>
            <w:rStyle w:val="Hyperlink"/>
          </w:rPr>
          <w:t xml:space="preserve">Section 4.8</w:t>
        </w:r>
      </w:hyperlink>
      <w:r>
        <w:t xml:space="preserve">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mark that boundary, and </w:t>
      </w:r>
      <w:hyperlink w:anchor="ch_6" w:history="1">
        <w:r>
          <w:rPr>
            <w:rStyle w:val="Hyperlink"/>
          </w:rPr>
          <w:t xml:space="preserve">Chapter 6</w:t>
        </w:r>
      </w:hyperlink>
      <w:r>
        <w:t xml:space="preserve"> treats it as the outer limit of the contribution. Proposition 2 is a mathematical result about a model, and its value is that it converts a question that has been debated qualitatively into one with a definite answer under stated assumptions.</w:t>
      </w:r>
    </w:p>
    <w:bookmarkEnd w:id="67"/>
    <w:bookmarkStart w:id="68" w:name="Xbab0c38be3b68c0190d99bdc4068769bc35fcf9"/>
    <w:p>
      <w:pPr>
        <w:pStyle w:val="Heading2"/>
      </w:pPr>
      <w:bookmarkStart w:id="1052" w:name="sec_4_8"/>
      <w:r>
        <w:t xml:space="preserve">4.8 The Mechanism: Crypto-Erasure by Invalidation</w:t>
      </w:r>
      <w:bookmarkEnd w:id="1052"/>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sepChr m:val=""/>
            <m:end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sepChr m:val=""/>
            <m:end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w:t>
      </w:r>
      <w:hyperlink w:anchor="sec_2_1" w:history="1">
        <w:r>
          <w:rPr>
            <w:rStyle w:val="Hyperlink"/>
          </w:rPr>
          <w:t xml:space="preserve">Section 2.1</w:t>
        </w:r>
      </w:hyperlink>
      <w:r>
        <w:t xml:space="preserve">).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Ciphertext.</w:t>
      </w:r>
      <w:r>
        <w:t xml:space="preserve"> </w:t>
      </w:r>
      <w:r>
        <w:t xml:space="preserve">At</w:t>
      </w:r>
      <w:r>
        <w:t xml:space="preserve"> </w:t>
      </w:r>
      <m:oMath>
        <m:sSup>
          <m:e>
            <m:r>
              <m:t>t</m:t>
            </m:r>
          </m:e>
          <m:sup>
            <m:r>
              <m:t>I</m:t>
            </m:r>
          </m:sup>
        </m:sSup>
        <m:d>
          <m:dPr>
            <m:begChr m:val="("/>
            <m:sepChr m:val=""/>
            <m:endChr m:val=")"/>
            <m:grow/>
          </m:dPr>
          <m:e>
            <m:r>
              <m:t>a</m:t>
            </m:r>
          </m:e>
        </m:d>
      </m:oMath>
      <w:r>
        <w:t xml:space="preserve"> </w:t>
      </w:r>
      <w:r>
        <w:t xml:space="preserve">the ciphertext of</w:t>
      </w:r>
      <w:r>
        <w:t xml:space="preserve"> </w:t>
      </w:r>
      <m:oMath>
        <m:r>
          <m:t>p</m:t>
        </m:r>
        <m:d>
          <m:dPr>
            <m:begChr m:val="("/>
            <m:sepChr m:val=""/>
            <m:endChr m:val=")"/>
            <m:grow/>
          </m:dPr>
          <m:e>
            <m:r>
              <m:t>a</m:t>
            </m:r>
          </m:e>
        </m:d>
      </m:oMath>
      <w:r>
        <w:t xml:space="preserve"> </w:t>
      </w:r>
      <w:r>
        <w:t xml:space="preserve">is deleted from the audit store together with</w:t>
      </w:r>
      <w:r>
        <w:t xml:space="preserve"> </w:t>
      </w:r>
      <m:oMath>
        <m:r>
          <m:t>k</m:t>
        </m:r>
        <m:d>
          <m:dPr>
            <m:begChr m:val="("/>
            <m:sepChr m:val=""/>
            <m:end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w:t>
      </w:r>
      <w:hyperlink w:anchor="sec_4_9" w:history="1">
        <w:r>
          <w:rPr>
            <w:rStyle w:val="Hyperlink"/>
          </w:rPr>
          <w:t xml:space="preserve">Section 4.9</w:t>
        </w:r>
      </w:hyperlink>
      <w:r>
        <w:t xml:space="preserve">). Key destruction remains the operative erasure for copies the store cannot delete at once, such as replicas and backups: they become unreadable at</w:t>
      </w:r>
      <w:r>
        <w:t xml:space="preserve"> </w:t>
      </w:r>
      <m:oMath>
        <m:sSup>
          <m:e>
            <m:r>
              <m:t>t</m:t>
            </m:r>
          </m:e>
          <m:sup>
            <m:r>
              <m:t>I</m:t>
            </m:r>
          </m:sup>
        </m:sSup>
        <m:d>
          <m:dPr>
            <m:begChr m:val="("/>
            <m:sepChr m:val=""/>
            <m:end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with a per-record salt</w:t>
      </w:r>
      <w:r>
        <w:t xml:space="preserve"> </w:t>
      </w:r>
      <m:oMath>
        <m:r>
          <m:t>r</m:t>
        </m:r>
        <m:d>
          <m:dPr>
            <m:begChr m:val="("/>
            <m:sepChr m:val=""/>
            <m:endChr m:val=")"/>
            <m:grow/>
          </m:dPr>
          <m:e>
            <m:r>
              <m:t>a</m:t>
            </m:r>
          </m:e>
        </m:d>
      </m:oMath>
      <w:r>
        <w:t xml:space="preserve">. The salt is stored with the metadata until invalidation and is destroyed together with</w:t>
      </w:r>
      <w:r>
        <w:t xml:space="preserve"> </w:t>
      </w:r>
      <m:oMath>
        <m:r>
          <m:t>k</m:t>
        </m:r>
        <m:d>
          <m:dPr>
            <m:begChr m:val="("/>
            <m:sepChr m:val=""/>
            <m:endChr m:val=")"/>
            <m:grow/>
          </m:dPr>
          <m:e>
            <m:r>
              <m:t>a</m:t>
            </m:r>
          </m:e>
        </m:d>
      </m:oMath>
      <w:r>
        <w:t xml:space="preserve"> </w:t>
      </w:r>
      <w:r>
        <w:t xml:space="preserve">at</w:t>
      </w:r>
      <w:r>
        <w:t xml:space="preserve"> </w:t>
      </w:r>
      <m:oMath>
        <m:sSup>
          <m:e>
            <m:r>
              <m:t>t</m:t>
            </m:r>
          </m:e>
          <m:sup>
            <m:r>
              <m:t>I</m:t>
            </m:r>
          </m:sup>
        </m:sSup>
        <m:d>
          <m:dPr>
            <m:begChr m:val="("/>
            <m:sepChr m:val=""/>
            <m:end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sepChr m:val=""/>
            <m:endChr m:val=")"/>
            <m:grow/>
          </m:dPr>
          <m:e>
            <m:r>
              <m:t>a</m:t>
            </m:r>
          </m:e>
        </m:d>
      </m:oMath>
      <w:r>
        <w:t xml:space="preserve"> </w:t>
      </w:r>
      <w:r>
        <w:t xml:space="preserve">(</w:t>
      </w:r>
      <w:hyperlink w:anchor="sec_4_9" w:history="1">
        <w:r>
          <w:rPr>
            <w:rStyle w:val="Hyperlink"/>
          </w:rPr>
          <w:t xml:space="preserve">Section 4.9</w:t>
        </w:r>
      </w:hyperlink>
      <w:r>
        <w:t xml:space="preserve">). Destroying the salt does not weaken binding, which is a property of the commitment value: no second payload can be opened against</w:t>
      </w:r>
      <w:r>
        <w:t xml:space="preserve"> </w:t>
      </w:r>
      <m:oMath>
        <m:r>
          <m:t>c</m:t>
        </m:r>
        <m:d>
          <m:dPr>
            <m:begChr m:val="("/>
            <m:sepChr m:val=""/>
            <m:endChr m:val=")"/>
            <m:grow/>
          </m:dPr>
          <m:e>
            <m:r>
              <m:t>a</m:t>
            </m:r>
          </m:e>
        </m:d>
      </m:oMath>
      <w:r>
        <w:t xml:space="preserve">, and after</w:t>
      </w:r>
      <w:r>
        <w:t xml:space="preserve"> </w:t>
      </w:r>
      <m:oMath>
        <m:sSup>
          <m:e>
            <m:r>
              <m:t>t</m:t>
            </m:r>
          </m:e>
          <m:sup>
            <m:r>
              <m:t>I</m:t>
            </m:r>
          </m:sup>
        </m:sSup>
        <m:d>
          <m:dPr>
            <m:begChr m:val="("/>
            <m:sepChr m:val=""/>
            <m:end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sepChr m:val=""/>
            <m:end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sepChr m:val=""/>
            <m:endChr m:val=")"/>
            <m:grow/>
          </m:dPr>
          <m:e>
            <m:r>
              <m:t>a</m:t>
            </m:r>
          </m:e>
        </m:d>
      </m:oMath>
      <w:r>
        <w:t xml:space="preserve"> </w:t>
      </w:r>
      <w:r>
        <w:t xml:space="preserve">and lacking</w:t>
      </w:r>
      <w:r>
        <w:t xml:space="preserve"> </w:t>
      </w:r>
      <m:oMath>
        <m:r>
          <m:t>r</m:t>
        </m:r>
        <m:d>
          <m:dPr>
            <m:begChr m:val="("/>
            <m:sepChr m:val=""/>
            <m:endChr m:val=")"/>
            <m:grow/>
          </m:dPr>
          <m:e>
            <m:r>
              <m:t>a</m:t>
            </m:r>
          </m:e>
        </m:d>
      </m:oMath>
      <w:r>
        <w:t xml:space="preserve"> </w:t>
      </w:r>
      <w:r>
        <w:t xml:space="preserve">must learn nothing about</w:t>
      </w:r>
      <w:r>
        <w:t xml:space="preserve"> </w:t>
      </w:r>
      <m:oMath>
        <m:r>
          <m:t>p</m:t>
        </m:r>
        <m:d>
          <m:dPr>
            <m:begChr m:val="("/>
            <m:sepChr m:val=""/>
            <m:endChr m:val=")"/>
            <m:grow/>
          </m:dPr>
          <m:e>
            <m:r>
              <m:t>a</m:t>
            </m:r>
          </m:e>
        </m:d>
      </m:oMath>
      <w:r>
        <w:t xml:space="preserve">. A bare unsalted hash of the payload does not satisfy this and must not be used, for the reason given in </w:t>
      </w:r>
      <w:hyperlink w:anchor="sec_4_9" w:history="1">
        <w:r>
          <w:rPr>
            <w:rStyle w:val="Hyperlink"/>
          </w:rPr>
          <w:t xml:space="preserve">Section 4.9</w:t>
        </w:r>
      </w:hyperlink>
      <w:r>
        <w:t xml:space="preserve">.</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sepChr m:val=""/>
            <m:end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w:t>
      </w:r>
      <w:hyperlink w:anchor="sec_7_6" w:history="1">
        <w:r>
          <w:rPr>
            <w:rStyle w:val="Hyperlink"/>
          </w:rPr>
          <w:t xml:space="preserve">Section 7.6</w:t>
        </w:r>
      </w:hyperlink>
      <w:r>
        <w:t xml:space="preserve">).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What enters a leaf is chosen so that the log never needs erasing: the accessor fields, the creation month and the commitment, never the payload and never the subject fields. The tension that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found unresolved in blockchain audit logging, an immutable trail facing an erasure right, therefore does not arise: what the right and the ceiling reach is held outside the log and destroyed there, and what the log holds is what accountability requires.</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hyperlink w:anchor="sec_6_1" w:history="1">
        <w:r>
          <w:rPr>
            <w:rStyle w:val="Hyperlink"/>
          </w:rPr>
          <w:t xml:space="preserve">Section 6.1</w:t>
        </w:r>
      </w:hyperlink>
      <w:r>
        <w:t xml:space="preserve">). Dynamic accumulators of the Camenisch and Lysyanskaya type also require a trusted accumulator manager holding a trapdoor, which adds a trust assumption stated in </w:t>
      </w:r>
      <w:hyperlink w:anchor="sec_4_9" w:history="1">
        <w:r>
          <w:rPr>
            <w:rStyle w:val="Hyperlink"/>
          </w:rPr>
          <w:t xml:space="preserve">Section 4.9</w:t>
        </w:r>
      </w:hyperlink>
      <w:r>
        <w:t xml:space="preserve">.</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sepChr m:val=""/>
            <m:endChr m:val=")"/>
            <m:grow/>
          </m:dPr>
          <m:e>
            <m:r>
              <m:t>a</m:t>
            </m:r>
          </m:e>
        </m:d>
      </m:oMath>
      <w:r>
        <w:t xml:space="preserve">. A specific payload was bound to that event, which follows from</w:t>
      </w:r>
      <w:r>
        <w:t xml:space="preserve"> </w:t>
      </w:r>
      <m:oMath>
        <m:r>
          <m:t>c</m:t>
        </m:r>
        <m:d>
          <m:dPr>
            <m:begChr m:val="("/>
            <m:sepChr m:val=""/>
            <m:endChr m:val=")"/>
            <m:grow/>
          </m:dPr>
          <m:e>
            <m:r>
              <m:t>a</m:t>
            </m:r>
          </m:e>
        </m:d>
      </m:oMath>
      <w:r>
        <w:t xml:space="preserve">. The payload was invalidated, and the auditor can see when, on what legal ground, and by whom, from</w:t>
      </w:r>
      <w:r>
        <w:t xml:space="preserve"> </w:t>
      </w:r>
      <m:oMath>
        <m:r>
          <m:t>ι</m:t>
        </m:r>
        <m:d>
          <m:dPr>
            <m:begChr m:val="("/>
            <m:sepChr m:val=""/>
            <m:end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w:t>
      </w:r>
      <w:hyperlink w:anchor="sec_4_4" w:history="1">
        <w:r>
          <w:rPr>
            <w:rStyle w:val="Hyperlink"/>
          </w:rPr>
          <w:t xml:space="preserve">Section 4.4</w:t>
        </w:r>
      </w:hyperlink>
      <w:r>
        <w:t xml:space="preserve"> govern the record’s behaviour through its retention window, but the window ends, and the model would be incomplete if it said nothing about what follows. After</w:t>
      </w:r>
      <w:r>
        <w:t xml:space="preserve"> </w:t>
      </w:r>
      <m:oMath>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sepChr m:val=""/>
            <m:end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sepChr m:val=""/>
            <m:endChr m:val=")"/>
            <m:grow/>
          </m:dPr>
          <m:e>
            <m:r>
              <m:t>a</m:t>
            </m:r>
          </m:e>
        </m:d>
        <m:r>
          <m:rPr>
            <m:sty m:val="p"/>
          </m:rPr>
          <m:t>+</m:t>
        </m:r>
        <m:r>
          <m:t>F</m:t>
        </m:r>
        <m:d>
          <m:dPr>
            <m:begChr m:val="("/>
            <m:sepChr m:val=""/>
            <m:endChr m:val=")"/>
            <m:grow/>
          </m:dPr>
          <m:e>
            <m:r>
              <m:t>a</m:t>
            </m:r>
          </m:e>
        </m:d>
        <m:r>
          <m:rPr>
            <m:sty m:val="p"/>
          </m:rPr>
          <m:t>+</m:t>
        </m:r>
        <m:r>
          <m:t>1</m:t>
        </m:r>
      </m:oMath>
      <w:r>
        <w:t xml:space="preserve">, the record undergoes a second invalidation, in which the identifying fields of</w:t>
      </w:r>
      <w:r>
        <w:t xml:space="preserve"> </w:t>
      </w:r>
      <m:oMath>
        <m:r>
          <m:t>m</m:t>
        </m:r>
        <m:d>
          <m:dPr>
            <m:begChr m:val="("/>
            <m:sepChr m:val=""/>
            <m:endChr m:val=")"/>
            <m:grow/>
          </m:dPr>
          <m:e>
            <m:r>
              <m:t>a</m:t>
            </m:r>
          </m:e>
        </m:d>
      </m:oMath>
      <w:r>
        <w:t xml:space="preserve"> </w:t>
      </w:r>
      <w:r>
        <w:t xml:space="preserve">are destroyed, together with</w:t>
      </w:r>
      <w:r>
        <w:t xml:space="preserve"> </w:t>
      </w:r>
      <m:oMath>
        <m:r>
          <m:t>k</m:t>
        </m:r>
        <m:d>
          <m:dPr>
            <m:begChr m:val="("/>
            <m:sepChr m:val=""/>
            <m:endChr m:val=")"/>
            <m:grow/>
          </m:dPr>
          <m:e>
            <m:r>
              <m:t>a</m:t>
            </m:r>
          </m:e>
        </m:d>
      </m:oMath>
      <w:r>
        <w:t xml:space="preserve">, the salt</w:t>
      </w:r>
      <w:r>
        <w:t xml:space="preserve"> </w:t>
      </w:r>
      <m:oMath>
        <m:r>
          <m:t>r</m:t>
        </m:r>
        <m:d>
          <m:dPr>
            <m:begChr m:val="("/>
            <m:sepChr m:val=""/>
            <m:end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w:t>
      </w:r>
      <w:hyperlink w:anchor="sec_4_9" w:history="1">
        <w:r>
          <w:rPr>
            <w:rStyle w:val="Hyperlink"/>
          </w:rPr>
          <w:t xml:space="preserve">Section 4.9</w:t>
        </w:r>
      </w:hyperlink>
      <w:r>
        <w:t xml:space="preserve">. Where a longer-running obligation applies to the same record (a national archival duty, or litigation hold) the terminal transition is deferred and the floor parameter</w:t>
      </w:r>
      <w:r>
        <w:t xml:space="preserve"> </w:t>
      </w:r>
      <m:oMath>
        <m:r>
          <m:t>F</m:t>
        </m:r>
        <m:d>
          <m:dPr>
            <m:begChr m:val="("/>
            <m:sepChr m:val=""/>
            <m:end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sepChr m:val=""/>
            <m:end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puts it to the supervisory authority.</w:t>
      </w:r>
    </w:p>
    <w:bookmarkEnd w:id="68"/>
    <w:bookmarkStart w:id="69" w:name="residue-analysis"/>
    <w:p>
      <w:pPr>
        <w:pStyle w:val="Heading2"/>
      </w:pPr>
      <w:bookmarkStart w:id="1053" w:name="sec_4_9"/>
      <w:r>
        <w:t xml:space="preserve">4.9 Residue Analysis</w:t>
      </w:r>
      <w:bookmarkEnd w:id="1053"/>
    </w:p>
    <w:p>
      <w:pPr>
        <w:pStyle w:val="FirstParagraph"/>
      </w:pPr>
      <w:r>
        <w:t xml:space="preserve">Proposition 2 leaves a residue:</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ι</m:t>
        </m:r>
        <m:d>
          <m:dPr>
            <m:begChr m:val="("/>
            <m:sepChr m:val=""/>
            <m:endChr m:val=")"/>
            <m:grow/>
          </m:dPr>
          <m:e>
            <m:r>
              <m:t>a</m:t>
            </m:r>
          </m:e>
        </m:d>
      </m:oMath>
      <w:r>
        <w:t xml:space="preserve">, the leaf hashes of the audit log and, where the optional layer is used, the accumulator state. The salt</w:t>
      </w:r>
      <w:r>
        <w:t xml:space="preserve"> </w:t>
      </w:r>
      <m:oMath>
        <m:r>
          <m:t>r</m:t>
        </m:r>
        <m:d>
          <m:dPr>
            <m:begChr m:val="("/>
            <m:sepChr m:val=""/>
            <m:endChr m:val=")"/>
            <m:grow/>
          </m:dPr>
          <m:e>
            <m:r>
              <m:t>a</m:t>
            </m:r>
          </m:e>
        </m:d>
      </m:oMath>
      <w:r>
        <w:t xml:space="preserve">, the key</w:t>
      </w:r>
      <w:r>
        <w:t xml:space="preserve"> </w:t>
      </w:r>
      <m:oMath>
        <m:r>
          <m:t>k</m:t>
        </m:r>
        <m:d>
          <m:dPr>
            <m:begChr m:val="("/>
            <m:sepChr m:val=""/>
            <m:endChr m:val=")"/>
            <m:grow/>
          </m:dPr>
          <m:e>
            <m:r>
              <m:t>a</m:t>
            </m:r>
          </m:e>
        </m:d>
      </m:oMath>
      <w:r>
        <w:t xml:space="preserve"> </w:t>
      </w:r>
      <w:r>
        <w:t xml:space="preserve">and the ciphertext of</w:t>
      </w:r>
      <w:r>
        <w:t xml:space="preserve"> </w:t>
      </w:r>
      <m:oMath>
        <m:r>
          <m:t>p</m:t>
        </m:r>
        <m:d>
          <m:dPr>
            <m:begChr m:val="("/>
            <m:sepChr m:val=""/>
            <m:endChr m:val=")"/>
            <m:grow/>
          </m:dPr>
          <m:e>
            <m:r>
              <m:t>a</m:t>
            </m:r>
          </m:e>
        </m:d>
      </m:oMath>
      <w:r>
        <w:t xml:space="preserve"> </w:t>
      </w:r>
      <w:r>
        <w:t xml:space="preserve">are destroyed at invalidation (</w:t>
      </w:r>
      <w:hyperlink w:anchor="sec_4_8" w:history="1">
        <w:r>
          <w:rPr>
            <w:rStyle w:val="Hyperlink"/>
          </w:rPr>
          <w:t xml:space="preserve">Section 4.8</w:t>
        </w:r>
      </w:hyperlink>
      <w:r>
        <w:t xml:space="preserve">). Whether the mechanism is lawful depends on whether this residue sits on the correct side of the threshold at which data cease to be personal. This section performs that analysis, and it is included because </w:t>
      </w:r>
      <w:hyperlink w:anchor="ch_2" w:history="1">
        <w:r>
          <w:rPr>
            <w:rStyle w:val="Hyperlink"/>
          </w:rPr>
          <w:t xml:space="preserve">Chapter 2</w:t>
        </w:r>
      </w:hyperlink>
      <w:r>
        <w:t xml:space="preserve">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sepChr m:val=""/>
            <m:end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sepChr m:val=""/>
            <m:end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sepChr m:val=""/>
            <m:end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sepChr m:val=""/>
            <m:endChr m:val=")"/>
            <m:grow/>
          </m:dPr>
          <m:e>
            <m:r>
              <m:t>a</m:t>
            </m:r>
          </m:e>
        </m:d>
      </m:oMath>
      <w:r>
        <w:t xml:space="preserve">, and the ability to confirm a guess about it from the audit store, which depended on</w:t>
      </w:r>
      <w:r>
        <w:t xml:space="preserve"> </w:t>
      </w:r>
      <m:oMath>
        <m:r>
          <m:t>r</m:t>
        </m:r>
        <m:d>
          <m:dPr>
            <m:begChr m:val="("/>
            <m:sepChr m:val=""/>
            <m:end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hyperlink w:anchor="sec_6_1" w:history="1">
        <w:r>
          <w:rPr>
            <w:rStyle w:val="Hyperlink"/>
          </w:rPr>
          <w:t xml:space="preserve">Section 6.1</w:t>
        </w:r>
      </w:hyperlink>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w:t>
      </w:r>
      <w:hyperlink w:anchor="sec_4_8" w:history="1">
        <w:r>
          <w:rPr>
            <w:rStyle w:val="Hyperlink"/>
          </w:rPr>
          <w:t xml:space="preserve">Section 4.8</w:t>
        </w:r>
      </w:hyperlink>
      <w:r>
        <w:t xml:space="preserve">)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w:t>
      </w:r>
      <w:hyperlink w:anchor="ch_6" w:history="1">
        <w:r>
          <w:rPr>
            <w:rStyle w:val="Hyperlink"/>
          </w:rPr>
          <w:t xml:space="preserve">Chapter 6</w:t>
        </w:r>
      </w:hyperlink>
      <w:r>
        <w:t xml:space="preserve"> rather than resolved here.</w:t>
      </w:r>
    </w:p>
    <w:bookmarkEnd w:id="69"/>
    <w:bookmarkStart w:id="70" w:name="rival-designs-and-proposition-4"/>
    <w:p>
      <w:pPr>
        <w:pStyle w:val="Heading2"/>
      </w:pPr>
      <w:bookmarkStart w:id="1054" w:name="sec_4_10"/>
      <w:r>
        <w:t xml:space="preserve">4.10 Rival Designs and Proposition 4</w:t>
      </w:r>
      <w:bookmarkEnd w:id="1054"/>
    </w:p>
    <w:p>
      <w:pPr>
        <w:pStyle w:val="FirstParagraph"/>
      </w:pPr>
      <w:r>
        <w:t xml:space="preserve">Six alternative designs are considered.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w:t>
      </w:r>
      <w:hyperlink w:anchor="sec_4_2" w:history="1">
        <w:r>
          <w:rPr>
            <w:rStyle w:val="Hyperlink"/>
          </w:rPr>
          <w:t xml:space="preserve">Section 4.2</w:t>
        </w:r>
      </w:hyperlink>
      <w:r>
        <w:t xml:space="preserve"> above. It fails on the necessity boundary: the exemption protects retention that the legal obligation requires, and </w:t>
      </w:r>
      <w:hyperlink w:anchor="sec_4_2" w:history="1">
        <w:r>
          <w:rPr>
            <w:rStyle w:val="Hyperlink"/>
          </w:rPr>
          <w:t xml:space="preserve">Section 4.2</w:t>
        </w:r>
      </w:hyperlink>
      <w:r>
        <w:t xml:space="preserve">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w:t>
      </w:r>
      <w:hyperlink w:anchor="sec_4_3" w:history="1">
        <w:r>
          <w:rPr>
            <w:rStyle w:val="Hyperlink"/>
          </w:rPr>
          <w:t xml:space="preserve">Section 4.3</w:t>
        </w:r>
      </w:hyperlink>
      <w:r>
        <w:t xml:space="preserve">).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w:t>
      </w:r>
      <w:hyperlink w:anchor="ch_2" w:history="1">
        <w:r>
          <w:rPr>
            <w:rStyle w:val="Hyperlink"/>
          </w:rPr>
          <w:t xml:space="preserve">Chapter 2</w:t>
        </w:r>
      </w:hyperlink>
      <w:r>
        <w:t xml:space="preserve">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w:t>
      </w:r>
      <w:hyperlink w:anchor="sec_4_9" w:history="1">
        <w:r>
          <w:rPr>
            <w:rStyle w:val="Hyperlink"/>
          </w:rPr>
          <w:t xml:space="preserve">Section 4.9</w:t>
        </w:r>
      </w:hyperlink>
      <w:r>
        <w:t xml:space="preserve"> applied in reverse. A copy whose key still exists is recoverable, and recoverable ciphertext held together with the means of decryption remains personal data under the threshold set out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w:t>
      </w:r>
      <w:hyperlink w:anchor="sec_4_7" w:history="1">
        <w:r>
          <w:rPr>
            <w:rStyle w:val="Hyperlink"/>
          </w:rPr>
          <w:t xml:space="preserve">Section 4.7</w:t>
        </w:r>
      </w:hyperlink>
      <w:r>
        <w:t xml:space="preserve">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w:t>
      </w:r>
      <w:hyperlink w:anchor="ch_6" w:history="1">
        <w:r>
          <w:rPr>
            <w:rStyle w:val="Hyperlink"/>
          </w:rPr>
          <w:t xml:space="preserve">Chapter 6</w:t>
        </w:r>
      </w:hyperlink>
      <w:r>
        <w:t xml:space="preserve"> engages this critique at length rather than dismissing it.</w:t>
      </w:r>
    </w:p>
    <w:bookmarkEnd w:id="70"/>
    <w:bookmarkStart w:id="71" w:name="X51924fffb4499c77bcb597712556eecab7674b1"/>
    <w:p>
      <w:pPr>
        <w:pStyle w:val="Heading2"/>
      </w:pPr>
      <w:bookmarkStart w:id="1055" w:name="sec_4_11"/>
      <w:r>
        <w:t xml:space="preserve">4.11 Integration with the Norwegian Infrastructure</w:t>
      </w:r>
      <w:bookmarkEnd w:id="1055"/>
    </w:p>
    <w:p>
      <w:pPr>
        <w:pStyle w:val="FirstParagraph"/>
      </w:pPr>
      <w:r>
        <w:t xml:space="preserve">The mechanism is specified against the Norwegian infrastructure as verified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not against an idealisation of it.</w:t>
      </w:r>
    </w:p>
    <w:p>
      <w:pPr>
        <w:pStyle w:val="BodyText"/>
      </w:pPr>
      <w:r>
        <w:rPr>
          <w:iCs/>
          <w:i/>
        </w:rPr>
        <w:t xml:space="preserve">Primary use: the National Contact Point.</w:t>
      </w:r>
      <w:r>
        <w:t xml:space="preserve"> </w:t>
      </w:r>
      <w:r>
        <w:t xml:space="preserve">Norway’s NCPeH is in live pilot operation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w:t>
      </w:r>
      <w:hyperlink w:anchor="ch_2" w:history="1">
        <w:r>
          <w:rPr>
            <w:rStyle w:val="Hyperlink"/>
          </w:rPr>
          <w:t xml:space="preserve">Chapter 2</w:t>
        </w:r>
      </w:hyperlink>
      <w:r>
        <w:t xml:space="preserve">’s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w:t>
      </w:r>
      <w:hyperlink w:anchor="ch_6" w:history="1">
        <w:r>
          <w:rPr>
            <w:rStyle w:val="Hyperlink"/>
          </w:rPr>
          <w:t xml:space="preserve">Chapter 6</w:t>
        </w:r>
      </w:hyperlink>
      <w:r>
        <w:t xml:space="preserve"> treats the implications of this timing for the thesis’s policy relevance.</w:t>
      </w:r>
    </w:p>
    <w:p>
      <w:pPr>
        <w:pStyle w:val="BodyText"/>
      </w:pPr>
      <w:r>
        <w:rPr>
          <w:iCs/>
          <w:i/>
        </w:rPr>
        <w:t xml:space="preserve">Traceability.</w:t>
      </w:r>
      <w:r>
        <w:t xml:space="preserve"> </w:t>
      </w:r>
      <w:hyperlink w:anchor="tbl_4_1" w:history="1">
        <w:r>
          <w:rPr>
            <w:rStyle w:val="Hyperlink"/>
          </w:rPr>
          <w:t xml:space="preserve">Table 4.1</w:t>
        </w:r>
      </w:hyperlink>
      <w:r>
        <w:t xml:space="preserve">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TableCaption"/>
      </w:pPr>
      <w:bookmarkStart w:id="1002" w:name="tbl_4_1"/>
      <w:r>
        <w:rPr>
          <w:b/>
          <w:color w:val="1F3864"/>
        </w:rPr>
        <w:t xml:space="preserve">Table 4.1.</w:t>
      </w:r>
      <w:r>
        <w:t xml:space="preserve"> Requirements traced to the mechanism</w:t>
      </w:r>
      <w:bookmarkEnd w:id="1002"/>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Requirement</w:t>
            </w:r>
          </w:p>
        </w:tc>
        <w:tc>
          <w:tcPr>
            <w:tcBorders>
              <w:bottom w:val="single" w:sz="8" w:space="0" w:color="333333"/>
            </w:tcBorders>
            <w:shd w:val="clear" w:color="auto" w:fill="E8EDF4"/>
          </w:tcPr>
          <w:p>
            <w:pPr>
              <w:pStyle w:val="Compact"/>
              <w:jc w:val="left"/>
            </w:pPr>
            <w:r>
              <w:rPr>
                <w:b/>
                <w:sz w:val="20"/>
                <w:szCs w:val="20"/>
              </w:rPr>
              <w:t xml:space="preserve">Source</w:t>
            </w:r>
          </w:p>
        </w:tc>
        <w:tc>
          <w:tcPr>
            <w:tcBorders>
              <w:bottom w:val="single" w:sz="8" w:space="0" w:color="333333"/>
            </w:tcBorders>
            <w:shd w:val="clear" w:color="auto" w:fill="E8EDF4"/>
          </w:tcPr>
          <w:p>
            <w:pPr>
              <w:pStyle w:val="Compact"/>
              <w:jc w:val="left"/>
            </w:pPr>
            <w:r>
              <w:rPr>
                <w:b/>
                <w:sz w:val="20"/>
                <w:szCs w:val="20"/>
              </w:rPr>
              <w:t xml:space="preserve">What the mechanism does</w:t>
            </w:r>
          </w:p>
        </w:tc>
        <w:tc>
          <w:tcPr>
            <w:tcBorders>
              <w:bottom w:val="single" w:sz="8" w:space="0" w:color="333333"/>
            </w:tcBorders>
            <w:shd w:val="clear" w:color="auto" w:fill="E8EDF4"/>
          </w:tcPr>
          <w:p>
            <w:pPr>
              <w:pStyle w:val="Compact"/>
              <w:jc w:val="left"/>
            </w:pPr>
            <w:r>
              <w:rPr>
                <w:b/>
                <w:sz w:val="20"/>
                <w:szCs w:val="20"/>
              </w:rPr>
              <w:t xml:space="preserve">Where</w:t>
            </w:r>
          </w:p>
        </w:tc>
        <w:tc>
          <w:tcPr>
            <w:tcBorders>
              <w:bottom w:val="single" w:sz="8" w:space="0" w:color="333333"/>
            </w:tcBorders>
            <w:shd w:val="clear" w:color="auto" w:fill="E8EDF4"/>
          </w:tcPr>
          <w:p>
            <w:pPr>
              <w:pStyle w:val="Compact"/>
              <w:jc w:val="left"/>
            </w:pPr>
            <w:r>
              <w:rPr>
                <w:b/>
                <w:sz w:val="20"/>
                <w:szCs w:val="20"/>
              </w:rPr>
              <w:t xml:space="preserve">Status</w:t>
            </w:r>
          </w:p>
        </w:tc>
      </w:tr>
      <w:tr>
        <w:trPr>
          <w:cantSplit/>
        </w:trPr>
        <w:tc>
          <w:tcPr/>
          <w:p>
            <w:pPr>
              <w:pStyle w:val="Compact"/>
              <w:jc w:val="left"/>
            </w:pPr>
            <w:r>
              <w:rPr>
                <w:sz w:val="20"/>
                <w:szCs w:val="20"/>
              </w:rPr>
              <w:t xml:space="preserve">Electronic health data within the SPE deleted within six months of permit expiry</w:t>
            </w:r>
          </w:p>
        </w:tc>
        <w:tc>
          <w:tcPr/>
          <w:p>
            <w:pPr>
              <w:pStyle w:val="Compact"/>
              <w:jc w:val="left"/>
            </w:pPr>
            <w:r>
              <w:rPr>
                <w:sz w:val="20"/>
                <w:szCs w:val="20"/>
              </w:rPr>
              <w:t xml:space="preserve">EHDS Art. 68(12)</w:t>
            </w:r>
          </w:p>
        </w:tc>
        <w:tc>
          <w:tcPr/>
          <w:p>
            <w:pPr>
              <w:pStyle w:val="Compact"/>
              <w:jc w:val="left"/>
            </w:pPr>
            <w:r>
              <w:rPr>
                <w:sz w:val="20"/>
                <w:szCs w:val="20"/>
              </w:rPr>
              <w:t xml:space="preserve">Payload key, salt and ciphertext destroyed at</w:t>
            </w:r>
            <w:r>
              <w:rPr>
                <w:sz w:val="20"/>
                <w:szCs w:val="20"/>
              </w:rPr>
              <w:t xml:space="preserve"> </w:t>
            </w:r>
            <m:oMath>
              <m:sSub>
                <m:e>
                  <m:r>
                    <m:t>t</m:t>
                  </m:r>
                </m:e>
                <m:sub>
                  <m:r>
                    <m:t>π</m:t>
                  </m:r>
                </m:sub>
              </m:sSub>
              <m:r>
                <m:rPr>
                  <m:sty m:val="p"/>
                </m:rPr>
                <m:t>+</m:t>
              </m:r>
              <m:r>
                <m:t>6</m:t>
              </m:r>
            </m:oMath>
            <w:r>
              <w:rPr>
                <w:sz w:val="20"/>
                <w:szCs w:val="20"/>
              </w:rPr>
              <w:t xml:space="preserve">; subject fields of patient-level logs removed at the same month</w:t>
            </w:r>
          </w:p>
        </w:tc>
        <w:tc>
          <w:tcPr/>
          <w:p>
            <w:pPr>
              <w:pStyle w:val="Compact"/>
              <w:jc w:val="left"/>
            </w:pPr>
            <w:hyperlink w:anchor="sec_4_7" w:history="1">
              <w:r>
                <w:rPr>
                  <w:rStyle w:val="Hyperlink"/>
                  <w:sz w:val="20"/>
                  <w:szCs w:val="20"/>
                </w:rPr>
                <w:t xml:space="preserve">§4.7</w:t>
              </w:r>
            </w:hyperlink>
            <w:r>
              <w:rPr>
                <w:sz w:val="20"/>
                <w:szCs w:val="20"/>
              </w:rPr>
              <w:t xml:space="preserve"> steps 2–4;</w:t>
            </w:r>
            <w:r>
              <w:rPr>
                <w:sz w:val="20"/>
                <w:szCs w:val="20"/>
              </w:rPr>
              <w:t xml:space="preserve"> </w:t>
            </w:r>
            <w:r>
              <w:rPr>
                <w:rStyle w:val="VerbatimChar"/>
                <w:sz w:val="20"/>
                <w:szCs w:val="20"/>
              </w:rPr>
              <w:t xml:space="preserve">apply_invalidation()</w:t>
            </w:r>
          </w:p>
        </w:tc>
        <w:tc>
          <w:tcPr/>
          <w:p>
            <w:pPr>
              <w:pStyle w:val="Compact"/>
              <w:jc w:val="left"/>
            </w:pPr>
            <w:r>
              <w:rPr>
                <w:sz w:val="20"/>
                <w:szCs w:val="20"/>
              </w:rPr>
              <w:t xml:space="preserve">Met in the artefact (C3 over</w:t>
            </w:r>
            <w:r>
              <w:rPr>
                <w:sz w:val="20"/>
                <w:szCs w:val="20"/>
              </w:rPr>
              <w:t xml:space="preserve"> </w:t>
            </w:r>
            <m:oMath>
              <m:r>
                <m:t>α</m:t>
              </m:r>
            </m:oMath>
            <w:r>
              <w:rPr>
                <w:sz w:val="20"/>
                <w:szCs w:val="20"/>
              </w:rPr>
              <w:t xml:space="preserve"> </w:t>
            </w:r>
            <w:r>
              <w:rPr>
                <w:sz w:val="20"/>
                <w:szCs w:val="20"/>
              </w:rPr>
              <w:t xml:space="preserve">and</w:t>
            </w:r>
            <w:r>
              <w:rPr>
                <w:sz w:val="20"/>
                <w:szCs w:val="20"/>
              </w:rPr>
              <w:t xml:space="preserve"> </w:t>
            </w:r>
            <m:oMath>
              <m:r>
                <m:t>β</m:t>
              </m:r>
            </m:oMath>
            <w:r>
              <w:rPr>
                <w:sz w:val="20"/>
                <w:szCs w:val="20"/>
              </w:rPr>
              <w:t xml:space="preserve">: 0 violations)</w:t>
            </w:r>
          </w:p>
        </w:tc>
      </w:tr>
      <w:tr>
        <w:trPr>
          <w:cantSplit/>
        </w:trPr>
        <w:tc>
          <w:tcPr/>
          <w:p>
            <w:pPr>
              <w:pStyle w:val="Compact"/>
              <w:jc w:val="left"/>
            </w:pPr>
            <w:r>
              <w:rPr>
                <w:sz w:val="20"/>
                <w:szCs w:val="20"/>
              </w:rPr>
              <w:t xml:space="preserve">Same,</w:t>
            </w:r>
            <w:r>
              <w:rPr>
                <w:sz w:val="20"/>
                <w:szCs w:val="20"/>
              </w:rPr>
              <w:t xml:space="preserve"> </w:t>
            </w:r>
            <w:r>
              <w:rPr>
                <w:sz w:val="20"/>
                <w:szCs w:val="20"/>
              </w:rPr>
              <w:t xml:space="preserve">“</w:t>
            </w:r>
            <w:r>
              <w:rPr>
                <w:sz w:val="20"/>
                <w:szCs w:val="20"/>
              </w:rPr>
              <w:t xml:space="preserve">deleted or rendered unrecoverable … including any backups or redundant copies</w:t>
            </w:r>
            <w:r>
              <w:rPr>
                <w:sz w:val="20"/>
                <w:szCs w:val="20"/>
              </w:rPr>
              <w:t xml:space="preserve">”</w:t>
            </w:r>
          </w:p>
        </w:tc>
        <w:tc>
          <w:tcPr/>
          <w:p>
            <w:pPr>
              <w:pStyle w:val="Compact"/>
              <w:jc w:val="left"/>
            </w:pPr>
            <w:r>
              <w:rPr>
                <w:sz w:val="20"/>
                <w:szCs w:val="20"/>
              </w:rPr>
              <w:t xml:space="preserve">TEHDAS2 D7.4, Table 5.2, OPR-6, p. 43</w:t>
            </w:r>
          </w:p>
        </w:tc>
        <w:tc>
          <w:tcPr/>
          <w:p>
            <w:pPr>
              <w:pStyle w:val="Compact"/>
              <w:jc w:val="left"/>
            </w:pPr>
            <w:r>
              <w:rPr>
                <w:sz w:val="20"/>
                <w:szCs w:val="20"/>
              </w:rPr>
              <w:t xml:space="preserve">Key destruction renders copies the store cannot delete at once unrecoverable</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Ciphertext</w:t>
            </w:r>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Met in the optional module with real AES-256-GCM (138 of 138 refused); destruction in program memory, not hardware (</w:t>
            </w:r>
            <w:hyperlink w:anchor="sec_4_9" w:history="1">
              <w:r>
                <w:rPr>
                  <w:rStyle w:val="Hyperlink"/>
                  <w:sz w:val="20"/>
                  <w:szCs w:val="20"/>
                </w:rPr>
                <w:t xml:space="preserve">§4.9</w:t>
              </w:r>
            </w:hyperlink>
            <w:r>
              <w:rPr>
                <w:sz w:val="20"/>
                <w:szCs w:val="20"/>
              </w:rPr>
              <w:t xml:space="preserve">, </w:t>
            </w:r>
            <w:hyperlink w:anchor="sec_6_3" w:history="1">
              <w:r>
                <w:rPr>
                  <w:rStyle w:val="Hyperlink"/>
                  <w:sz w:val="20"/>
                  <w:szCs w:val="20"/>
                </w:rPr>
                <w:t xml:space="preserve">§6.3</w:t>
              </w:r>
            </w:hyperlink>
            <w:r>
              <w:rPr>
                <w:sz w:val="20"/>
                <w:szCs w:val="20"/>
              </w:rPr>
              <w:t xml:space="preserve">)</w:t>
            </w:r>
          </w:p>
        </w:tc>
      </w:tr>
      <w:tr>
        <w:trPr>
          <w:cantSplit/>
        </w:trPr>
        <w:tc>
          <w:tcPr/>
          <w:p>
            <w:pPr>
              <w:pStyle w:val="Compact"/>
              <w:jc w:val="left"/>
            </w:pPr>
            <w:r>
              <w:rPr>
                <w:sz w:val="20"/>
                <w:szCs w:val="20"/>
              </w:rPr>
              <w:t xml:space="preserve">Identifiable logs of access and activities, kept for the period needed to audit, at least one year</w:t>
            </w:r>
          </w:p>
        </w:tc>
        <w:tc>
          <w:tcPr/>
          <w:p>
            <w:pPr>
              <w:pStyle w:val="Compact"/>
              <w:jc w:val="left"/>
            </w:pPr>
            <w:r>
              <w:rPr>
                <w:sz w:val="20"/>
                <w:szCs w:val="20"/>
              </w:rPr>
              <w:t xml:space="preserve">EHDS Art. 73(1)(e)</w:t>
            </w:r>
          </w:p>
        </w:tc>
        <w:tc>
          <w:tcPr/>
          <w:p>
            <w:pPr>
              <w:pStyle w:val="Compact"/>
              <w:jc w:val="left"/>
            </w:pPr>
            <w:r>
              <w:rPr>
                <w:sz w:val="20"/>
                <w:szCs w:val="20"/>
              </w:rPr>
              <w:t xml:space="preserve">Accessor fields kept identifiable for the full floor; activity committed</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7" w:history="1">
              <w:r>
                <w:rPr>
                  <w:rStyle w:val="Hyperlink"/>
                  <w:sz w:val="20"/>
                  <w:szCs w:val="20"/>
                </w:rPr>
                <w:t xml:space="preserve">§4.7</w:t>
              </w:r>
            </w:hyperlink>
            <w:r>
              <w:rPr>
                <w:sz w:val="20"/>
                <w:szCs w:val="20"/>
              </w:rPr>
              <w:t xml:space="preserve">;</w:t>
            </w:r>
            <w:r>
              <w:rPr>
                <w:sz w:val="20"/>
                <w:szCs w:val="20"/>
              </w:rPr>
              <w:t xml:space="preserve"> </w:t>
            </w:r>
            <w:r>
              <w:rPr>
                <w:rStyle w:val="VerbatimChar"/>
                <w:sz w:val="20"/>
                <w:szCs w:val="20"/>
              </w:rPr>
              <w:t xml:space="preserve">V_II()</w:t>
            </w:r>
          </w:p>
        </w:tc>
        <w:tc>
          <w:tcPr/>
          <w:p>
            <w:pPr>
              <w:pStyle w:val="Compact"/>
              <w:jc w:val="left"/>
            </w:pPr>
            <w:r>
              <w:rPr>
                <w:sz w:val="20"/>
                <w:szCs w:val="20"/>
              </w:rPr>
              <w:t xml:space="preserve">Met in the artefact (C1 under Semantics II: 0 violations)</w:t>
            </w:r>
          </w:p>
        </w:tc>
      </w:tr>
      <w:tr>
        <w:trPr>
          <w:cantSplit/>
        </w:trPr>
        <w:tc>
          <w:tcPr/>
          <w:p>
            <w:pPr>
              <w:pStyle w:val="Compact"/>
              <w:jc w:val="left"/>
            </w:pPr>
            <w:r>
              <w:rPr>
                <w:sz w:val="20"/>
                <w:szCs w:val="20"/>
              </w:rPr>
              <w:t xml:space="preserve">“</w:t>
            </w:r>
            <w:r>
              <w:rPr>
                <w:sz w:val="20"/>
                <w:szCs w:val="20"/>
              </w:rPr>
              <w:t xml:space="preserve">All SPE logs MUST identify the actor</w:t>
            </w:r>
            <w:r>
              <w:rPr>
                <w:sz w:val="20"/>
                <w:szCs w:val="20"/>
              </w:rPr>
              <w:t xml:space="preserve">”</w:t>
            </w:r>
          </w:p>
        </w:tc>
        <w:tc>
          <w:tcPr/>
          <w:p>
            <w:pPr>
              <w:pStyle w:val="Compact"/>
              <w:jc w:val="left"/>
            </w:pPr>
            <w:r>
              <w:rPr>
                <w:sz w:val="20"/>
                <w:szCs w:val="20"/>
              </w:rPr>
              <w:t xml:space="preserve">D7.4, Table 5.1, EHDSR-7, p. 31</w:t>
            </w:r>
          </w:p>
        </w:tc>
        <w:tc>
          <w:tcPr/>
          <w:p>
            <w:pPr>
              <w:pStyle w:val="Compact"/>
              <w:jc w:val="left"/>
            </w:pPr>
            <w:r>
              <w:rPr>
                <w:sz w:val="20"/>
                <w:szCs w:val="20"/>
              </w:rPr>
              <w:t xml:space="preserve">Actor is an accessor field, never removed within the floor</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w:t>
            </w:r>
            <w:r>
              <w:rPr>
                <w:sz w:val="20"/>
                <w:szCs w:val="20"/>
              </w:rPr>
              <w:t xml:space="preserve">All SPE logs MUST be kept at least for one year</w:t>
            </w:r>
            <w:r>
              <w:rPr>
                <w:sz w:val="20"/>
                <w:szCs w:val="20"/>
              </w:rPr>
              <w:t xml:space="preserve">”</w:t>
            </w:r>
          </w:p>
        </w:tc>
        <w:tc>
          <w:tcPr/>
          <w:p>
            <w:pPr>
              <w:pStyle w:val="Compact"/>
              <w:jc w:val="left"/>
            </w:pPr>
            <w:r>
              <w:rPr>
                <w:sz w:val="20"/>
                <w:szCs w:val="20"/>
              </w:rPr>
              <w:t xml:space="preserve">D7.4, Table 5.1, EHDSR-8, p. 31; OPR-18, p. 51 (five years recommended)</w:t>
            </w:r>
          </w:p>
        </w:tc>
        <w:tc>
          <w:tcPr/>
          <w:p>
            <w:pPr>
              <w:pStyle w:val="Compact"/>
              <w:jc w:val="left"/>
            </w:pPr>
            <w:r>
              <w:rPr>
                <w:sz w:val="20"/>
                <w:szCs w:val="20"/>
              </w:rPr>
              <w:t xml:space="preserve">Floor parameter</w:t>
            </w:r>
            <w:r>
              <w:rPr>
                <w:sz w:val="20"/>
                <w:szCs w:val="20"/>
              </w:rPr>
              <w:t xml:space="preserve"> </w:t>
            </w:r>
            <m:oMath>
              <m:r>
                <m:t>F</m:t>
              </m:r>
              <m:r>
                <m:rPr>
                  <m:sty m:val="p"/>
                </m:rPr>
                <m:t>=</m:t>
              </m:r>
              <m:r>
                <m:t>12</m:t>
              </m:r>
            </m:oMath>
            <w:r>
              <w:rPr>
                <w:sz w:val="20"/>
                <w:szCs w:val="20"/>
              </w:rPr>
              <w:t xml:space="preserve">; any longer value is a parameter change (Corollary 2.2)</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Logs available for verification and auditing</w:t>
            </w:r>
          </w:p>
        </w:tc>
        <w:tc>
          <w:tcPr/>
          <w:p>
            <w:pPr>
              <w:pStyle w:val="Compact"/>
              <w:jc w:val="left"/>
            </w:pPr>
            <w:r>
              <w:rPr>
                <w:sz w:val="20"/>
                <w:szCs w:val="20"/>
              </w:rPr>
              <w:t xml:space="preserve">D7.4, Table 5.1, EHDSR-6, p. 31; OPR-8, p. 46</w:t>
            </w:r>
          </w:p>
        </w:tc>
        <w:tc>
          <w:tcPr/>
          <w:p>
            <w:pPr>
              <w:pStyle w:val="Compact"/>
              <w:jc w:val="left"/>
            </w:pPr>
            <w:r>
              <w:rPr>
                <w:sz w:val="20"/>
                <w:szCs w:val="20"/>
              </w:rPr>
              <w:t xml:space="preserve">Every access, invalidation and subject-link removal in an append-only Merkle log; inclusion proofs</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(200/200 verify; tamper tests fail)</w:t>
            </w:r>
          </w:p>
        </w:tc>
      </w:tr>
      <w:tr>
        <w:trPr>
          <w:cantSplit/>
        </w:trPr>
        <w:tc>
          <w:tcPr/>
          <w:p>
            <w:pPr>
              <w:pStyle w:val="Compact"/>
              <w:jc w:val="left"/>
            </w:pPr>
            <w:r>
              <w:rPr>
                <w:sz w:val="20"/>
                <w:szCs w:val="20"/>
              </w:rPr>
              <w:t xml:space="preserve">Logs protected against tampering</w:t>
            </w:r>
          </w:p>
        </w:tc>
        <w:tc>
          <w:tcPr/>
          <w:p>
            <w:pPr>
              <w:pStyle w:val="Compact"/>
              <w:jc w:val="left"/>
            </w:pPr>
            <w:r>
              <w:rPr>
                <w:sz w:val="20"/>
                <w:szCs w:val="20"/>
              </w:rPr>
              <w:t xml:space="preserve">D7.4, Table 5.4, OPR-17, and OPR-18, p. 51</w:t>
            </w:r>
          </w:p>
        </w:tc>
        <w:tc>
          <w:tcPr/>
          <w:p>
            <w:pPr>
              <w:pStyle w:val="Compact"/>
              <w:jc w:val="left"/>
            </w:pPr>
            <w:r>
              <w:rPr>
                <w:sz w:val="20"/>
                <w:szCs w:val="20"/>
              </w:rPr>
              <w:t xml:space="preserve">Append-only Merkle log; an altered entry fails its inclusion proof</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(both tamper tests fail</w:t>
            </w:r>
            <w:r>
              <w:rPr>
                <w:sz w:val="20"/>
                <w:szCs w:val="20"/>
              </w:rPr>
              <w:t xml:space="preserve"> </w:t>
            </w:r>
            <m:oMath>
              <m:sSup>
                <m:e>
                  <m:r>
                    <m:t>V</m:t>
                  </m:r>
                </m:e>
                <m:sup>
                  <m:r>
                    <m:t>I</m:t>
                  </m:r>
                  <m:r>
                    <m:t>I</m:t>
                  </m:r>
                </m:sup>
              </m:sSup>
            </m:oMath>
            <w:r>
              <w:rPr>
                <w:sz w:val="20"/>
                <w:szCs w:val="20"/>
              </w:rPr>
              <w:t xml:space="preserve">)</w:t>
            </w:r>
          </w:p>
        </w:tc>
      </w:tr>
      <w:tr>
        <w:trPr>
          <w:cantSplit/>
        </w:trPr>
        <w:tc>
          <w:tcPr/>
          <w:p>
            <w:pPr>
              <w:pStyle w:val="Compact"/>
              <w:jc w:val="left"/>
            </w:pPr>
            <w:r>
              <w:rPr>
                <w:sz w:val="20"/>
                <w:szCs w:val="20"/>
              </w:rPr>
              <w:t xml:space="preserve">Logging proportionate; no unnecessary detail on user behaviour; must cover access to electronic health data</w:t>
            </w:r>
          </w:p>
        </w:tc>
        <w:tc>
          <w:tcPr/>
          <w:p>
            <w:pPr>
              <w:pStyle w:val="Compact"/>
              <w:jc w:val="left"/>
            </w:pPr>
            <w:r>
              <w:rPr>
                <w:sz w:val="20"/>
                <w:szCs w:val="20"/>
              </w:rPr>
              <w:t xml:space="preserve">D7.4, Table 5.4, OPR-17, p. 51</w:t>
            </w:r>
          </w:p>
        </w:tc>
        <w:tc>
          <w:tcPr/>
          <w:p>
            <w:pPr>
              <w:pStyle w:val="Compact"/>
              <w:jc w:val="left"/>
            </w:pPr>
            <w:r>
              <w:rPr>
                <w:sz w:val="20"/>
                <w:szCs w:val="20"/>
              </w:rPr>
              <w:t xml:space="preserve">Accessor fields kept; subject fields only where the log is kept per patient record, and removed at the ceiling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10" w:history="1">
              <w:r>
                <w:rPr>
                  <w:rStyle w:val="Hyperlink"/>
                  <w:sz w:val="20"/>
                  <w:szCs w:val="20"/>
                </w:rPr>
                <w:t xml:space="preserve">§4.10</w:t>
              </w:r>
            </w:hyperlink>
            <w:r>
              <w:rPr>
                <w:sz w:val="20"/>
                <w:szCs w:val="20"/>
              </w:rPr>
              <w:t xml:space="preserve"> Rival 3</w:t>
            </w:r>
          </w:p>
        </w:tc>
        <w:tc>
          <w:tcPr/>
          <w:p>
            <w:pPr>
              <w:pStyle w:val="Compact"/>
              <w:jc w:val="left"/>
            </w:pPr>
            <w:r>
              <w:rPr>
                <w:sz w:val="20"/>
                <w:szCs w:val="20"/>
              </w:rPr>
              <w:t xml:space="preserve">Met by specification; granularity is the operator’s choice, which the specification leaves open</w:t>
            </w:r>
          </w:p>
        </w:tc>
      </w:tr>
      <w:tr>
        <w:trPr>
          <w:cantSplit/>
        </w:trPr>
        <w:tc>
          <w:tcPr/>
          <w:p>
            <w:pPr>
              <w:pStyle w:val="Compact"/>
              <w:jc w:val="left"/>
            </w:pPr>
            <w:r>
              <w:rPr>
                <w:sz w:val="20"/>
                <w:szCs w:val="20"/>
              </w:rPr>
              <w:t xml:space="preserve">Deletion</w:t>
            </w:r>
            <w:r>
              <w:rPr>
                <w:sz w:val="20"/>
                <w:szCs w:val="20"/>
              </w:rPr>
              <w:t xml:space="preserve"> </w:t>
            </w:r>
            <w:r>
              <w:rPr>
                <w:sz w:val="20"/>
                <w:szCs w:val="20"/>
              </w:rPr>
              <w:t xml:space="preserve">“</w:t>
            </w:r>
            <w:r>
              <w:rPr>
                <w:sz w:val="20"/>
                <w:szCs w:val="20"/>
              </w:rPr>
              <w:t xml:space="preserve">while ensuring compliance with applicable legal obligations and traceability or reproducibility requirements</w:t>
            </w:r>
            <w:r>
              <w:rPr>
                <w:sz w:val="20"/>
                <w:szCs w:val="20"/>
              </w:rPr>
              <w:t xml:space="preserve">”</w:t>
            </w:r>
            <w:r>
              <w:rPr>
                <w:sz w:val="20"/>
                <w:szCs w:val="20"/>
              </w:rPr>
              <w:t xml:space="preserve">; the deletion and retention policy to</w:t>
            </w:r>
            <w:r>
              <w:rPr>
                <w:sz w:val="20"/>
                <w:szCs w:val="20"/>
              </w:rPr>
              <w:t xml:space="preserve"> </w:t>
            </w:r>
            <w:r>
              <w:rPr>
                <w:sz w:val="20"/>
                <w:szCs w:val="20"/>
              </w:rPr>
              <w:t xml:space="preserve">“</w:t>
            </w:r>
            <w:r>
              <w:rPr>
                <w:sz w:val="20"/>
                <w:szCs w:val="20"/>
              </w:rPr>
              <w:t xml:space="preserve">balance these obligations</w:t>
            </w:r>
            <w:r>
              <w:rPr>
                <w:sz w:val="20"/>
                <w:szCs w:val="20"/>
              </w:rPr>
              <w:t xml:space="preserve">”</w:t>
            </w:r>
          </w:p>
        </w:tc>
        <w:tc>
          <w:tcPr/>
          <w:p>
            <w:pPr>
              <w:pStyle w:val="Compact"/>
              <w:jc w:val="left"/>
            </w:pPr>
            <w:r>
              <w:rPr>
                <w:sz w:val="20"/>
                <w:szCs w:val="20"/>
              </w:rPr>
              <w:t xml:space="preserve">D7.4, Table 5.2, OPR-6, p. 43</w:t>
            </w:r>
          </w:p>
        </w:tc>
        <w:tc>
          <w:tcPr/>
          <w:p>
            <w:pPr>
              <w:pStyle w:val="Compact"/>
              <w:jc w:val="left"/>
            </w:pPr>
            <w:r>
              <w:rPr>
                <w:sz w:val="20"/>
                <w:szCs w:val="20"/>
              </w:rPr>
              <w:t xml:space="preserve">Supplies the balance for the logs: what accountability needs is kept, what the ceiling reaches is invalidated</w:t>
            </w:r>
          </w:p>
        </w:tc>
        <w:tc>
          <w:tcPr/>
          <w:p>
            <w:pPr>
              <w:pStyle w:val="Compact"/>
              <w:jc w:val="left"/>
            </w:pPr>
            <w:hyperlink w:anchor="sec_4_7" w:history="1">
              <w:r>
                <w:rPr>
                  <w:rStyle w:val="Hyperlink"/>
                  <w:sz w:val="20"/>
                  <w:szCs w:val="20"/>
                </w:rPr>
                <w:t xml:space="preserve">§4.7</w:t>
              </w:r>
            </w:hyperlink>
            <w:r>
              <w:rPr>
                <w:sz w:val="20"/>
                <w:szCs w:val="20"/>
              </w:rPr>
              <w:t xml:space="preserve">, </w:t>
            </w:r>
            <w:hyperlink w:anchor="sec_4_8" w:history="1">
              <w:r>
                <w:rPr>
                  <w:rStyle w:val="Hyperlink"/>
                  <w:sz w:val="20"/>
                  <w:szCs w:val="20"/>
                </w:rPr>
                <w:t xml:space="preserve">§4.8</w:t>
              </w:r>
            </w:hyperlink>
          </w:p>
        </w:tc>
        <w:tc>
          <w:tcPr/>
          <w:p>
            <w:pPr>
              <w:pStyle w:val="Compact"/>
              <w:jc w:val="left"/>
            </w:pPr>
            <w:r>
              <w:rPr>
                <w:sz w:val="20"/>
                <w:szCs w:val="20"/>
              </w:rPr>
              <w:t xml:space="preserve">Met by specification: the specification asks for the balance and leaves its form open</w:t>
            </w:r>
          </w:p>
        </w:tc>
      </w:tr>
      <w:tr>
        <w:trPr>
          <w:cantSplit/>
        </w:trPr>
        <w:tc>
          <w:tcPr/>
          <w:p>
            <w:pPr>
              <w:pStyle w:val="Compact"/>
              <w:jc w:val="left"/>
            </w:pPr>
            <w:r>
              <w:rPr>
                <w:sz w:val="20"/>
                <w:szCs w:val="20"/>
              </w:rPr>
              <w:t xml:space="preserve">Whether the audit purpose needs the subject link after the ceiling</w:t>
            </w:r>
          </w:p>
        </w:tc>
        <w:tc>
          <w:tcPr/>
          <w:p>
            <w:pPr>
              <w:pStyle w:val="Compact"/>
              <w:jc w:val="left"/>
            </w:pPr>
            <w:r>
              <w:rPr>
                <w:sz w:val="20"/>
                <w:szCs w:val="20"/>
              </w:rPr>
              <w:t xml:space="preserve">EHDS Art. 73(1)(e) read with Art. 68(12)</w:t>
            </w:r>
          </w:p>
        </w:tc>
        <w:tc>
          <w:tcPr/>
          <w:p>
            <w:pPr>
              <w:pStyle w:val="Compact"/>
              <w:jc w:val="left"/>
            </w:pPr>
            <w:r>
              <w:rPr>
                <w:sz w:val="20"/>
                <w:szCs w:val="20"/>
              </w:rPr>
              <w:t xml:space="preserve">Removes it; keeps accessor fields</w:t>
            </w:r>
          </w:p>
        </w:tc>
        <w:tc>
          <w:tcPr/>
          <w:p>
            <w:pPr>
              <w:pStyle w:val="Compact"/>
              <w:jc w:val="left"/>
            </w:pPr>
            <w:hyperlink w:anchor="sec_4_6" w:history="1">
              <w:r>
                <w:rPr>
                  <w:rStyle w:val="Hyperlink"/>
                  <w:sz w:val="20"/>
                  <w:szCs w:val="20"/>
                </w:rPr>
                <w:t xml:space="preserve">§4.6</w:t>
              </w:r>
            </w:hyperlink>
            <w:r>
              <w:rPr>
                <w:sz w:val="20"/>
                <w:szCs w:val="20"/>
              </w:rPr>
              <w:t xml:space="preserve">, </w:t>
            </w:r>
            <w:hyperlink w:anchor="sec_7_4" w:history="1">
              <w:r>
                <w:rPr>
                  <w:rStyle w:val="Hyperlink"/>
                  <w:sz w:val="20"/>
                  <w:szCs w:val="20"/>
                </w:rPr>
                <w:t xml:space="preserve">§7.4</w:t>
              </w:r>
            </w:hyperlink>
          </w:p>
        </w:tc>
        <w:tc>
          <w:tcPr/>
          <w:p>
            <w:pPr>
              <w:pStyle w:val="Compact"/>
              <w:jc w:val="left"/>
            </w:pPr>
            <w:r>
              <w:rPr>
                <w:sz w:val="20"/>
                <w:szCs w:val="20"/>
              </w:rPr>
              <w:t xml:space="preserve">Open: interpretation for the supervisory authority</w:t>
            </w:r>
          </w:p>
        </w:tc>
      </w:tr>
      <w:tr>
        <w:trPr>
          <w:cantSplit/>
        </w:trPr>
        <w:tc>
          <w:tcPr/>
          <w:p>
            <w:pPr>
              <w:pStyle w:val="Compact"/>
              <w:jc w:val="left"/>
            </w:pPr>
            <w:r>
              <w:rPr>
                <w:sz w:val="20"/>
                <w:szCs w:val="20"/>
              </w:rPr>
              <w:t xml:space="preserve">Erasure without undue delay, within one month (extendable by two)</w:t>
            </w:r>
          </w:p>
        </w:tc>
        <w:tc>
          <w:tcPr/>
          <w:p>
            <w:pPr>
              <w:pStyle w:val="Compact"/>
              <w:jc w:val="left"/>
            </w:pPr>
            <w:r>
              <w:rPr>
                <w:sz w:val="20"/>
                <w:szCs w:val="20"/>
              </w:rPr>
              <w:t xml:space="preserve">GDPR Arts. 17(1), 12(3)</w:t>
            </w:r>
          </w:p>
        </w:tc>
        <w:tc>
          <w:tcPr/>
          <w:p>
            <w:pPr>
              <w:pStyle w:val="Compact"/>
              <w:jc w:val="left"/>
            </w:pPr>
            <w:r>
              <w:rPr>
                <w:sz w:val="20"/>
                <w:szCs w:val="20"/>
              </w:rPr>
              <w:t xml:space="preserve">Invalidation at</w:t>
            </w:r>
            <w:r>
              <w:rPr>
                <w:sz w:val="20"/>
                <w:szCs w:val="20"/>
              </w:rPr>
              <w:t xml:space="preserve"> </w:t>
            </w:r>
            <m:oMath>
              <m:sSub>
                <m:e>
                  <m:r>
                    <m:t>t</m:t>
                  </m:r>
                </m:e>
                <m:sub>
                  <m:r>
                    <m:t>r</m:t>
                  </m:r>
                </m:sub>
              </m:sSub>
              <m:r>
                <m:rPr>
                  <m:sty m:val="p"/>
                </m:rPr>
                <m:t>+</m:t>
              </m:r>
              <m:r>
                <m:t>δ</m:t>
              </m:r>
            </m:oMath>
            <w:r>
              <w:rPr>
                <w:sz w:val="20"/>
                <w:szCs w:val="20"/>
              </w:rPr>
              <w:t xml:space="preserve">,</w:t>
            </w:r>
            <w:r>
              <w:rPr>
                <w:sz w:val="20"/>
                <w:szCs w:val="20"/>
              </w:rPr>
              <w:t xml:space="preserve"> </w:t>
            </w:r>
            <m:oMath>
              <m:r>
                <m:t>δ</m:t>
              </m:r>
              <m:r>
                <m:rPr>
                  <m:sty m:val="p"/>
                </m:rPr>
                <m:t>∈</m:t>
              </m:r>
              <m:r>
                <m:rPr>
                  <m:sty m:val="p"/>
                </m:rPr>
                <m:t>{</m:t>
              </m:r>
              <m:r>
                <m:t>1</m:t>
              </m:r>
              <m:r>
                <m:rPr>
                  <m:sty m:val="p"/>
                </m:rPr>
                <m:t>,</m:t>
              </m:r>
              <m:r>
                <m:t>3</m:t>
              </m:r>
              <m:r>
                <m:rPr>
                  <m:sty m:val="p"/>
                </m:rPr>
                <m:t>}</m:t>
              </m:r>
            </m:oMath>
          </w:p>
        </w:tc>
        <w:tc>
          <w:tcPr/>
          <w:p>
            <w:pPr>
              <w:pStyle w:val="Compact"/>
              <w:jc w:val="left"/>
            </w:pPr>
            <w:hyperlink w:anchor="sec_4_4" w:history="1">
              <w:r>
                <w:rPr>
                  <w:rStyle w:val="Hyperlink"/>
                  <w:sz w:val="20"/>
                  <w:szCs w:val="20"/>
                </w:rPr>
                <w:t xml:space="preserve">§4.4</w:t>
              </w:r>
            </w:hyperlink>
            <w:r>
              <w:rPr>
                <w:sz w:val="20"/>
                <w:szCs w:val="20"/>
              </w:rPr>
              <w:t xml:space="preserve"> C2;</w:t>
            </w:r>
            <w:r>
              <w:rPr>
                <w:sz w:val="20"/>
                <w:szCs w:val="20"/>
              </w:rPr>
              <w:t xml:space="preserve"> </w:t>
            </w:r>
            <w:r>
              <w:rPr>
                <w:rStyle w:val="VerbatimChar"/>
                <w:sz w:val="20"/>
                <w:szCs w:val="20"/>
              </w:rPr>
              <w:t xml:space="preserve">--delta-witness</w:t>
            </w:r>
          </w:p>
        </w:tc>
        <w:tc>
          <w:tcPr/>
          <w:p>
            <w:pPr>
              <w:pStyle w:val="Compact"/>
              <w:jc w:val="left"/>
            </w:pPr>
            <w:r>
              <w:rPr>
                <w:sz w:val="20"/>
                <w:szCs w:val="20"/>
              </w:rPr>
              <w:t xml:space="preserve">Met in the artefact (both</w:t>
            </w:r>
            <w:r>
              <w:rPr>
                <w:sz w:val="20"/>
                <w:szCs w:val="20"/>
              </w:rPr>
              <w:t xml:space="preserve"> </w:t>
            </w:r>
            <m:oMath>
              <m:r>
                <m:t>δ</m:t>
              </m:r>
            </m:oMath>
            <w:r>
              <w:rPr>
                <w:sz w:val="20"/>
                <w:szCs w:val="20"/>
              </w:rPr>
              <w:t xml:space="preserve">)</w:t>
            </w:r>
          </w:p>
        </w:tc>
      </w:tr>
      <w:tr>
        <w:trPr>
          <w:cantSplit/>
        </w:trPr>
        <w:tc>
          <w:tcPr/>
          <w:p>
            <w:pPr>
              <w:pStyle w:val="Compact"/>
              <w:jc w:val="left"/>
            </w:pPr>
            <w:r>
              <w:rPr>
                <w:sz w:val="20"/>
                <w:szCs w:val="20"/>
              </w:rPr>
              <w:t xml:space="preserve">Retention only as far as the legal obligation requires</w:t>
            </w:r>
          </w:p>
        </w:tc>
        <w:tc>
          <w:tcPr/>
          <w:p>
            <w:pPr>
              <w:pStyle w:val="Compact"/>
              <w:jc w:val="left"/>
            </w:pPr>
            <w:r>
              <w:rPr>
                <w:sz w:val="20"/>
                <w:szCs w:val="20"/>
              </w:rPr>
              <w:t xml:space="preserve">GDPR Arts. 17(3)(b), 5(1)(c)</w:t>
            </w:r>
          </w:p>
        </w:tc>
        <w:tc>
          <w:tcPr/>
          <w:p>
            <w:pPr>
              <w:pStyle w:val="Compact"/>
              <w:jc w:val="left"/>
            </w:pPr>
            <w:r>
              <w:rPr>
                <w:sz w:val="20"/>
                <w:szCs w:val="20"/>
              </w:rPr>
              <w:t xml:space="preserve">Keeps accountability content and commitment; removes payload</w:t>
            </w:r>
          </w:p>
        </w:tc>
        <w:tc>
          <w:tcPr/>
          <w:p>
            <w:pPr>
              <w:pStyle w:val="Compact"/>
              <w:jc w:val="left"/>
            </w:pPr>
            <w:hyperlink w:anchor="sec_4_2" w:history="1">
              <w:r>
                <w:rPr>
                  <w:rStyle w:val="Hyperlink"/>
                  <w:sz w:val="20"/>
                  <w:szCs w:val="20"/>
                </w:rPr>
                <w:t xml:space="preserve">§4.2</w:t>
              </w:r>
            </w:hyperlink>
          </w:p>
        </w:tc>
        <w:tc>
          <w:tcPr/>
          <w:p>
            <w:pPr>
              <w:pStyle w:val="Compact"/>
              <w:jc w:val="left"/>
            </w:pPr>
            <w:r>
              <w:rPr>
                <w:sz w:val="20"/>
                <w:szCs w:val="20"/>
              </w:rPr>
              <w:t xml:space="preserve">Met by specification (necessity argument)</w:t>
            </w:r>
          </w:p>
        </w:tc>
      </w:tr>
      <w:tr>
        <w:trPr>
          <w:cantSplit/>
        </w:trPr>
        <w:tc>
          <w:tcPr/>
          <w:p>
            <w:pPr>
              <w:pStyle w:val="Compact"/>
              <w:jc w:val="left"/>
            </w:pPr>
            <w:r>
              <w:rPr>
                <w:sz w:val="20"/>
                <w:szCs w:val="20"/>
              </w:rPr>
              <w:t xml:space="preserve">Not kept in identifiable form longer than necessary</w:t>
            </w:r>
          </w:p>
        </w:tc>
        <w:tc>
          <w:tcPr/>
          <w:p>
            <w:pPr>
              <w:pStyle w:val="Compact"/>
              <w:jc w:val="left"/>
            </w:pPr>
            <w:r>
              <w:rPr>
                <w:sz w:val="20"/>
                <w:szCs w:val="20"/>
              </w:rPr>
              <w:t xml:space="preserve">GDPR Art. 5(1)(e)</w:t>
            </w:r>
          </w:p>
        </w:tc>
        <w:tc>
          <w:tcPr/>
          <w:p>
            <w:pPr>
              <w:pStyle w:val="Compact"/>
              <w:jc w:val="left"/>
            </w:pPr>
            <w:r>
              <w:rPr>
                <w:sz w:val="20"/>
                <w:szCs w:val="20"/>
              </w:rPr>
              <w:t xml:space="preserve">Terminal transition after the floor</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End of life</w:t>
            </w:r>
          </w:p>
        </w:tc>
        <w:tc>
          <w:tcPr/>
          <w:p>
            <w:pPr>
              <w:pStyle w:val="Compact"/>
              <w:jc w:val="left"/>
            </w:pPr>
            <w:r>
              <w:rPr>
                <w:sz w:val="20"/>
                <w:szCs w:val="20"/>
              </w:rPr>
              <w:t xml:space="preserve">Met by specification; not implemented in the checker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Key deletion may serve erasure where physical deletion is not possible; threat model documented</w:t>
            </w:r>
          </w:p>
        </w:tc>
        <w:tc>
          <w:tcPr/>
          <w:p>
            <w:pPr>
              <w:pStyle w:val="Compact"/>
              <w:jc w:val="left"/>
            </w:pPr>
            <w:r>
              <w:rPr>
                <w:sz w:val="20"/>
                <w:szCs w:val="20"/>
              </w:rPr>
              <w:t xml:space="preserve">EDPB Guidelines 02/2025 v2.0; Aikebaier (2026) on the threat model</w:t>
            </w:r>
          </w:p>
        </w:tc>
        <w:tc>
          <w:tcPr/>
          <w:p>
            <w:pPr>
              <w:pStyle w:val="Compact"/>
              <w:jc w:val="left"/>
            </w:pPr>
            <w:r>
              <w:rPr>
                <w:sz w:val="20"/>
                <w:szCs w:val="20"/>
              </w:rPr>
              <w:t xml:space="preserve">Per-record keys under a key-encrypting key; trust assumptions stated</w:t>
            </w:r>
          </w:p>
        </w:tc>
        <w:tc>
          <w:tcPr/>
          <w:p>
            <w:pPr>
              <w:pStyle w:val="Compact"/>
              <w:jc w:val="left"/>
            </w:pPr>
            <w:hyperlink w:anchor="sec_4_8" w:history="1">
              <w:r>
                <w:rPr>
                  <w:rStyle w:val="Hyperlink"/>
                  <w:sz w:val="20"/>
                  <w:szCs w:val="20"/>
                </w:rPr>
                <w:t xml:space="preserve">§4.8</w:t>
              </w:r>
            </w:hyperlink>
            <w:r>
              <w:rPr>
                <w:sz w:val="20"/>
                <w:szCs w:val="20"/>
              </w:rPr>
              <w:t xml:space="preserve">, </w:t>
            </w:r>
            <w:hyperlink w:anchor="sec_4_9" w:history="1">
              <w:r>
                <w:rPr>
                  <w:rStyle w:val="Hyperlink"/>
                  <w:sz w:val="20"/>
                  <w:szCs w:val="20"/>
                </w:rPr>
                <w:t xml:space="preserve">§4.9</w:t>
              </w:r>
            </w:hyperlink>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Hierarchy met in the optional module; hardware custody and the threat model by specification</w:t>
            </w:r>
          </w:p>
        </w:tc>
      </w:tr>
      <w:tr>
        <w:trPr>
          <w:cantSplit/>
        </w:trPr>
        <w:tc>
          <w:tcPr/>
          <w:p>
            <w:pPr>
              <w:pStyle w:val="Compact"/>
              <w:jc w:val="left"/>
            </w:pPr>
            <w:r>
              <w:rPr>
                <w:sz w:val="20"/>
                <w:szCs w:val="20"/>
              </w:rPr>
              <w:t xml:space="preserve">Audit message records the query segment</w:t>
            </w:r>
          </w:p>
        </w:tc>
        <w:tc>
          <w:tcPr/>
          <w:p>
            <w:pPr>
              <w:pStyle w:val="Compact"/>
              <w:jc w:val="left"/>
            </w:pPr>
            <w:r>
              <w:rPr>
                <w:sz w:val="20"/>
                <w:szCs w:val="20"/>
              </w:rPr>
              <w:t xml:space="preserve">IHE ITI-55, §3.55.5.1</w:t>
            </w:r>
          </w:p>
        </w:tc>
        <w:tc>
          <w:tcPr/>
          <w:p>
            <w:pPr>
              <w:pStyle w:val="Compact"/>
              <w:jc w:val="left"/>
            </w:pPr>
            <w:r>
              <w:rPr>
                <w:sz w:val="20"/>
                <w:szCs w:val="20"/>
              </w:rPr>
              <w:t xml:space="preserve">Treated as payload: committed, then invalidated on request</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 (cross-border payload models the query)</w:t>
            </w:r>
          </w:p>
        </w:tc>
      </w:tr>
      <w:tr>
        <w:trPr>
          <w:cantSplit/>
        </w:trPr>
        <w:tc>
          <w:tcPr/>
          <w:p>
            <w:pPr>
              <w:pStyle w:val="Compact"/>
              <w:jc w:val="left"/>
            </w:pPr>
            <w:r>
              <w:rPr>
                <w:sz w:val="20"/>
                <w:szCs w:val="20"/>
              </w:rPr>
              <w:t xml:space="preserve">Information-security management system (mandatory); ISO 27001 (recommended); eID login at defined assurance levels; personnel security</w:t>
            </w:r>
          </w:p>
        </w:tc>
        <w:tc>
          <w:tcPr/>
          <w:p>
            <w:pPr>
              <w:pStyle w:val="Compact"/>
              <w:jc w:val="left"/>
            </w:pPr>
            <w:r>
              <w:rPr>
                <w:sz w:val="20"/>
                <w:szCs w:val="20"/>
              </w:rPr>
              <w:t xml:space="preserve">SPUHiN (2025), hearing version</w:t>
            </w:r>
          </w:p>
        </w:tc>
        <w:tc>
          <w:tcPr/>
          <w:p>
            <w:pPr>
              <w:pStyle w:val="Compact"/>
              <w:jc w:val="left"/>
            </w:pPr>
            <w:r>
              <w:rPr>
                <w:sz w:val="20"/>
                <w:szCs w:val="20"/>
              </w:rPr>
              <w:t xml:space="preserve">Requires none of these to change; operates at the logging boundary</w:t>
            </w:r>
          </w:p>
        </w:tc>
        <w:tc>
          <w:tcPr/>
          <w:p>
            <w:pPr>
              <w:pStyle w:val="Compact"/>
              <w:jc w:val="left"/>
            </w:pPr>
            <w:hyperlink w:anchor="sec_4_11" w:history="1">
              <w:r>
                <w:rPr>
                  <w:rStyle w:val="Hyperlink"/>
                  <w:sz w:val="20"/>
                  <w:szCs w:val="20"/>
                </w:rPr>
                <w:t xml:space="preserve">§4.11</w:t>
              </w:r>
            </w:hyperlink>
          </w:p>
        </w:tc>
        <w:tc>
          <w:tcPr/>
          <w:p>
            <w:pPr>
              <w:pStyle w:val="Compact"/>
              <w:jc w:val="left"/>
            </w:pPr>
            <w:r>
              <w:rPr>
                <w:sz w:val="20"/>
                <w:szCs w:val="20"/>
              </w:rPr>
              <w:t xml:space="preserve">No conflict</w:t>
            </w:r>
          </w:p>
        </w:tc>
      </w:tr>
      <w:tr>
        <w:trPr>
          <w:cantSplit/>
        </w:trPr>
        <w:tc>
          <w:tcPr/>
          <w:p>
            <w:pPr>
              <w:pStyle w:val="Compact"/>
              <w:jc w:val="left"/>
            </w:pPr>
            <w:r>
              <w:rPr>
                <w:sz w:val="20"/>
                <w:szCs w:val="20"/>
              </w:rPr>
              <w:t xml:space="preserve">Reconciliation of log retention with deletion</w:t>
            </w:r>
          </w:p>
        </w:tc>
        <w:tc>
          <w:tcPr/>
          <w:p>
            <w:pPr>
              <w:pStyle w:val="Compact"/>
              <w:jc w:val="left"/>
            </w:pPr>
            <w:r>
              <w:rPr>
                <w:sz w:val="20"/>
                <w:szCs w:val="20"/>
              </w:rPr>
              <w:t xml:space="preserve">SPUHiN (2025), hearing version</w:t>
            </w:r>
          </w:p>
        </w:tc>
        <w:tc>
          <w:tcPr/>
          <w:p>
            <w:pPr>
              <w:pStyle w:val="Compact"/>
              <w:jc w:val="left"/>
            </w:pPr>
            <w:r>
              <w:rPr>
                <w:sz w:val="20"/>
                <w:szCs w:val="20"/>
              </w:rPr>
              <w:t xml:space="preserve">Not addressed by the criteria at any grade; the mechanism supplies one</w:t>
            </w:r>
          </w:p>
        </w:tc>
        <w:tc>
          <w:tcPr/>
          <w:p>
            <w:pPr>
              <w:pStyle w:val="Compact"/>
              <w:jc w:val="left"/>
            </w:pPr>
            <w:hyperlink w:anchor="sec_2_6" w:history="1">
              <w:r>
                <w:rPr>
                  <w:rStyle w:val="Hyperlink"/>
                  <w:sz w:val="20"/>
                  <w:szCs w:val="20"/>
                </w:rPr>
                <w:t xml:space="preserve">§2.6</w:t>
              </w:r>
            </w:hyperlink>
            <w:r>
              <w:rPr>
                <w:sz w:val="20"/>
                <w:szCs w:val="20"/>
              </w:rPr>
              <w:t xml:space="preserve">, </w:t>
            </w:r>
            <w:hyperlink w:anchor="sec_4_11" w:history="1">
              <w:r>
                <w:rPr>
                  <w:rStyle w:val="Hyperlink"/>
                  <w:sz w:val="20"/>
                  <w:szCs w:val="20"/>
                </w:rPr>
                <w:t xml:space="preserve">§4.11</w:t>
              </w:r>
            </w:hyperlink>
          </w:p>
        </w:tc>
        <w:tc>
          <w:tcPr/>
          <w:p>
            <w:pPr>
              <w:pStyle w:val="Compact"/>
              <w:jc w:val="left"/>
            </w:pPr>
            <w:r>
              <w:rPr>
                <w:sz w:val="20"/>
                <w:szCs w:val="20"/>
              </w:rPr>
              <w:t xml:space="preserve">Gap the thesis addresses</w:t>
            </w:r>
          </w:p>
        </w:tc>
      </w:tr>
    </w:tbl>
    <w:p>
      <w:pPr>
        <w:pStyle w:val="BodyText"/>
        <w:spacing w:before="240" w:after="160" w:line="360" w:lineRule="auto"/>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is designed to test with practitioners.</w:t>
      </w:r>
    </w:p>
    <w:bookmarkEnd w:id="71"/>
    <w:bookmarkStart w:id="72" w:name="summary"/>
    <w:p>
      <w:pPr>
        <w:pStyle w:val="Heading2"/>
      </w:pPr>
      <w:bookmarkStart w:id="1056" w:name="sec_4_12"/>
      <w:r>
        <w:t xml:space="preserve">4.12 Summary</w:t>
      </w:r>
      <w:bookmarkEnd w:id="1056"/>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hyperlink w:anchor="ch_5" w:history="1">
        <w:r>
          <w:rPr>
            <w:rStyle w:val="Hyperlink"/>
          </w:rPr>
          <w:t xml:space="preserve">Chapter 5</w:t>
        </w:r>
      </w:hyperlink>
      <w:r>
        <w:t xml:space="preserve"> demonstrates Propositions 1 and 2 executably, over synthetic records generated as described in Chapter 3.</w:t>
      </w:r>
    </w:p>
    <w:bookmarkEnd w:id="72"/>
    <w:bookmarkEnd w:id="73"/>
    <w:bookmarkStart w:id="82" w:name="chapter-5.-demonstration"/>
    <w:p>
      <w:pPr>
        <w:pStyle w:val="Heading1"/>
      </w:pPr>
      <w:bookmarkStart w:id="1057" w:name="ch_5"/>
      <w:r>
        <w:t xml:space="preserve">Chapter 5. Demonstration</w:t>
      </w:r>
      <w:bookmarkEnd w:id="1057"/>
    </w:p>
    <w:p>
      <w:pPr>
        <w:pStyle w:val="FirstParagraph"/>
      </w:pPr>
      <w:r>
        <w:rPr>
          <w:iCs/>
          <w:i/>
        </w:rPr>
        <w:t xml:space="preserve">Every figure reported in this chapter was produced by the code listed in Appendix A, executed under seed 20260915. The full-cohort comparison of </w:t>
      </w:r>
      <w:hyperlink w:anchor="tbl_5_7" w:history="1">
        <w:r>
          <w:rPr>
            <w:rStyle w:val="Hyperlink"/>
            <w:iCs/>
            <w:i/>
          </w:rPr>
          <w:t xml:space="preserve">Table 5.7</w:t>
        </w:r>
      </w:hyperlink>
      <w:r>
        <w:rPr>
          <w:iCs/>
          <w:i/>
        </w:rPr>
        <w:t xml:space="preserve"> was recorded on 28 September with the code of that date; the committed-subset run (Appendix A, A.21) repeats it with the current code and gives the same figures.</w:t>
      </w:r>
    </w:p>
    <w:bookmarkStart w:id="74" w:name="purpose-and-claim"/>
    <w:p>
      <w:pPr>
        <w:pStyle w:val="Heading2"/>
      </w:pPr>
      <w:bookmarkStart w:id="1058" w:name="sec_5_1"/>
      <w:r>
        <w:t xml:space="preserve">5.1 Purpose and Claim</w:t>
      </w:r>
      <w:bookmarkEnd w:id="1058"/>
    </w:p>
    <w:p>
      <w:pPr>
        <w:pStyle w:val="FirstParagraph"/>
      </w:pPr>
      <w:r>
        <w:t xml:space="preserve">This chapter discharges Activity 4 of the design science cycle set out in </w:t>
      </w:r>
      <w:hyperlink w:anchor="ch_3" w:history="1">
        <w:r>
          <w:rPr>
            <w:rStyle w:val="Hyperlink"/>
          </w:rPr>
          <w:t xml:space="preserve">Chapter 3</w:t>
        </w:r>
      </w:hyperlink>
      <w:r>
        <w:t xml:space="preserve">, </w:t>
      </w:r>
      <w:hyperlink w:anchor="sec_3_2" w:history="1">
        <w:r>
          <w:rPr>
            <w:rStyle w:val="Hyperlink"/>
          </w:rPr>
          <w:t xml:space="preserve">Section 3.2</w:t>
        </w:r>
      </w:hyperlink>
      <w:r>
        <w:t xml:space="preserve">: demonstration. Its function is narrow.</w:t>
      </w:r>
    </w:p>
    <w:p>
      <w:pPr>
        <w:pStyle w:val="BodyText"/>
      </w:pPr>
      <w:r>
        <w:t xml:space="preserve">The chapter demonstrates that Propositions 1 and 2 of </w:t>
      </w:r>
      <w:hyperlink w:anchor="ch_4" w:history="1">
        <w:r>
          <w:rPr>
            <w:rStyle w:val="Hyperlink"/>
          </w:rPr>
          <w:t xml:space="preserve">Chapter 4</w:t>
        </w:r>
      </w:hyperlink>
      <w:r>
        <w:t xml:space="preserve"> hold on the instances examined; Propositions 3 and 4 are analytic and are not executed here, although </w:t>
      </w:r>
      <w:hyperlink w:anchor="sec_5_4" w:history="1">
        <w:r>
          <w:rPr>
            <w:rStyle w:val="Hyperlink"/>
          </w:rPr>
          <w:t xml:space="preserve">Section 5.4</w:t>
        </w:r>
      </w:hyperlink>
      <w:r>
        <w:t xml:space="preserve"> computes the condition of Proposition 3.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w:t>
      </w:r>
    </w:p>
    <w:bookmarkEnd w:id="74"/>
    <w:bookmarkStart w:id="75" w:name="implementation"/>
    <w:p>
      <w:pPr>
        <w:pStyle w:val="Heading2"/>
      </w:pPr>
      <w:bookmarkStart w:id="1059" w:name="sec_5_2"/>
      <w:r>
        <w:t xml:space="preserve">5.2 Implementation</w:t>
      </w:r>
      <w:bookmarkEnd w:id="1059"/>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w:t>
      </w:r>
    </w:p>
    <w:p>
      <w:pPr>
        <w:pStyle w:val="TableCaption"/>
      </w:pPr>
      <w:bookmarkStart w:id="1003" w:name="tbl_5_1"/>
      <w:r>
        <w:rPr>
          <w:b/>
          <w:color w:val="1F3864"/>
        </w:rPr>
        <w:t xml:space="preserve">Table 5.1.</w:t>
      </w:r>
      <w:r>
        <w:t xml:space="preserve"> The artefact as published</w:t>
      </w:r>
      <w:bookmarkEnd w:id="1003"/>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Module</w:t>
            </w:r>
          </w:p>
        </w:tc>
        <w:tc>
          <w:tcPr>
            <w:tcBorders>
              <w:bottom w:val="single" w:sz="8" w:space="0" w:color="333333"/>
            </w:tcBorders>
            <w:shd w:val="clear" w:color="auto" w:fill="E8EDF4"/>
          </w:tcPr>
          <w:p>
            <w:pPr>
              <w:pStyle w:val="Compact"/>
              <w:jc w:val="left"/>
            </w:pPr>
            <w:r>
              <w:rPr>
                <w:b/>
                <w:sz w:val="20"/>
                <w:szCs w:val="20"/>
              </w:rPr>
              <w:t xml:space="preserve">Lines</w:t>
            </w:r>
          </w:p>
        </w:tc>
        <w:tc>
          <w:tcPr>
            <w:tcBorders>
              <w:bottom w:val="single" w:sz="8" w:space="0" w:color="333333"/>
            </w:tcBorders>
            <w:shd w:val="clear" w:color="auto" w:fill="E8EDF4"/>
          </w:tcPr>
          <w:p>
            <w:pPr>
              <w:pStyle w:val="Compact"/>
              <w:jc w:val="left"/>
            </w:pPr>
            <w:r>
              <w:rPr>
                <w:b/>
                <w:sz w:val="20"/>
                <w:szCs w:val="20"/>
              </w:rPr>
              <w:t xml:space="preserve">What it does</w:t>
            </w:r>
          </w:p>
        </w:tc>
        <w:tc>
          <w:tcPr>
            <w:tcBorders>
              <w:bottom w:val="single" w:sz="8" w:space="0" w:color="333333"/>
            </w:tcBorders>
            <w:shd w:val="clear" w:color="auto" w:fill="E8EDF4"/>
          </w:tcPr>
          <w:p>
            <w:pPr>
              <w:pStyle w:val="Compact"/>
              <w:jc w:val="left"/>
            </w:pPr>
            <w:r>
              <w:rPr>
                <w:b/>
                <w:sz w:val="20"/>
                <w:szCs w:val="20"/>
              </w:rPr>
              <w:t xml:space="preserve">Reports a thesis figure?</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533</w:t>
            </w:r>
          </w:p>
        </w:tc>
        <w:tc>
          <w:tcPr/>
          <w:p>
            <w:pPr>
              <w:pStyle w:val="Compact"/>
              <w:jc w:val="left"/>
            </w:pPr>
            <w:r>
              <w:rPr>
                <w:sz w:val="20"/>
                <w:szCs w:val="20"/>
              </w:rPr>
              <w:t xml:space="preserve">Constraint evaluation under both semantics, plus the independent exhaustive cross-check and the audit-log integrity check</w:t>
            </w:r>
          </w:p>
        </w:tc>
        <w:tc>
          <w:tcPr/>
          <w:p>
            <w:pPr>
              <w:pStyle w:val="Compact"/>
              <w:jc w:val="left"/>
            </w:pPr>
            <w:r>
              <w:rPr>
                <w:sz w:val="20"/>
                <w:szCs w:val="20"/>
              </w:rPr>
              <w:t xml:space="preserve">Yes — </w:t>
            </w:r>
            <w:hyperlink w:anchor="tbl_5_3" w:history="1">
              <w:r>
                <w:rPr>
                  <w:rStyle w:val="Hyperlink"/>
                  <w:sz w:val="20"/>
                  <w:szCs w:val="20"/>
                </w:rPr>
                <w:t xml:space="preserve">Tables 5.3</w:t>
              </w:r>
            </w:hyperlink>
            <w:r>
              <w:rPr>
                <w:sz w:val="20"/>
                <w:szCs w:val="20"/>
              </w:rPr>
              <w:t xml:space="preserve">, 5.5, 5.6</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152</w:t>
            </w:r>
          </w:p>
        </w:tc>
        <w:tc>
          <w:tcPr/>
          <w:p>
            <w:pPr>
              <w:pStyle w:val="Compact"/>
              <w:jc w:val="left"/>
            </w:pPr>
            <w:r>
              <w:rPr>
                <w:sz w:val="20"/>
                <w:szCs w:val="20"/>
              </w:rPr>
              <w:t xml:space="preserve">Substitutes real FHIR R4 payloads and compares every figure against the constructed-payload run</w:t>
            </w:r>
          </w:p>
        </w:tc>
        <w:tc>
          <w:tcPr/>
          <w:p>
            <w:pPr>
              <w:pStyle w:val="Compact"/>
              <w:jc w:val="left"/>
            </w:pPr>
            <w:r>
              <w:rPr>
                <w:sz w:val="20"/>
                <w:szCs w:val="20"/>
              </w:rPr>
              <w:t xml:space="preserve">Yes — </w:t>
            </w:r>
            <w:hyperlink w:anchor="tbl_5_7" w:history="1">
              <w:r>
                <w:rPr>
                  <w:rStyle w:val="Hyperlink"/>
                  <w:sz w:val="20"/>
                  <w:szCs w:val="20"/>
                </w:rPr>
                <w:t xml:space="preserve">Table 5.7</w:t>
              </w:r>
            </w:hyperlink>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135</w:t>
            </w:r>
          </w:p>
        </w:tc>
        <w:tc>
          <w:tcPr/>
          <w:p>
            <w:pPr>
              <w:pStyle w:val="Compact"/>
              <w:jc w:val="left"/>
            </w:pPr>
            <w:r>
              <w:rPr>
                <w:sz w:val="20"/>
                <w:szCs w:val="20"/>
              </w:rPr>
              <w:t xml:space="preserve">Three Norwegian record classes, varying only the floor, the pathway and the arrival of requests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110</w:t>
            </w:r>
          </w:p>
        </w:tc>
        <w:tc>
          <w:tcPr/>
          <w:p>
            <w:pPr>
              <w:pStyle w:val="Compact"/>
              <w:jc w:val="left"/>
            </w:pPr>
            <w:r>
              <w:rPr>
                <w:sz w:val="20"/>
                <w:szCs w:val="20"/>
              </w:rPr>
              <w:t xml:space="preserve">The politiregisterloven § 17 instance discussed in </w:t>
            </w:r>
            <w:hyperlink w:anchor="ch_6" w:history="1">
              <w:r>
                <w:rPr>
                  <w:rStyle w:val="Hyperlink"/>
                  <w:sz w:val="20"/>
                  <w:szCs w:val="20"/>
                </w:rPr>
                <w:t xml:space="preserve">Chapter 6</w:t>
              </w:r>
            </w:hyperlink>
            <w:r>
              <w:rPr>
                <w:sz w:val="20"/>
                <w:szCs w:val="20"/>
              </w:rPr>
              <w:t xml:space="preserve">, </w:t>
            </w:r>
            <w:hyperlink w:anchor="sec_6_10" w:history="1">
              <w:r>
                <w:rPr>
                  <w:rStyle w:val="Hyperlink"/>
                  <w:sz w:val="20"/>
                  <w:szCs w:val="20"/>
                </w:rPr>
                <w:t xml:space="preserve">Section 6.10</w:t>
              </w:r>
            </w:hyperlink>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671</w:t>
            </w:r>
          </w:p>
        </w:tc>
        <w:tc>
          <w:tcPr/>
          <w:p>
            <w:pPr>
              <w:pStyle w:val="Compact"/>
              <w:jc w:val="left"/>
            </w:pPr>
            <w:r>
              <w:rPr>
                <w:sz w:val="20"/>
                <w:szCs w:val="20"/>
              </w:rPr>
              <w:t xml:space="preserve">Six-tab viewer over the artefact; never a source of results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118</w:t>
            </w:r>
          </w:p>
        </w:tc>
        <w:tc>
          <w:tcPr/>
          <w:p>
            <w:pPr>
              <w:pStyle w:val="Compact"/>
              <w:jc w:val="left"/>
            </w:pPr>
            <w:r>
              <w:rPr>
                <w:sz w:val="20"/>
                <w:szCs w:val="20"/>
              </w:rPr>
              <w:t xml:space="preserve">Optional: the same lifecycle with real AES-256-GCM envelope encryption (needs</w:t>
            </w:r>
            <w:r>
              <w:rPr>
                <w:sz w:val="20"/>
                <w:szCs w:val="20"/>
              </w:rPr>
              <w:t xml:space="preserve"> </w:t>
            </w:r>
            <w:r>
              <w:rPr>
                <w:rStyle w:val="VerbatimChar"/>
                <w:sz w:val="20"/>
                <w:szCs w:val="20"/>
              </w:rPr>
              <w:t xml:space="preserve">cryptography</w:t>
            </w:r>
            <w:r>
              <w:rPr>
                <w:sz w:val="20"/>
                <w:szCs w:val="20"/>
              </w:rPr>
              <w:t xml:space="preserve">)</w:t>
            </w:r>
          </w:p>
        </w:tc>
        <w:tc>
          <w:tcPr/>
          <w:p>
            <w:pPr>
              <w:pStyle w:val="Compact"/>
              <w:jc w:val="left"/>
            </w:pPr>
            <w:r>
              <w:rPr>
                <w:sz w:val="20"/>
                <w:szCs w:val="20"/>
              </w:rPr>
              <w:t xml:space="preserve">No</w:t>
            </w:r>
          </w:p>
        </w:tc>
      </w:tr>
    </w:tbl>
    <w:p>
      <w:pPr>
        <w:pStyle w:val="BodyText"/>
        <w:spacing w:before="240" w:after="160" w:line="360" w:lineRule="auto"/>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w:t>
      </w:r>
      <w:hyperlink w:anchor="tbl_5_7" w:history="1">
        <w:r>
          <w:rPr>
            <w:rStyle w:val="Hyperlink"/>
          </w:rPr>
          <w:t xml:space="preserve">Table 5.7</w:t>
        </w:r>
      </w:hyperlink>
      <w:r>
        <w:t xml:space="preserve">.</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w:t>
      </w:r>
      <w:hyperlink w:anchor="ch_4" w:history="1">
        <w:r>
          <w:rPr>
            <w:rStyle w:val="Hyperlink"/>
          </w:rPr>
          <w:t xml:space="preserve">Chapter 4</w:t>
        </w:r>
      </w:hyperlink>
      <w:r>
        <w:t xml:space="preserve"> absorbed into one parameterised constraint:</w:t>
      </w:r>
    </w:p>
    <w:p>
      <w:pPr>
        <w:pStyle w:val="Compact"/>
        <w:numPr>
          <w:ilvl w:val="0"/>
          <w:numId w:val="1004"/>
        </w:numPr>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pStyle w:val="Compact"/>
        <w:numPr>
          <w:ilvl w:val="0"/>
          <w:numId w:val="1004"/>
        </w:numPr>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Seed 20260915 is fixed and reported; the run is deterministic and reproduces identically.</w:t>
      </w:r>
    </w:p>
    <w:p>
      <w:pPr>
        <w:pStyle w:val="TableCaption"/>
      </w:pPr>
      <w:bookmarkStart w:id="1004" w:name="tbl_5_2"/>
      <w:r>
        <w:rPr>
          <w:b/>
          <w:color w:val="1F3864"/>
        </w:rPr>
        <w:t xml:space="preserve">Table 5.2.</w:t>
      </w:r>
      <w:r>
        <w:t xml:space="preserve"> Generation parameters (complete)</w:t>
      </w:r>
      <w:bookmarkEnd w:id="1004"/>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Parameter</w:t>
            </w:r>
          </w:p>
        </w:tc>
        <w:tc>
          <w:tcPr>
            <w:tcBorders>
              <w:bottom w:val="single" w:sz="8" w:space="0" w:color="333333"/>
            </w:tcBorders>
            <w:shd w:val="clear" w:color="auto" w:fill="E8EDF4"/>
          </w:tcPr>
          <w:p>
            <w:pPr>
              <w:pStyle w:val="Compact"/>
              <w:jc w:val="left"/>
            </w:pPr>
            <w:r>
              <w:rPr>
                <w:b/>
                <w:sz w:val="20"/>
                <w:szCs w:val="20"/>
              </w:rPr>
              <w:t xml:space="preserve">Cross-border audit</w:t>
            </w:r>
          </w:p>
        </w:tc>
        <w:tc>
          <w:tcPr>
            <w:tcBorders>
              <w:bottom w:val="single" w:sz="8" w:space="0" w:color="333333"/>
            </w:tcBorders>
            <w:shd w:val="clear" w:color="auto" w:fill="E8EDF4"/>
          </w:tcPr>
          <w:p>
            <w:pPr>
              <w:pStyle w:val="Compact"/>
              <w:jc w:val="left"/>
            </w:pPr>
            <w:r>
              <w:rPr>
                <w:b/>
                <w:sz w:val="20"/>
                <w:szCs w:val="20"/>
              </w:rPr>
              <w:t xml:space="preserve">SPE access log</w:t>
            </w:r>
          </w:p>
        </w:tc>
      </w:tr>
      <w:tr>
        <w:trPr>
          <w:cantSplit/>
        </w:trPr>
        <w:tc>
          <w:tcPr/>
          <w:p>
            <w:pPr>
              <w:pStyle w:val="Compact"/>
              <w:jc w:val="left"/>
            </w:pPr>
            <w:r>
              <w:rPr>
                <w:sz w:val="20"/>
                <w:szCs w:val="20"/>
              </w:rPr>
              <w:t xml:space="preserve">Records generated</w:t>
            </w:r>
          </w:p>
        </w:tc>
        <w:tc>
          <w:tcPr/>
          <w:p>
            <w:pPr>
              <w:pStyle w:val="Compact"/>
              <w:jc w:val="left"/>
            </w:pPr>
            <w:r>
              <w:rPr>
                <w:sz w:val="20"/>
                <w:szCs w:val="20"/>
              </w:rPr>
              <w:t xml:space="preserve">100</w:t>
            </w:r>
          </w:p>
        </w:tc>
        <w:tc>
          <w:tcPr/>
          <w:p>
            <w:pPr>
              <w:pStyle w:val="Compact"/>
              <w:jc w:val="left"/>
            </w:pPr>
            <w:r>
              <w:rPr>
                <w:sz w:val="20"/>
                <w:szCs w:val="20"/>
              </w:rPr>
              <w:t xml:space="preserve">100</w:t>
            </w:r>
          </w:p>
        </w:tc>
      </w:tr>
      <w:tr>
        <w:trPr>
          <w:cantSplit/>
        </w:trPr>
        <w:tc>
          <w:tcPr/>
          <w:p>
            <w:pPr>
              <w:pStyle w:val="Compact"/>
              <w:jc w:val="left"/>
            </w:pPr>
            <w:r>
              <w:rPr>
                <w:sz w:val="20"/>
                <w:szCs w:val="20"/>
              </w:rPr>
              <w:t xml:space="preserve">Retention floor</w:t>
            </w:r>
            <w:r>
              <w:rPr>
                <w:sz w:val="20"/>
                <w:szCs w:val="20"/>
              </w:rPr>
              <w:t xml:space="preserve"> </w:t>
            </w:r>
            <w:r>
              <w:rPr>
                <w:iCs/>
                <w:i/>
                <w:sz w:val="20"/>
                <w:szCs w:val="20"/>
              </w:rPr>
              <w:t xml:space="preserve">F</w:t>
            </w:r>
          </w:p>
        </w:tc>
        <w:tc>
          <w:tcPr/>
          <w:p>
            <w:pPr>
              <w:pStyle w:val="Compact"/>
              <w:jc w:val="left"/>
            </w:pPr>
            <w:r>
              <w:rPr>
                <w:sz w:val="20"/>
                <w:szCs w:val="20"/>
              </w:rPr>
              <w:t xml:space="preserve">120 months (eHDSI baseline as reported; illustrative)</w:t>
            </w:r>
          </w:p>
        </w:tc>
        <w:tc>
          <w:tcPr/>
          <w:p>
            <w:pPr>
              <w:pStyle w:val="Compact"/>
              <w:jc w:val="left"/>
            </w:pPr>
            <w:r>
              <w:rPr>
                <w:sz w:val="20"/>
                <w:szCs w:val="20"/>
              </w:rPr>
              <w:t xml:space="preserve">12 months (Art 73(1)(e))</w:t>
            </w:r>
          </w:p>
        </w:tc>
      </w:tr>
      <w:tr>
        <w:trPr>
          <w:cantSplit/>
        </w:trPr>
        <w:tc>
          <w:tcPr/>
          <w:p>
            <w:pPr>
              <w:pStyle w:val="Compact"/>
              <w:jc w:val="left"/>
            </w:pPr>
            <w:r>
              <w:rPr>
                <w:sz w:val="20"/>
                <w:szCs w:val="20"/>
              </w:rPr>
              <w:t xml:space="preserve">Pathway</w:t>
            </w:r>
            <w:r>
              <w:rPr>
                <w:sz w:val="20"/>
                <w:szCs w:val="20"/>
              </w:rPr>
              <w:t xml:space="preserve"> </w:t>
            </w:r>
            <m:oMath>
              <m:r>
                <m:t>σ</m:t>
              </m:r>
            </m:oMath>
          </w:p>
        </w:tc>
        <w:tc>
          <w:tcPr/>
          <w:p>
            <w:pPr>
              <w:pStyle w:val="Compact"/>
              <w:jc w:val="left"/>
            </w:pPr>
            <w:r>
              <w:rPr>
                <w:sz w:val="20"/>
                <w:szCs w:val="20"/>
              </w:rPr>
              <w:t xml:space="preserve">primary</w:t>
            </w:r>
          </w:p>
        </w:tc>
        <w:tc>
          <w:tcPr/>
          <w:p>
            <w:pPr>
              <w:pStyle w:val="Compact"/>
              <w:jc w:val="left"/>
            </w:pPr>
            <w:r>
              <w:rPr>
                <w:sz w:val="20"/>
                <w:szCs w:val="20"/>
              </w:rPr>
              <w:t xml:space="preserve">secondary</w:t>
            </w:r>
          </w:p>
        </w:tc>
      </w:tr>
      <w:tr>
        <w:trPr>
          <w:cantSplit/>
        </w:trPr>
        <w:tc>
          <w:tcPr/>
          <w:p>
            <w:pPr>
              <w:pStyle w:val="Compact"/>
              <w:jc w:val="left"/>
            </w:pPr>
            <w:r>
              <w:rPr>
                <w:sz w:val="20"/>
                <w:szCs w:val="20"/>
              </w:rPr>
              <w:t xml:space="preserve">Creation month</w:t>
            </w:r>
            <w:r>
              <w:rPr>
                <w:sz w:val="20"/>
                <w:szCs w:val="20"/>
              </w:rPr>
              <w:t xml:space="preserve"> </w:t>
            </w:r>
            <w:r>
              <w:rPr>
                <w:iCs/>
                <w:i/>
                <w:sz w:val="20"/>
                <w:szCs w:val="20"/>
              </w:rPr>
              <w:t xml:space="preserve">t_a</w:t>
            </w:r>
          </w:p>
        </w:tc>
        <w:tc>
          <w:tcPr/>
          <w:p>
            <w:pPr>
              <w:pStyle w:val="Compact"/>
              <w:jc w:val="left"/>
            </w:pPr>
            <w:r>
              <w:rPr>
                <w:sz w:val="20"/>
                <w:szCs w:val="20"/>
              </w:rPr>
              <w:t xml:space="preserve">uniform [0, 11]</w:t>
            </w:r>
          </w:p>
        </w:tc>
        <w:tc>
          <w:tcPr/>
          <w:p>
            <w:pPr>
              <w:pStyle w:val="Compact"/>
              <w:jc w:val="left"/>
            </w:pPr>
            <w:r>
              <w:rPr>
                <w:sz w:val="20"/>
                <w:szCs w:val="20"/>
              </w:rPr>
              <w:t xml:space="preserve">uniform [0, 11]</w:t>
            </w:r>
          </w:p>
        </w:tc>
      </w:tr>
      <w:tr>
        <w:trPr>
          <w:cantSplit/>
        </w:trPr>
        <w:tc>
          <w:tcPr/>
          <w:p>
            <w:pPr>
              <w:pStyle w:val="Compact"/>
              <w:jc w:val="left"/>
            </w:pPr>
            <w:r>
              <w:rPr>
                <w:sz w:val="20"/>
                <w:szCs w:val="20"/>
              </w:rPr>
              <w:t xml:space="preserve">Erasure-request probability</w:t>
            </w:r>
          </w:p>
        </w:tc>
        <w:tc>
          <w:tcPr/>
          <w:p>
            <w:pPr>
              <w:pStyle w:val="Compact"/>
              <w:jc w:val="left"/>
            </w:pPr>
            <w:r>
              <w:rPr>
                <w:sz w:val="20"/>
                <w:szCs w:val="20"/>
              </w:rPr>
              <w:t xml:space="preserve">0.40</w:t>
            </w:r>
          </w:p>
        </w:tc>
        <w:tc>
          <w:tcPr/>
          <w:p>
            <w:pPr>
              <w:pStyle w:val="Compact"/>
              <w:jc w:val="left"/>
            </w:pPr>
            <w:r>
              <w:rPr>
                <w:sz w:val="20"/>
                <w:szCs w:val="20"/>
              </w:rPr>
              <w:t xml:space="preserve">0.25</w:t>
            </w:r>
          </w:p>
        </w:tc>
      </w:tr>
      <w:tr>
        <w:trPr>
          <w:cantSplit/>
        </w:trPr>
        <w:tc>
          <w:tcPr/>
          <w:p>
            <w:pPr>
              <w:pStyle w:val="Compact"/>
              <w:jc w:val="left"/>
            </w:pPr>
            <w:r>
              <w:rPr>
                <w:sz w:val="20"/>
                <w:szCs w:val="20"/>
              </w:rPr>
              <w:t xml:space="preserve">Erasure offset from</w:t>
            </w:r>
            <w:r>
              <w:rPr>
                <w:sz w:val="20"/>
                <w:szCs w:val="20"/>
              </w:rPr>
              <w:t xml:space="preserve"> </w:t>
            </w:r>
            <w:r>
              <w:rPr>
                <w:iCs/>
                <w:i/>
                <w:sz w:val="20"/>
                <w:szCs w:val="20"/>
              </w:rPr>
              <w:t xml:space="preserve">t_a</w:t>
            </w:r>
          </w:p>
        </w:tc>
        <w:tc>
          <w:tcPr/>
          <w:p>
            <w:pPr>
              <w:pStyle w:val="Compact"/>
              <w:jc w:val="left"/>
            </w:pPr>
            <w:r>
              <w:rPr>
                <w:sz w:val="20"/>
                <w:szCs w:val="20"/>
              </w:rPr>
              <w:t xml:space="preserve">uniform [1, 130] months</w:t>
            </w:r>
          </w:p>
        </w:tc>
        <w:tc>
          <w:tcPr/>
          <w:p>
            <w:pPr>
              <w:pStyle w:val="Compact"/>
              <w:jc w:val="left"/>
            </w:pPr>
            <w:r>
              <w:rPr>
                <w:sz w:val="20"/>
                <w:szCs w:val="20"/>
              </w:rPr>
              <w:t xml:space="preserve">uniform [1, 18] months</w:t>
            </w:r>
          </w:p>
        </w:tc>
      </w:tr>
      <w:tr>
        <w:trPr>
          <w:cantSplit/>
        </w:trPr>
        <w:tc>
          <w:tcPr/>
          <w:p>
            <w:pPr>
              <w:pStyle w:val="Compact"/>
              <w:jc w:val="left"/>
            </w:pPr>
            <w:r>
              <w:rPr>
                <w:sz w:val="20"/>
                <w:szCs w:val="20"/>
              </w:rPr>
              <w:t xml:space="preserve">Permit expiry</w:t>
            </w:r>
            <w:r>
              <w:rPr>
                <w:sz w:val="20"/>
                <w:szCs w:val="20"/>
              </w:rPr>
              <w:t xml:space="preserve"> </w:t>
            </w:r>
            <w:r>
              <w:rPr>
                <w:iCs/>
                <w:i/>
                <w:sz w:val="20"/>
                <w:szCs w:val="20"/>
              </w:rPr>
              <w:t xml:space="preserve">t_π</w:t>
            </w:r>
          </w:p>
        </w:tc>
        <w:tc>
          <w:tcPr/>
          <w:p>
            <w:pPr>
              <w:pStyle w:val="Compact"/>
              <w:jc w:val="left"/>
            </w:pPr>
            <w:r>
              <w:rPr>
                <w:sz w:val="20"/>
                <w:szCs w:val="20"/>
              </w:rPr>
              <w:t xml:space="preserve">not applicable</w:t>
            </w:r>
          </w:p>
        </w:tc>
        <w:tc>
          <w:tcPr/>
          <w:p>
            <w:pPr>
              <w:pStyle w:val="Compact"/>
              <w:jc w:val="left"/>
            </w:pPr>
            <w:r>
              <w:rPr>
                <w:iCs/>
                <w:i/>
                <w:sz w:val="20"/>
                <w:szCs w:val="20"/>
              </w:rPr>
              <w:t xml:space="preserve">t_a</w:t>
            </w:r>
            <w:r>
              <w:rPr>
                <w:sz w:val="20"/>
                <w:szCs w:val="20"/>
              </w:rPr>
              <w:t xml:space="preserve"> </w:t>
            </w:r>
            <w:r>
              <w:rPr>
                <w:sz w:val="20"/>
                <w:szCs w:val="20"/>
              </w:rPr>
              <w:t xml:space="preserve">+ uniform [1, 12] months</w:t>
            </w:r>
          </w:p>
        </w:tc>
      </w:tr>
      <w:tr>
        <w:trPr>
          <w:cantSplit/>
        </w:trPr>
        <w:tc>
          <w:tcPr/>
          <w:p>
            <w:pPr>
              <w:pStyle w:val="Compact"/>
              <w:jc w:val="left"/>
            </w:pPr>
            <w:r>
              <w:rPr>
                <w:sz w:val="20"/>
                <w:szCs w:val="20"/>
              </w:rPr>
              <w:t xml:space="preserve">Response period</w:t>
            </w:r>
            <w:r>
              <w:rPr>
                <w:sz w:val="20"/>
                <w:szCs w:val="20"/>
              </w:rPr>
              <w:t xml:space="preserve"> </w:t>
            </w:r>
            <m:oMath>
              <m:r>
                <m:t>δ</m:t>
              </m:r>
            </m:oMath>
          </w:p>
        </w:tc>
        <w:tc>
          <w:tcPr/>
          <w:p>
            <w:pPr>
              <w:pStyle w:val="Compact"/>
              <w:jc w:val="left"/>
            </w:pPr>
            <w:r>
              <w:rPr>
                <w:sz w:val="20"/>
                <w:szCs w:val="20"/>
              </w:rPr>
              <w:t xml:space="preserve">1 month (GDPR Art 12(3))</w:t>
            </w:r>
          </w:p>
        </w:tc>
        <w:tc>
          <w:tcPr/>
          <w:p>
            <w:pPr>
              <w:pStyle w:val="Compact"/>
              <w:jc w:val="left"/>
            </w:pPr>
            <w:r>
              <w:rPr>
                <w:sz w:val="20"/>
                <w:szCs w:val="20"/>
              </w:rPr>
              <w:t xml:space="preserve">1 month</w:t>
            </w:r>
          </w:p>
        </w:tc>
      </w:tr>
      <w:tr>
        <w:trPr>
          <w:cantSplit/>
        </w:trPr>
        <w:tc>
          <w:tcPr/>
          <w:p>
            <w:pPr>
              <w:pStyle w:val="Compact"/>
              <w:jc w:val="left"/>
            </w:pPr>
            <w:r>
              <w:rPr>
                <w:sz w:val="20"/>
                <w:szCs w:val="20"/>
              </w:rPr>
              <w:t xml:space="preserve">Deletion ceiling</w:t>
            </w:r>
          </w:p>
        </w:tc>
        <w:tc>
          <w:tcPr/>
          <w:p>
            <w:pPr>
              <w:pStyle w:val="Compact"/>
              <w:jc w:val="left"/>
            </w:pPr>
            <w:r>
              <w:rPr>
                <w:sz w:val="20"/>
                <w:szCs w:val="20"/>
              </w:rPr>
              <w:t xml:space="preserve">not applicable</w:t>
            </w:r>
          </w:p>
        </w:tc>
        <w:tc>
          <w:tcPr/>
          <w:p>
            <w:pPr>
              <w:pStyle w:val="Compact"/>
              <w:jc w:val="left"/>
            </w:pPr>
            <w:r>
              <w:rPr>
                <w:sz w:val="20"/>
                <w:szCs w:val="20"/>
              </w:rPr>
              <w:t xml:space="preserve">6 months (Art 68(12))</w:t>
            </w:r>
          </w:p>
        </w:tc>
      </w:tr>
    </w:tbl>
    <w:p>
      <w:pPr>
        <w:pStyle w:val="BodyText"/>
        <w:spacing w:before="240" w:after="160" w:line="360" w:lineRule="auto"/>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These resources stand in for payload bytes of realistic size and structure; they are not what</w:t>
      </w:r>
      <w:r>
        <w:t xml:space="preserve"> </w:t>
      </w:r>
      <m:oMath>
        <m:r>
          <m:t>p</m:t>
        </m:r>
        <m:d>
          <m:dPr>
            <m:begChr m:val="("/>
            <m:sepChr m:val=""/>
            <m:endChr m:val=")"/>
            <m:grow/>
          </m:dPr>
          <m:e>
            <m:r>
              <m:t>a</m:t>
            </m:r>
          </m:e>
        </m:d>
      </m:oMath>
      <w:r>
        <w:t xml:space="preserve"> </w:t>
      </w:r>
      <w:r>
        <w:t xml:space="preserve">is in either record class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w:t>
      </w:r>
      <w:hyperlink w:anchor="sec_5_8" w:history="1">
        <w:r>
          <w:rPr>
            <w:rStyle w:val="Hyperlink"/>
          </w:rPr>
          <w:t xml:space="preserve">Section 5.8</w:t>
        </w:r>
      </w:hyperlink>
      <w:r>
        <w:t xml:space="preserve"> uses them only to test that no figure depends on payload content.</w:t>
      </w:r>
    </w:p>
    <w:bookmarkEnd w:id="75"/>
    <w:bookmarkStart w:id="76" w:name="results-under-semantics-i"/>
    <w:p>
      <w:pPr>
        <w:pStyle w:val="Heading2"/>
      </w:pPr>
      <w:bookmarkStart w:id="1060" w:name="sec_5_3"/>
      <w:r>
        <w:t xml:space="preserve">5.3 Results under Semantics I</w:t>
      </w:r>
      <w:bookmarkEnd w:id="1060"/>
    </w:p>
    <w:p>
      <w:pPr>
        <w:pStyle w:val="FirstParagraph"/>
      </w:pPr>
      <w:r>
        <w:t xml:space="preserve">Under plaintext-verifiability semantics,</w:t>
      </w:r>
      <w:r>
        <w:t xml:space="preserve"> </w:t>
      </w:r>
      <m:oMath>
        <m:r>
          <m:t>V</m:t>
        </m:r>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TableCaption"/>
      </w:pPr>
      <w:bookmarkStart w:id="1005" w:name="tbl_5_3"/>
      <w:r>
        <w:rPr>
          <w:b/>
          <w:color w:val="1F3864"/>
        </w:rPr>
        <w:t xml:space="preserve">Table 5.3.</w:t>
      </w:r>
      <w:r>
        <w:t xml:space="preserve"> Violations under Semantics I (seed 20260915, n = 200)</w:t>
      </w:r>
      <w:bookmarkEnd w:id="1005"/>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Record class</w:t>
            </w:r>
          </w:p>
        </w:tc>
        <w:tc>
          <w:tcPr>
            <w:tcBorders>
              <w:bottom w:val="single" w:sz="8" w:space="0" w:color="333333"/>
            </w:tcBorders>
            <w:shd w:val="clear" w:color="auto" w:fill="E8EDF4"/>
          </w:tcPr>
          <w:p>
            <w:pPr>
              <w:pStyle w:val="Compact"/>
              <w:jc w:val="left"/>
            </w:pPr>
            <w:r>
              <w:rPr>
                <w:b/>
                <w:sz w:val="20"/>
                <w:szCs w:val="20"/>
              </w:rPr>
              <w:t xml:space="preserve">Records</w:t>
            </w:r>
          </w:p>
        </w:tc>
        <w:tc>
          <w:tcPr>
            <w:tcBorders>
              <w:bottom w:val="single" w:sz="8" w:space="0" w:color="333333"/>
            </w:tcBorders>
            <w:shd w:val="clear" w:color="auto" w:fill="E8EDF4"/>
          </w:tcPr>
          <w:p>
            <w:pPr>
              <w:pStyle w:val="Compact"/>
              <w:jc w:val="left"/>
            </w:pPr>
            <w:r>
              <w:rPr>
                <w:b/>
                <w:sz w:val="20"/>
                <w:szCs w:val="20"/>
              </w:rPr>
              <w:t xml:space="preserve">With ≥1 violation</w:t>
            </w:r>
          </w:p>
        </w:tc>
        <w:tc>
          <w:tcPr>
            <w:tcBorders>
              <w:bottom w:val="single" w:sz="8" w:space="0" w:color="333333"/>
            </w:tcBorders>
            <w:shd w:val="clear" w:color="auto" w:fill="E8EDF4"/>
          </w:tcPr>
          <w:p>
            <w:pPr>
              <w:pStyle w:val="Compact"/>
              <w:jc w:val="left"/>
            </w:pPr>
            <w:r>
              <w:rPr>
                <w:b/>
                <w:sz w:val="20"/>
                <w:szCs w:val="20"/>
              </w:rPr>
              <w:t xml:space="preserve">Share</w:t>
            </w:r>
          </w:p>
        </w:tc>
      </w:tr>
      <w:tr>
        <w:trPr>
          <w:cantSplit/>
        </w:trPr>
        <w:tc>
          <w:tcPr/>
          <w:p>
            <w:pPr>
              <w:pStyle w:val="Compact"/>
              <w:jc w:val="left"/>
            </w:pPr>
            <w:r>
              <w:rPr>
                <w:sz w:val="20"/>
                <w:szCs w:val="20"/>
              </w:rPr>
              <w:t xml:space="preserve">Cross-border audit (F = 120)</w:t>
            </w:r>
          </w:p>
        </w:tc>
        <w:tc>
          <w:tcPr/>
          <w:p>
            <w:pPr>
              <w:pStyle w:val="Compact"/>
              <w:jc w:val="left"/>
            </w:pPr>
            <w:r>
              <w:rPr>
                <w:sz w:val="20"/>
                <w:szCs w:val="20"/>
              </w:rPr>
              <w:t xml:space="preserve">100</w:t>
            </w:r>
          </w:p>
        </w:tc>
        <w:tc>
          <w:tcPr/>
          <w:p>
            <w:pPr>
              <w:pStyle w:val="Compact"/>
              <w:jc w:val="left"/>
            </w:pPr>
            <w:r>
              <w:rPr>
                <w:sz w:val="20"/>
                <w:szCs w:val="20"/>
              </w:rPr>
              <w:t xml:space="preserve">37</w:t>
            </w:r>
          </w:p>
        </w:tc>
        <w:tc>
          <w:tcPr/>
          <w:p>
            <w:pPr>
              <w:pStyle w:val="Compact"/>
              <w:jc w:val="left"/>
            </w:pPr>
            <w:r>
              <w:rPr>
                <w:sz w:val="20"/>
                <w:szCs w:val="20"/>
              </w:rPr>
              <w:t xml:space="preserve">37%</w:t>
            </w:r>
          </w:p>
        </w:tc>
      </w:tr>
      <w:tr>
        <w:trPr>
          <w:cantSplit/>
        </w:trPr>
        <w:tc>
          <w:tcPr/>
          <w:p>
            <w:pPr>
              <w:pStyle w:val="Compact"/>
              <w:jc w:val="left"/>
            </w:pPr>
            <w:r>
              <w:rPr>
                <w:sz w:val="20"/>
                <w:szCs w:val="20"/>
              </w:rPr>
              <w:t xml:space="preserve">SPE access log (F = 12)</w:t>
            </w:r>
          </w:p>
        </w:tc>
        <w:tc>
          <w:tcPr/>
          <w:p>
            <w:pPr>
              <w:pStyle w:val="Compact"/>
              <w:jc w:val="left"/>
            </w:pPr>
            <w:r>
              <w:rPr>
                <w:sz w:val="20"/>
                <w:szCs w:val="20"/>
              </w:rPr>
              <w:t xml:space="preserve">100</w:t>
            </w:r>
          </w:p>
        </w:tc>
        <w:tc>
          <w:tcPr/>
          <w:p>
            <w:pPr>
              <w:pStyle w:val="Compact"/>
              <w:jc w:val="left"/>
            </w:pPr>
            <w:r>
              <w:rPr>
                <w:sz w:val="20"/>
                <w:szCs w:val="20"/>
              </w:rPr>
              <w:t xml:space="preserve">53</w:t>
            </w:r>
          </w:p>
        </w:tc>
        <w:tc>
          <w:tcPr/>
          <w:p>
            <w:pPr>
              <w:pStyle w:val="Compact"/>
              <w:jc w:val="left"/>
            </w:pPr>
            <w:r>
              <w:rPr>
                <w:sz w:val="20"/>
                <w:szCs w:val="20"/>
              </w:rPr>
              <w:t xml:space="preserve">53%</w:t>
            </w:r>
          </w:p>
        </w:tc>
      </w:tr>
      <w:tr>
        <w:trPr>
          <w:cantSplit/>
        </w:trPr>
        <w:tc>
          <w:tcPr/>
          <w:p>
            <w:pPr>
              <w:pStyle w:val="Compact"/>
              <w:jc w:val="left"/>
            </w:pPr>
            <w:r>
              <w:rPr>
                <w:bCs/>
                <w:b/>
                <w:sz w:val="20"/>
                <w:szCs w:val="20"/>
              </w:rPr>
              <w:t xml:space="preserve">Total</w:t>
            </w:r>
          </w:p>
        </w:tc>
        <w:tc>
          <w:tcPr/>
          <w:p>
            <w:pPr>
              <w:pStyle w:val="Compact"/>
              <w:jc w:val="left"/>
            </w:pPr>
            <w:r>
              <w:rPr>
                <w:bCs/>
                <w:b/>
                <w:sz w:val="20"/>
                <w:szCs w:val="20"/>
              </w:rPr>
              <w:t xml:space="preserve">200</w:t>
            </w:r>
          </w:p>
        </w:tc>
        <w:tc>
          <w:tcPr/>
          <w:p>
            <w:pPr>
              <w:pStyle w:val="Compact"/>
              <w:jc w:val="left"/>
            </w:pPr>
            <w:r>
              <w:rPr>
                <w:bCs/>
                <w:b/>
                <w:sz w:val="20"/>
                <w:szCs w:val="20"/>
              </w:rPr>
              <w:t xml:space="preserve">90</w:t>
            </w:r>
          </w:p>
        </w:tc>
        <w:tc>
          <w:tcPr/>
          <w:p>
            <w:pPr>
              <w:pStyle w:val="Compact"/>
              <w:jc w:val="left"/>
            </w:pPr>
            <w:r>
              <w:rPr>
                <w:bCs/>
                <w:b/>
                <w:sz w:val="20"/>
                <w:szCs w:val="20"/>
              </w:rPr>
              <w:t xml:space="preserve">45%</w:t>
            </w:r>
          </w:p>
        </w:tc>
      </w:tr>
    </w:tbl>
    <w:p>
      <w:pPr>
        <w:pStyle w:val="BodyText"/>
        <w:spacing w:before="240" w:after="160" w:line="360" w:lineRule="auto"/>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w:t>
      </w:r>
      <w:hyperlink w:anchor="tbl_5_2" w:history="1">
        <w:r>
          <w:rPr>
            <w:rStyle w:val="Hyperlink"/>
          </w:rPr>
          <w:t xml:space="preserve">Table 5.2</w:t>
        </w:r>
      </w:hyperlink>
      <w:r>
        <w:t xml:space="preserve"> and are not estimates of real frequency; in particular, the generator treats every erasure request as valid, whereas many would be lawfully refused under Article 17(3)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w:t>
      </w:r>
      <w:hyperlink w:anchor="ch_3" w:history="1">
        <w:r>
          <w:rPr>
            <w:rStyle w:val="Hyperlink"/>
          </w:rPr>
          <w:t xml:space="preserve">Chapter 3</w:t>
        </w:r>
      </w:hyperlink>
      <w:r>
        <w:t xml:space="preserve">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w:t>
      </w:r>
      <w:r>
        <w:t xml:space="preserve"> </w:t>
      </w:r>
      <w:r>
        <w:rPr>
          <w:iCs/>
          <w:i/>
        </w:rPr>
        <w:t xml:space="preserve">lower</w:t>
      </w:r>
      <w:r>
        <w:t xml:space="preserve"> </w:t>
      </w:r>
      <w:r>
        <w:t xml:space="preserve">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w:t>
      </w:r>
      <w:hyperlink w:anchor="sec_5_4" w:history="1">
        <w:r>
          <w:rPr>
            <w:rStyle w:val="Hyperlink"/>
          </w:rPr>
          <w:t xml:space="preserve">Section 5.4</w:t>
        </w:r>
      </w:hyperlink>
      <w:r>
        <w:t xml:space="preserve"> isolates the structural ones.</w:t>
      </w:r>
    </w:p>
    <w:bookmarkEnd w:id="76"/>
    <w:bookmarkStart w:id="77" w:name="Xa78c7cc063bc28a699e62b8492f8426c0d63645"/>
    <w:p>
      <w:pPr>
        <w:pStyle w:val="Heading2"/>
      </w:pPr>
      <w:bookmarkStart w:id="1061" w:name="sec_5_4"/>
      <w:r>
        <w:t xml:space="preserve">5.4 Corollary 1.2: Infeasibility Without an Erasure Request</w:t>
      </w:r>
      <w:bookmarkEnd w:id="1061"/>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it would not remove the erasure-driven ones.</w:t>
      </w:r>
    </w:p>
    <w:p>
      <w:pPr>
        <w:pStyle w:val="BodyText"/>
      </w:pPr>
      <w:r>
        <w:t xml:space="preserve">The fifty per cent figure follows from the generator.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and permit lengths were drawn uniformly from one to twelve months, so half fall at or below six. A longer horizon lowers the rate as</w:t>
      </w:r>
      <w:r>
        <w:t xml:space="preserve"> </w:t>
      </w:r>
      <m:oMath>
        <m:r>
          <m:t>6</m:t>
        </m:r>
        <m:r>
          <m:rPr>
            <m:sty m:val="p"/>
          </m:rPr>
          <m:t>/</m:t>
        </m:r>
        <m:sSub>
          <m:e>
            <m:r>
              <m:t>π</m:t>
            </m:r>
          </m:e>
          <m:sub>
            <m:r>
              <m:rPr>
                <m:sty m:val="p"/>
              </m:rPr>
              <m:t>max</m:t>
            </m:r>
          </m:sub>
        </m:sSub>
      </m:oMath>
      <w:r>
        <w:t xml:space="preserve"> </w:t>
      </w:r>
      <w:r>
        <w:t xml:space="preserve">without removing the collision, which Proposition 1 establishes independently of any distribution.</w:t>
      </w:r>
    </w:p>
    <w:bookmarkEnd w:id="77"/>
    <w:bookmarkStart w:id="78" w:name="independent-cross-check"/>
    <w:p>
      <w:pPr>
        <w:pStyle w:val="Heading2"/>
      </w:pPr>
      <w:bookmarkStart w:id="1062" w:name="sec_5_5"/>
      <w:r>
        <w:t xml:space="preserve">5.5 Independent Cross-Check</w:t>
      </w:r>
      <w:bookmarkEnd w:id="1062"/>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TableCaption"/>
      </w:pPr>
      <w:bookmarkStart w:id="1006" w:name="tbl_5_4"/>
      <w:r>
        <w:rPr>
          <w:b/>
          <w:color w:val="1F3864"/>
        </w:rPr>
        <w:t xml:space="preserve">Table 5.4.</w:t>
      </w:r>
      <w:r>
        <w:t xml:space="preserve"> Exhaustive search over</w:t>
      </w:r>
      <w:r>
        <w:t xml:space="preserve"> </w:t>
      </w:r>
      <m:oMath>
        <m:r>
          <m:t>α</m:t>
        </m:r>
      </m:oMath>
      <w:r>
        <w:t xml:space="preserve"> </w:t>
      </w:r>
      <w:r>
        <w:t xml:space="preserve">assignments (horizon = 14 months)</w:t>
      </w:r>
      <w:bookmarkEnd w:id="1006"/>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Case</w:t>
            </w:r>
          </w:p>
        </w:tc>
        <w:tc>
          <w:tcPr>
            <w:tcBorders>
              <w:bottom w:val="single" w:sz="8" w:space="0" w:color="333333"/>
            </w:tcBorders>
            <w:shd w:val="clear" w:color="auto" w:fill="E8EDF4"/>
          </w:tcPr>
          <w:p>
            <w:pPr>
              <w:pStyle w:val="Compact"/>
              <w:jc w:val="left"/>
            </w:pPr>
            <w:r>
              <w:rPr>
                <w:b/>
                <w:sz w:val="20"/>
                <w:szCs w:val="20"/>
              </w:rPr>
              <w:t xml:space="preserve">Feasible assignment exists?</w:t>
            </w:r>
          </w:p>
        </w:tc>
      </w:tr>
      <w:tr>
        <w:trPr>
          <w:cantSplit/>
        </w:trPr>
        <w:tc>
          <w:tcPr/>
          <w:p>
            <w:pPr>
              <w:pStyle w:val="Compact"/>
              <w:jc w:val="left"/>
            </w:pPr>
            <w:r>
              <w:rPr>
                <w:sz w:val="20"/>
                <w:szCs w:val="20"/>
              </w:rPr>
              <w:t xml:space="preserve">SPE, no erasure request, permit 3 months</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SPE, erasure request at t = 2</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Cross-border (floor scaled to 12 for tractability), erasure at t = 4</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Control: no erasure request, no permit expiry</w:t>
            </w:r>
          </w:p>
        </w:tc>
        <w:tc>
          <w:tcPr/>
          <w:p>
            <w:pPr>
              <w:pStyle w:val="Compact"/>
              <w:jc w:val="left"/>
            </w:pPr>
            <w:r>
              <w:rPr>
                <w:bCs/>
                <w:b/>
                <w:sz w:val="20"/>
                <w:szCs w:val="20"/>
              </w:rPr>
              <w:t xml:space="preserve">True</w:t>
            </w:r>
          </w:p>
        </w:tc>
      </w:tr>
    </w:tbl>
    <w:p>
      <w:pPr>
        <w:pStyle w:val="BodyText"/>
        <w:spacing w:before="240" w:after="160" w:line="360" w:lineRule="auto"/>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w:t>
      </w:r>
      <w:hyperlink w:anchor="sec_4_4" w:history="1">
        <w:r>
          <w:rPr>
            <w:rStyle w:val="Hyperlink"/>
          </w:rPr>
          <w:t xml:space="preserve">Section 4.4</w:t>
        </w:r>
      </w:hyperlink>
      <w:r>
        <w:t xml:space="preserve">,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demonstration where a parameter was altered for tractability.</w:t>
      </w:r>
    </w:p>
    <w:bookmarkEnd w:id="78"/>
    <w:bookmarkStart w:id="79" w:name="witness-at-the-extended-response-period"/>
    <w:p>
      <w:pPr>
        <w:pStyle w:val="Heading2"/>
      </w:pPr>
      <w:bookmarkStart w:id="1063" w:name="sec_5_6"/>
      <w:r>
        <w:t xml:space="preserve">5.6 Witness at the Extended Response Period</w:t>
      </w:r>
      <w:bookmarkEnd w:id="1063"/>
    </w:p>
    <w:p>
      <w:pPr>
        <w:pStyle w:val="FirstParagraph"/>
      </w:pP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TableCaption"/>
      </w:pPr>
      <w:bookmarkStart w:id="1007" w:name="tbl_5_5"/>
      <w:r>
        <w:rPr>
          <w:b/>
          <w:color w:val="1F3864"/>
        </w:rPr>
        <w:t xml:space="preserve">Table 5.5.</w:t>
      </w:r>
      <w:r>
        <w:t xml:space="preserve"> Results at</w:t>
      </w:r>
      <w:r>
        <w:t xml:space="preserve"> </w:t>
      </w:r>
      <m:oMath>
        <m:r>
          <m:t>δ</m:t>
        </m:r>
        <m:r>
          <m:rPr>
            <m:sty m:val="p"/>
          </m:rPr>
          <m:t>=</m:t>
        </m:r>
        <m:r>
          <m:t>1</m:t>
        </m:r>
      </m:oMath>
      <w:r>
        <w:t xml:space="preserve"> </w:t>
      </w:r>
      <w:r>
        <w:t xml:space="preserve">and</w:t>
      </w:r>
      <w:r>
        <w:t xml:space="preserve"> </w:t>
      </w:r>
      <m:oMath>
        <m:r>
          <m:t>δ</m:t>
        </m:r>
        <m:r>
          <m:rPr>
            <m:sty m:val="p"/>
          </m:rPr>
          <m:t>=</m:t>
        </m:r>
        <m:r>
          <m:t>3</m:t>
        </m:r>
      </m:oMath>
      <w:r>
        <w:t xml:space="preserve"> </w:t>
      </w:r>
      <w:r>
        <w:t xml:space="preserve">(seed 20260915, n = 200)</w:t>
      </w:r>
      <w:bookmarkEnd w:id="1007"/>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m:oMath>
              <m:r>
                <m:t>δ</m:t>
              </m:r>
              <m:r>
                <m:rPr>
                  <m:sty m:val="p"/>
                </m:rPr>
                <m:t>=</m:t>
              </m:r>
              <m:r>
                <m:t>1</m:t>
              </m:r>
            </m:oMath>
          </w:p>
        </w:tc>
        <w:tc>
          <w:tcPr>
            <w:tcBorders>
              <w:bottom w:val="single" w:sz="8" w:space="0" w:color="333333"/>
            </w:tcBorders>
            <w:shd w:val="clear" w:color="auto" w:fill="E8EDF4"/>
          </w:tcPr>
          <w:p>
            <w:pPr>
              <w:pStyle w:val="Compact"/>
              <w:jc w:val="left"/>
            </w:pPr>
            <m:oMath>
              <m:r>
                <m:t>δ</m:t>
              </m:r>
              <m:r>
                <m:rPr>
                  <m:sty m:val="p"/>
                </m:rPr>
                <m:t>=</m:t>
              </m:r>
              <m:r>
                <m:t>3</m:t>
              </m:r>
            </m:oMath>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89</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94</w:t>
            </w:r>
          </w:p>
        </w:tc>
      </w:tr>
      <w:tr>
        <w:trPr>
          <w:cantSplit/>
        </w:trPr>
        <w:tc>
          <w:tcPr/>
          <w:p>
            <w:pPr>
              <w:pStyle w:val="Compact"/>
              <w:jc w:val="left"/>
            </w:pPr>
            <w:r>
              <w:rPr>
                <w:sz w:val="20"/>
                <w:szCs w:val="20"/>
              </w:rPr>
              <w:t xml:space="preserve">Corollary 1.2 witnesses</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bl>
    <w:p>
      <w:pPr>
        <w:pStyle w:val="BodyText"/>
        <w:spacing w:before="240" w:after="160" w:line="360" w:lineRule="auto"/>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79"/>
    <w:bookmarkStart w:id="80" w:name="results-under-semantics-ii"/>
    <w:p>
      <w:pPr>
        <w:pStyle w:val="Heading2"/>
      </w:pPr>
      <w:bookmarkStart w:id="1064" w:name="sec_5_7"/>
      <w:r>
        <w:t xml:space="preserve">5.7 Results under Semantics II</w:t>
      </w:r>
      <w:bookmarkEnd w:id="1064"/>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sepChr m:val=""/>
            <m:end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TableCaption"/>
      </w:pPr>
      <w:bookmarkStart w:id="1008" w:name="tbl_5_6"/>
      <w:r>
        <w:rPr>
          <w:b/>
          <w:color w:val="1F3864"/>
        </w:rPr>
        <w:t xml:space="preserve">Table 5.6.</w:t>
      </w:r>
      <w:r>
        <w:t xml:space="preserve"> Results under Semantics II (same 200 records, same seed)</w:t>
      </w:r>
      <w:bookmarkEnd w:id="1008"/>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Value</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 / 200</w:t>
            </w:r>
          </w:p>
        </w:tc>
      </w:tr>
      <w:tr>
        <w:trPr>
          <w:cantSplit/>
        </w:trPr>
        <w:tc>
          <w:tcPr/>
          <w:p>
            <w:pPr>
              <w:pStyle w:val="Compact"/>
              <w:jc w:val="left"/>
            </w:pPr>
            <w:r>
              <w:rPr>
                <w:sz w:val="20"/>
                <w:szCs w:val="20"/>
              </w:rPr>
              <w:t xml:space="preserve">— on ground GDPR Article 17(1)</w:t>
            </w:r>
          </w:p>
        </w:tc>
        <w:tc>
          <w:tcPr/>
          <w:p>
            <w:pPr>
              <w:pStyle w:val="Compact"/>
              <w:jc w:val="left"/>
            </w:pPr>
            <w:r>
              <w:rPr>
                <w:sz w:val="20"/>
                <w:szCs w:val="20"/>
              </w:rPr>
              <w:t xml:space="preserve">52</w:t>
            </w:r>
          </w:p>
        </w:tc>
      </w:tr>
      <w:tr>
        <w:trPr>
          <w:cantSplit/>
        </w:trPr>
        <w:tc>
          <w:tcPr/>
          <w:p>
            <w:pPr>
              <w:pStyle w:val="Compact"/>
              <w:jc w:val="left"/>
            </w:pPr>
            <w:r>
              <w:rPr>
                <w:sz w:val="20"/>
                <w:szCs w:val="20"/>
              </w:rPr>
              <w:t xml:space="preserve">— on ground EHDS Article 68(12)</w:t>
            </w:r>
          </w:p>
        </w:tc>
        <w:tc>
          <w:tcPr/>
          <w:p>
            <w:pPr>
              <w:pStyle w:val="Compact"/>
              <w:jc w:val="left"/>
            </w:pPr>
            <w:r>
              <w:rPr>
                <w:sz w:val="20"/>
                <w:szCs w:val="20"/>
              </w:rPr>
              <w:t xml:space="preserve">86</w:t>
            </w:r>
          </w:p>
        </w:tc>
      </w:tr>
      <w:tr>
        <w:trPr>
          <w:cantSplit/>
        </w:trPr>
        <w:tc>
          <w:tcPr/>
          <w:p>
            <w:pPr>
              <w:pStyle w:val="Compact"/>
              <w:jc w:val="left"/>
            </w:pPr>
            <w:r>
              <w:rPr>
                <w:sz w:val="20"/>
                <w:szCs w:val="20"/>
              </w:rPr>
              <w:t xml:space="preserve">Records with ≥1 constraint violation</w:t>
            </w:r>
          </w:p>
        </w:tc>
        <w:tc>
          <w:tcPr/>
          <w:p>
            <w:pPr>
              <w:pStyle w:val="Compact"/>
              <w:jc w:val="left"/>
            </w:pPr>
            <w:r>
              <w:rPr>
                <w:bCs/>
                <w:b/>
                <w:sz w:val="20"/>
                <w:szCs w:val="20"/>
              </w:rPr>
              <w:t xml:space="preserve">0 / 200</w:t>
            </w:r>
          </w:p>
        </w:tc>
      </w:tr>
      <w:tr>
        <w:trPr>
          <w:cantSplit/>
        </w:trPr>
        <w:tc>
          <w:tcPr/>
          <w:p>
            <w:pPr>
              <w:pStyle w:val="Compact"/>
              <w:jc w:val="left"/>
            </w:pPr>
            <w:r>
              <w:rPr>
                <w:sz w:val="20"/>
                <w:szCs w:val="20"/>
              </w:rPr>
              <w:t xml:space="preserve">Total constraint violations</w:t>
            </w:r>
          </w:p>
        </w:tc>
        <w:tc>
          <w:tcPr/>
          <w:p>
            <w:pPr>
              <w:pStyle w:val="Compact"/>
              <w:jc w:val="left"/>
            </w:pPr>
            <w:r>
              <w:rPr>
                <w:bCs/>
                <w:b/>
                <w:sz w:val="20"/>
                <w:szCs w:val="20"/>
              </w:rPr>
              <w:t xml:space="preserve">0</w:t>
            </w:r>
          </w:p>
        </w:tc>
      </w:tr>
    </w:tbl>
    <w:p>
      <w:pPr>
        <w:pStyle w:val="BodyText"/>
        <w:spacing w:before="240" w:after="160" w:line="360" w:lineRule="auto"/>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w:t>
      </w:r>
      <w:hyperlink w:anchor="sec_5_4" w:history="1">
        <w:r>
          <w:rPr>
            <w:rStyle w:val="Hyperlink"/>
          </w:rPr>
          <w:t xml:space="preserve">Section 5.4</w:t>
        </w:r>
      </w:hyperlink>
      <w:r>
        <w:t xml:space="preserve">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A.16). The Semantics II result of </w:t>
      </w:r>
      <w:hyperlink w:anchor="tbl_5_6" w:history="1">
        <w:r>
          <w:rPr>
            <w:rStyle w:val="Hyperlink"/>
          </w:rPr>
          <w:t xml:space="preserve">Table 5.6</w:t>
        </w:r>
      </w:hyperlink>
      <w:r>
        <w:t xml:space="preserve"> therefore rests on a check that can fail, which a test of the fields’ presence alone could not.</w:t>
      </w:r>
    </w:p>
    <w:bookmarkEnd w:id="80"/>
    <w:bookmarkStart w:id="81" w:name="X118c29104845627cee32a0e9a3002454d83401c"/>
    <w:p>
      <w:pPr>
        <w:pStyle w:val="Heading2"/>
      </w:pPr>
      <w:bookmarkStart w:id="1065" w:name="sec_5_8"/>
      <w:r>
        <w:t xml:space="preserve">5.8 What the Demonstration Establishes, and What It Does Not</w:t>
      </w:r>
      <w:bookmarkEnd w:id="1065"/>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w:t>
      </w:r>
      <w:hyperlink w:anchor="ch_4" w:history="1">
        <w:r>
          <w:rPr>
            <w:rStyle w:val="Hyperlink"/>
          </w:rPr>
          <w:t xml:space="preserve">Chapter 4</w:t>
        </w:r>
      </w:hyperlink>
      <w:r>
        <w:t xml:space="preserve">,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w:t>
      </w:r>
      <w:hyperlink w:anchor="ch_2" w:history="1">
        <w:r>
          <w:rPr>
            <w:rStyle w:val="Hyperlink"/>
          </w:rPr>
          <w:t xml:space="preserve">Chapter 2</w:t>
        </w:r>
      </w:hyperlink>
      <w:r>
        <w:t xml:space="preserve"> drew from the secure-deletion literature and that </w:t>
      </w:r>
      <w:hyperlink w:anchor="ch_6" w:history="1">
        <w:r>
          <w:rPr>
            <w:rStyle w:val="Hyperlink"/>
          </w:rPr>
          <w:t xml:space="preserve">Chapter 6</w:t>
        </w:r>
      </w:hyperlink>
      <w:r>
        <w:t xml:space="preserve"> engages.</w:t>
      </w:r>
    </w:p>
    <w:p>
      <w:pPr>
        <w:pStyle w:val="BodyText"/>
      </w:pPr>
      <w:r>
        <w:rPr>
          <w:iCs/>
          <w:i/>
        </w:rPr>
        <w:t xml:space="preserve">How the tables should be read.</w:t>
      </w:r>
      <w:r>
        <w:t xml:space="preserve"> </w:t>
      </w:r>
      <w:r>
        <w:t xml:space="preserve">The Semantics II result of </w:t>
      </w:r>
      <w:hyperlink w:anchor="tbl_5_6" w:history="1">
        <w:r>
          <w:rPr>
            <w:rStyle w:val="Hyperlink"/>
          </w:rPr>
          <w:t xml:space="preserve">Table 5.6</w:t>
        </w:r>
      </w:hyperlink>
      <w:r>
        <w:t xml:space="preserve"> holds by construction: the checker derives payload accessibility from the same invalidation month that the trajectory of Proposition 2 prescribes, so zero violations is the expected outcome, and a failure would expose an implementation error and not a modelling error. The rates of </w:t>
      </w:r>
      <w:hyperlink w:anchor="tbl_5_3" w:history="1">
        <w:r>
          <w:rPr>
            <w:rStyle w:val="Hyperlink"/>
          </w:rPr>
          <w:t xml:space="preserve">Table 5.3</w:t>
        </w:r>
      </w:hyperlink>
      <w:r>
        <w:t xml:space="preserve"> are read as </w:t>
      </w:r>
      <w:hyperlink w:anchor="sec_5_3" w:history="1">
        <w:r>
          <w:rPr>
            <w:rStyle w:val="Hyperlink"/>
          </w:rPr>
          <w:t xml:space="preserve">Section 5.3</w:t>
        </w:r>
      </w:hyperlink>
      <w:r>
        <w:t xml:space="preserve"> states.</w:t>
      </w:r>
    </w:p>
    <w:p>
      <w:pPr>
        <w:pStyle w:val="BodyText"/>
      </w:pPr>
      <w:r>
        <w:rPr>
          <w:iCs/>
          <w:i/>
        </w:rPr>
        <w:t xml:space="preserve">Payload provenance.</w:t>
      </w:r>
      <w:r>
        <w:t xml:space="preserve"> </w:t>
      </w:r>
      <w:r>
        <w:t xml:space="preserve">The realism layer specified in </w:t>
      </w:r>
      <w:hyperlink w:anchor="ch_3" w:history="1">
        <w:r>
          <w:rPr>
            <w:rStyle w:val="Hyperlink"/>
          </w:rPr>
          <w:t xml:space="preserve">Chapter 3</w:t>
        </w:r>
      </w:hyperlink>
      <w:r>
        <w:t xml:space="preserve">, </w:t>
      </w:r>
      <w:hyperlink w:anchor="sec_3_6" w:history="1">
        <w:r>
          <w:rPr>
            <w:rStyle w:val="Hyperlink"/>
          </w:rPr>
          <w:t xml:space="preserve">Section 3.6</w:t>
        </w:r>
      </w:hyperlink>
      <w:r>
        <w:t xml:space="preserve">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TableCaption"/>
      </w:pPr>
      <w:bookmarkStart w:id="1009" w:name="tbl_5_7"/>
      <w:r>
        <w:rPr>
          <w:b/>
          <w:color w:val="1F3864"/>
        </w:rPr>
        <w:t xml:space="preserve">Table 5.7.</w:t>
      </w:r>
      <w:r>
        <w:t xml:space="preserve"> Constructed against Synthea-generated payloads (same seed, same timings)</w:t>
      </w:r>
      <w:bookmarkEnd w:id="1009"/>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Constructed</w:t>
            </w:r>
          </w:p>
        </w:tc>
        <w:tc>
          <w:tcPr>
            <w:tcBorders>
              <w:bottom w:val="single" w:sz="8" w:space="0" w:color="333333"/>
            </w:tcBorders>
            <w:shd w:val="clear" w:color="auto" w:fill="E8EDF4"/>
          </w:tcPr>
          <w:p>
            <w:pPr>
              <w:pStyle w:val="Compact"/>
              <w:jc w:val="left"/>
            </w:pPr>
            <w:r>
              <w:rPr>
                <w:b/>
                <w:sz w:val="20"/>
                <w:szCs w:val="20"/>
              </w:rPr>
              <w:t xml:space="preserve">Synthea</w:t>
            </w:r>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90</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95</w:t>
            </w:r>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Commitments differing between runs</w:t>
            </w:r>
          </w:p>
        </w:tc>
        <w:tc>
          <w:tcPr/>
          <w:p>
            <w:pPr>
              <w:pStyle w:val="Compact"/>
              <w:jc w:val="left"/>
            </w:pPr>
            <w:r>
              <w:rPr>
                <w:sz w:val="20"/>
                <w:szCs w:val="20"/>
              </w:rPr>
              <w:t xml:space="preserve">—</w:t>
            </w:r>
          </w:p>
        </w:tc>
        <w:tc>
          <w:tcPr/>
          <w:p>
            <w:pPr>
              <w:pStyle w:val="Compact"/>
              <w:jc w:val="left"/>
            </w:pPr>
            <w:r>
              <w:rPr>
                <w:sz w:val="20"/>
                <w:szCs w:val="20"/>
              </w:rPr>
              <w:t xml:space="preserve">200 / 200</w:t>
            </w:r>
          </w:p>
        </w:tc>
      </w:tr>
    </w:tbl>
    <w:p>
      <w:pPr>
        <w:pStyle w:val="BodyText"/>
        <w:spacing w:before="240" w:after="160" w:line="360" w:lineRule="auto"/>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w:t>
      </w:r>
      <w:hyperlink w:anchor="ch_1" w:history="1">
        <w:r>
          <w:rPr>
            <w:rStyle w:val="Hyperlink"/>
          </w:rPr>
          <w:t xml:space="preserve">Chapter 1</w:t>
        </w:r>
      </w:hyperlink>
      <w:r>
        <w:t xml:space="preserve"> made for it: the artefact behaves as specified, and Propositions 1 and 2 are checkable by a reader who declines to take the proofs on trust. </w:t>
      </w:r>
      <w:hyperlink w:anchor="ch_6" w:history="1">
        <w:r>
          <w:rPr>
            <w:rStyle w:val="Hyperlink"/>
          </w:rPr>
          <w:t xml:space="preserve">Chapter 6</w:t>
        </w:r>
      </w:hyperlink>
      <w:r>
        <w:t xml:space="preserve"> takes up what follows from them.</w:t>
      </w:r>
    </w:p>
    <w:bookmarkEnd w:id="81"/>
    <w:bookmarkEnd w:id="82"/>
    <w:bookmarkStart w:id="95" w:name="chapter-6.-discussion"/>
    <w:p>
      <w:pPr>
        <w:pStyle w:val="Heading1"/>
      </w:pPr>
      <w:bookmarkStart w:id="1066" w:name="ch_6"/>
      <w:r>
        <w:t xml:space="preserve">Chapter 6. Discussion</w:t>
      </w:r>
      <w:bookmarkEnd w:id="1066"/>
    </w:p>
    <w:bookmarkStart w:id="83" w:name="what-the-thesis-establishes"/>
    <w:p>
      <w:pPr>
        <w:pStyle w:val="Heading2"/>
      </w:pPr>
      <w:bookmarkStart w:id="1067" w:name="sec_6_1"/>
      <w:r>
        <w:t xml:space="preserve">6.1 What the Thesis Establishes</w:t>
      </w:r>
      <w:bookmarkEnd w:id="1067"/>
    </w:p>
    <w:p>
      <w:pPr>
        <w:pStyle w:val="FirstParagraph"/>
      </w:pPr>
      <w:r>
        <w:t xml:space="preserve">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w:t>
      </w:r>
      <w:hyperlink w:anchor="ch_4" w:history="1">
        <w:r>
          <w:rPr>
            <w:rStyle w:val="Hyperlink"/>
          </w:rPr>
          <w:t xml:space="preserve">Chapter 4</w:t>
        </w:r>
      </w:hyperlink>
      <w:r>
        <w:t xml:space="preserve"> proves both results; </w:t>
      </w:r>
      <w:hyperlink w:anchor="ch_5" w:history="1">
        <w:r>
          <w:rPr>
            <w:rStyle w:val="Hyperlink"/>
          </w:rPr>
          <w:t xml:space="preserve">Chapter 5</w:t>
        </w:r>
      </w:hyperlink>
      <w:r>
        <w:t xml:space="preserve">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Proposition 4). Cryptographic invalidation is therefore necessary where a data subject’s request meets a retention floor, and in the cross-border pathway that is every request arriving inside the floor,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w:t>
      </w:r>
      <w:hyperlink w:anchor="ch_5" w:history="1">
        <w:r>
          <w:rPr>
            <w:rStyle w:val="Hyperlink"/>
          </w:rPr>
          <w:t xml:space="preserve">Chapter 5</w:t>
        </w:r>
      </w:hyperlink>
      <w:r>
        <w:t xml:space="preserve"> produced thirty-nine witnesses of this collision in the model, in a population of one hundred Secure Processing Environment records; across the full population of two hundred, cross-border records included, ninety records were infeasible under Semantics I, most of them through erasure requests (</w:t>
      </w:r>
      <w:hyperlink w:anchor="ch_5" w:history="1">
        <w:r>
          <w:rPr>
            <w:rStyle w:val="Hyperlink"/>
          </w:rPr>
          <w:t xml:space="preserve">Chapter 5</w:t>
        </w:r>
      </w:hyperlink>
      <w:r>
        <w:t xml:space="preserve">, </w:t>
      </w:r>
      <w:hyperlink w:anchor="tbl_5_3" w:history="1">
        <w:r>
          <w:rPr>
            <w:rStyle w:val="Hyperlink"/>
          </w:rPr>
          <w:t xml:space="preserve">Table 5.3</w:t>
        </w:r>
      </w:hyperlink>
      <w:r>
        <w:t xml:space="preserve">).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hyperlink w:anchor="sec_4_8" w:history="1">
        <w:r>
          <w:rPr>
            <w:rStyle w:val="Hyperlink"/>
          </w:rPr>
          <w:t xml:space="preserve">Section 4.8</w:t>
        </w:r>
      </w:hyperlink>
      <w:r>
        <w:t xml:space="preserve"> specifies and the checker does not implement; nor does it implement the per-entry nonce that keeps surviving leaf hashes from confirming guesses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w:t>
      </w:r>
      <w:hyperlink w:anchor="ch_5" w:history="1">
        <w:r>
          <w:rPr>
            <w:rStyle w:val="Hyperlink"/>
          </w:rPr>
          <w:t xml:space="preserve">Chapter 5</w:t>
        </w:r>
      </w:hyperlink>
      <w:r>
        <w:t xml:space="preserve"> exercises keys, commitments, and invalidation entries, and no accumulator was built or run.</w:t>
      </w:r>
    </w:p>
    <w:p>
      <w:pPr>
        <w:pStyle w:val="BodyText"/>
      </w:pPr>
      <w:r>
        <w:t xml:space="preserve">What follows engages the objections to all of this in the order of their seriousness.</w:t>
      </w:r>
    </w:p>
    <w:bookmarkEnd w:id="83"/>
    <w:bookmarkStart w:id="84" w:name="the-authority-problem"/>
    <w:p>
      <w:pPr>
        <w:pStyle w:val="Heading2"/>
      </w:pPr>
      <w:bookmarkStart w:id="1068" w:name="sec_6_2"/>
      <w:r>
        <w:t xml:space="preserve">6.2 The Authority Problem</w:t>
      </w:r>
      <w:bookmarkEnd w:id="1068"/>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 Table 5.2, OPR-6, p. 43), and it records that further guidance is needed on how accountability and anonymisation obligations intersect (Annex 7, p. 96). A specification that asks for a balance it does not define has not adopted plaintext verifiability; </w:t>
      </w:r>
      <w:hyperlink w:anchor="tbl_4_1" w:history="1">
        <w:r>
          <w:rPr>
            <w:rStyle w:val="Hyperlink"/>
          </w:rPr>
          <w:t xml:space="preserve">Table 4.1</w:t>
        </w:r>
      </w:hyperlink>
      <w:r>
        <w:t xml:space="preserve"> sets out one balance requirement by requirement.</w:t>
      </w:r>
    </w:p>
    <w:p>
      <w:pPr>
        <w:pStyle w:val="BodyText"/>
      </w:pPr>
      <w:r>
        <w:t xml:space="preserve">Third, the question is decidable by asking. </w:t>
      </w:r>
      <w:hyperlink w:anchor="ch_7" w:history="1">
        <w:r>
          <w:rPr>
            <w:rStyle w:val="Hyperlink"/>
          </w:rPr>
          <w:t xml:space="preserve">Chapter 7</w:t>
        </w:r>
      </w:hyperlink>
      <w:r>
        <w:t xml:space="preserve">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4"/>
    <w:bookmarkStart w:id="85" w:name="Xded207afce20f277dc3fb975fe95ea550887e42"/>
    <w:p>
      <w:pPr>
        <w:pStyle w:val="Heading2"/>
      </w:pPr>
      <w:bookmarkStart w:id="1069" w:name="sec_6_3"/>
      <w:r>
        <w:t xml:space="preserve">6.3 Key Destruction and the Limits of Assurance</w:t>
      </w:r>
      <w:bookmarkEnd w:id="1069"/>
    </w:p>
    <w:p>
      <w:pPr>
        <w:pStyle w:val="FirstParagraph"/>
      </w:pPr>
      <w:r>
        <w:t xml:space="preserve">The second objection is the one the thesis has carried since </w:t>
      </w:r>
      <w:hyperlink w:anchor="ch_2" w:history="1">
        <w:r>
          <w:rPr>
            <w:rStyle w:val="Hyperlink"/>
          </w:rPr>
          <w:t xml:space="preserve">Chapter 2</w:t>
        </w:r>
      </w:hyperlink>
      <w:r>
        <w:t xml:space="preserve">,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w:t>
      </w:r>
      <w:hyperlink w:anchor="ch_4" w:history="1">
        <w:r>
          <w:rPr>
            <w:rStyle w:val="Hyperlink"/>
          </w:rPr>
          <w:t xml:space="preserve">Chapter 4</w:t>
        </w:r>
      </w:hyperlink>
      <w:r>
        <w:t xml:space="preserve">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85"/>
    <w:bookmarkStart w:id="86" w:name="the-cost-objection"/>
    <w:p>
      <w:pPr>
        <w:pStyle w:val="Heading2"/>
      </w:pPr>
      <w:bookmarkStart w:id="1070" w:name="sec_6_4"/>
      <w:r>
        <w:t xml:space="preserve">6.4 The Cost Objection</w:t>
      </w:r>
      <w:bookmarkEnd w:id="1070"/>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w:t>
      </w:r>
      <w:hyperlink w:anchor="ch_4" w:history="1">
        <w:r>
          <w:rPr>
            <w:rStyle w:val="Hyperlink"/>
          </w:rPr>
          <w:t xml:space="preserve">Chapter 4</w:t>
        </w:r>
      </w:hyperlink>
      <w:r>
        <w:t xml:space="preserve"> requires per-record key granularity, and </w:t>
      </w:r>
      <w:hyperlink w:anchor="sec_4_8" w:history="1">
        <w:r>
          <w:rPr>
            <w:rStyle w:val="Hyperlink"/>
          </w:rPr>
          <w:t xml:space="preserve">Section 4.8</w:t>
        </w:r>
      </w:hyperlink>
      <w:r>
        <w:t xml:space="preserve">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86"/>
    <w:bookmarkStart w:id="87" w:name="scalability"/>
    <w:p>
      <w:pPr>
        <w:pStyle w:val="Heading2"/>
      </w:pPr>
      <w:bookmarkStart w:id="1071" w:name="sec_6_5"/>
      <w:r>
        <w:t xml:space="preserve">6.5 Scalability</w:t>
      </w:r>
      <w:bookmarkEnd w:id="1071"/>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w:t>
      </w:r>
      <w:hyperlink w:anchor="sec_6_4" w:history="1">
        <w:r>
          <w:rPr>
            <w:rStyle w:val="Hyperlink"/>
          </w:rPr>
          <w:t xml:space="preserve">Section 6.4</w:t>
        </w:r>
      </w:hyperlink>
      <w:r>
        <w:t xml:space="preserve">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87"/>
    <w:bookmarkStart w:id="88" w:name="X44fba077a1d6c8b053ceb66fb0b4946e89febc8"/>
    <w:p>
      <w:pPr>
        <w:pStyle w:val="Heading2"/>
      </w:pPr>
      <w:bookmarkStart w:id="1072" w:name="sec_6_6"/>
      <w:r>
        <w:t xml:space="preserve">6.6 Evaluation Design and the Role of Stakeholder Assessment</w:t>
      </w:r>
      <w:bookmarkEnd w:id="1072"/>
    </w:p>
    <w:p>
      <w:pPr>
        <w:pStyle w:val="FirstParagraph"/>
      </w:pPr>
      <w:r>
        <w:t xml:space="preserve">The evaluation reported in this thesis is analytical, and </w:t>
      </w:r>
      <w:hyperlink w:anchor="sec_3_7" w:history="1">
        <w:r>
          <w:rPr>
            <w:rStyle w:val="Hyperlink"/>
          </w:rPr>
          <w:t xml:space="preserve">Section 3.7</w:t>
        </w:r>
      </w:hyperlink>
      <w:r>
        <w:t xml:space="preserve">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w:t>
      </w:r>
      <w:hyperlink w:anchor="sec_6_2" w:history="1">
        <w:r>
          <w:rPr>
            <w:rStyle w:val="Hyperlink"/>
          </w:rPr>
          <w:t xml:space="preserve">Section 6.2</w:t>
        </w:r>
      </w:hyperlink>
      <w:r>
        <w:t xml:space="preserve"> identifies as carrying Corollary 1.2. Questionnaire item A2 asks whether attested key destruction is sufficient without hardware-backed proof, which is the boundary </w:t>
      </w:r>
      <w:hyperlink w:anchor="sec_6_3" w:history="1">
        <w:r>
          <w:rPr>
            <w:rStyle w:val="Hyperlink"/>
          </w:rPr>
          <w:t xml:space="preserve">Section 6.3</w:t>
        </w:r>
      </w:hyperlink>
      <w:r>
        <w:t xml:space="preserve"> describes. And items O1 to O4 address the operational burden that </w:t>
      </w:r>
      <w:hyperlink w:anchor="sec_6_4" w:history="1">
        <w:r>
          <w:rPr>
            <w:rStyle w:val="Hyperlink"/>
          </w:rPr>
          <w:t xml:space="preserve">Section 6.4</w:t>
        </w:r>
      </w:hyperlink>
      <w:r>
        <w:t xml:space="preserve">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doing so would process personal data about identifiable professionals, require notification to Sikt, and require revision of the scope and ethics statements that are accurate for the thesis as submitted. Its execution is the immediate next step identified in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and the findings would feed back into the design cycle rather than being appended to it, revising the trust model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residue analysis, and the direction of the next iteration.</w:t>
      </w:r>
    </w:p>
    <w:bookmarkEnd w:id="88"/>
    <w:bookmarkStart w:id="89" w:name="Xb09e9d760b9049b450198be4ab64b306a64bdc7"/>
    <w:p>
      <w:pPr>
        <w:pStyle w:val="Heading2"/>
      </w:pPr>
      <w:bookmarkStart w:id="1073" w:name="sec_6_7"/>
      <w:r>
        <w:t xml:space="preserve">6.7 Synthetic Data and the Limits of the Demonstration</w:t>
      </w:r>
      <w:bookmarkEnd w:id="1073"/>
    </w:p>
    <w:p>
      <w:pPr>
        <w:pStyle w:val="FirstParagraph"/>
      </w:pPr>
      <w:r>
        <w:t xml:space="preserve">Substituting real FHIR R4 resources for constructed payload strings changed all two hundred commitments and no reported figure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t>
      </w:r>
      <w:hyperlink w:anchor="tbl_5_7" w:history="1">
        <w:r>
          <w:rPr>
            <w:rStyle w:val="Hyperlink"/>
          </w:rPr>
          <w:t xml:space="preserve">Table 5.7</w:t>
        </w:r>
      </w:hyperlink>
      <w:r>
        <w:t xml:space="preserve">),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w:t>
      </w:r>
      <w:hyperlink w:anchor="ch_4" w:history="1">
        <w:r>
          <w:rPr>
            <w:rStyle w:val="Hyperlink"/>
          </w:rPr>
          <w:t xml:space="preserve">Chapter 4</w:t>
        </w:r>
      </w:hyperlink>
      <w:r>
        <w:t xml:space="preserve">, and those arguments are informal rather than machine-checked. The executable check and the exhaustive cross-check reduce the probability that an error in the proofs has gone unnoticed; they do not eliminate it.</w:t>
      </w:r>
    </w:p>
    <w:bookmarkEnd w:id="89"/>
    <w:bookmarkStart w:id="90" w:name="implications-for-practice-and-policy"/>
    <w:p>
      <w:pPr>
        <w:pStyle w:val="Heading2"/>
      </w:pPr>
      <w:bookmarkStart w:id="1074" w:name="sec_6_8"/>
      <w:r>
        <w:t xml:space="preserve">6.8 Implications for Practice and Policy</w:t>
      </w:r>
      <w:bookmarkEnd w:id="1074"/>
    </w:p>
    <w:p>
      <w:pPr>
        <w:pStyle w:val="FirstParagraph"/>
      </w:pPr>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w:t>
      </w:r>
      <w:hyperlink w:anchor="sec_6_2" w:history="1">
        <w:r>
          <w:rPr>
            <w:rStyle w:val="Hyperlink"/>
          </w:rPr>
          <w:t xml:space="preserve">Section 6.2</w:t>
        </w:r>
      </w:hyperlink>
      <w:r>
        <w:t xml:space="preserve">). </w:t>
      </w:r>
      <w:hyperlink w:anchor="tbl_4_1" w:history="1">
        <w:r>
          <w:rPr>
            <w:rStyle w:val="Hyperlink"/>
          </w:rPr>
          <w:t xml:space="preserve">Table 4.1</w:t>
        </w:r>
      </w:hyperlink>
      <w:r>
        <w:t xml:space="preserve">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w:t>
      </w:r>
      <w:hyperlink w:anchor="sec_6_2" w:history="1">
        <w:r>
          <w:rPr>
            <w:rStyle w:val="Hyperlink"/>
          </w:rPr>
          <w:t xml:space="preserve">Section 6.2</w:t>
        </w:r>
      </w:hyperlink>
      <w:r>
        <w:t xml:space="preserve"> being resolved favourably.</w:t>
      </w:r>
    </w:p>
    <w:bookmarkEnd w:id="90"/>
    <w:bookmarkStart w:id="91" w:name="theoretical-implications"/>
    <w:p>
      <w:pPr>
        <w:pStyle w:val="Heading2"/>
      </w:pPr>
      <w:bookmarkStart w:id="1075" w:name="sec_6_9"/>
      <w:r>
        <w:t xml:space="preserve">6.9 Theoretical Implications</w:t>
      </w:r>
      <w:bookmarkEnd w:id="1075"/>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w:t>
      </w:r>
      <w:hyperlink w:anchor="sec_6_10" w:history="1">
        <w:r>
          <w:rPr>
            <w:rStyle w:val="Hyperlink"/>
          </w:rPr>
          <w:t xml:space="preserve">Section 6.10</w:t>
        </w:r>
      </w:hyperlink>
      <w:r>
        <w:t xml:space="preserve">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w:t>
      </w:r>
      <w:hyperlink w:anchor="sec_6_2" w:history="1">
        <w:r>
          <w:rPr>
            <w:rStyle w:val="Hyperlink"/>
          </w:rPr>
          <w:t xml:space="preserve">Sections 6.2</w:t>
        </w:r>
      </w:hyperlink>
      <w:r>
        <w:t xml:space="preserve"> and 6.3 attached. The fourth open problem on the same list, composition with zero-knowledge selective disclosure, is a problem this thesis creates rather than solves, and </w:t>
      </w:r>
      <w:hyperlink w:anchor="ch_7" w:history="1">
        <w:r>
          <w:rPr>
            <w:rStyle w:val="Hyperlink"/>
          </w:rPr>
          <w:t xml:space="preserve">Chapter 7</w:t>
        </w:r>
      </w:hyperlink>
      <w:r>
        <w:t xml:space="preserve"> treats it accordingly.</w:t>
      </w:r>
    </w:p>
    <w:bookmarkEnd w:id="91"/>
    <w:bookmarkStart w:id="92" w:name="Xf98bccb8ca371ce0fd1679988a5911c6b05ad19"/>
    <w:p>
      <w:pPr>
        <w:pStyle w:val="Heading2"/>
      </w:pPr>
      <w:bookmarkStart w:id="1076" w:name="sec_6_10"/>
      <w:r>
        <w:t xml:space="preserve">6.10 Where the Ceiling Is Anchored: a Cross-Sector Test</w:t>
      </w:r>
      <w:bookmarkEnd w:id="1076"/>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w:t>
      </w:r>
      <w:hyperlink w:anchor="ch_4" w:history="1">
        <w:r>
          <w:rPr>
            <w:rStyle w:val="Hyperlink"/>
          </w:rPr>
          <w:t xml:space="preserve">Chapter 4</w:t>
        </w:r>
      </w:hyperlink>
      <w:r>
        <w:t xml:space="preserve">,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w:t>
      </w:r>
      <w:hyperlink w:anchor="ch_4" w:history="1">
        <w:r>
          <w:rPr>
            <w:rStyle w:val="Hyperlink"/>
          </w:rPr>
          <w:t xml:space="preserve">Chapter 4</w:t>
        </w:r>
      </w:hyperlink>
      <w:r>
        <w:t xml:space="preserve">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2"/>
    <w:bookmarkStart w:id="93" w:name="boundaries-as-contribution"/>
    <w:p>
      <w:pPr>
        <w:pStyle w:val="Heading2"/>
      </w:pPr>
      <w:bookmarkStart w:id="1077" w:name="sec_6_11"/>
      <w:r>
        <w:t xml:space="preserve">6.11 Boundaries as Contribution</w:t>
      </w:r>
      <w:bookmarkEnd w:id="1077"/>
    </w:p>
    <w:p>
      <w:pPr>
        <w:pStyle w:val="FirstParagraph"/>
      </w:pPr>
      <w:r>
        <w:t xml:space="preserve">The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The interpretive move at the centre of the thesis is an argument without authority behind it. None of these was claimed, so none of them reduces what was: a contribution that states its boundaries can be checked at them.</w:t>
      </w:r>
    </w:p>
    <w:bookmarkEnd w:id="93"/>
    <w:bookmarkStart w:id="94" w:name="summary-1"/>
    <w:p>
      <w:pPr>
        <w:pStyle w:val="Heading2"/>
      </w:pPr>
      <w:bookmarkStart w:id="1078" w:name="sec_6_12"/>
      <w:r>
        <w:t xml:space="preserve">6.12 Summary</w:t>
      </w:r>
      <w:bookmarkEnd w:id="1078"/>
    </w:p>
    <w:p>
      <w:pPr>
        <w:pStyle w:val="FirstParagraph"/>
      </w:pPr>
      <w:r>
        <w:t xml:space="preserve">The thesis establishes that audit-retention floors, the right to erasure and the deletion ceiling conflict only under an assumption about verifiability, and not because of the obligations themselves; that, on the broad reading of Article 68(12) and for logs kept at patient-record granularity, the conflict arises inside the European Health Data Space Regulation with no data subject acting; that a ceiling collides with a floor exactly when Proposition 3 says, and that relocation escapes the ceiling but not the right (Proposition 4). It exhibits the mechanism that dissolves the conflict and demonstrates Propositions 1 and 2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w:t>
      </w:r>
      <w:hyperlink w:anchor="ch_7" w:history="1">
        <w:r>
          <w:rPr>
            <w:rStyle w:val="Hyperlink"/>
          </w:rPr>
          <w:t xml:space="preserve">Chapter 7</w:t>
        </w:r>
      </w:hyperlink>
      <w:r>
        <w:t xml:space="preserve"> draws the conclusions and states the work that follows.</w:t>
      </w:r>
    </w:p>
    <w:bookmarkEnd w:id="94"/>
    <w:bookmarkEnd w:id="95"/>
    <w:bookmarkStart w:id="102" w:name="chapter-7.-conclusion"/>
    <w:p>
      <w:pPr>
        <w:pStyle w:val="Heading1"/>
      </w:pPr>
      <w:bookmarkStart w:id="1079" w:name="ch_7"/>
      <w:r>
        <w:t xml:space="preserve">Chapter 7. Conclusion</w:t>
      </w:r>
      <w:bookmarkEnd w:id="1079"/>
    </w:p>
    <w:bookmarkStart w:id="96" w:name="the-problem-and-the-answer"/>
    <w:p>
      <w:pPr>
        <w:pStyle w:val="Heading2"/>
      </w:pPr>
      <w:bookmarkStart w:id="1080" w:name="sec_7_1"/>
      <w:r>
        <w:t xml:space="preserve">7.1 The Problem and the Answer</w:t>
      </w:r>
      <w:bookmarkEnd w:id="1080"/>
    </w:p>
    <w:p>
      <w:pPr>
        <w:pStyle w:val="FirstParagraph"/>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collides with a retention floor exactly when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bookmarkEnd w:id="96"/>
    <w:bookmarkStart w:id="97" w:name="contributions"/>
    <w:p>
      <w:pPr>
        <w:pStyle w:val="Heading2"/>
      </w:pPr>
      <w:bookmarkStart w:id="1081" w:name="sec_7_2"/>
      <w:r>
        <w:t xml:space="preserve">7.2 Contributions</w:t>
      </w:r>
      <w:bookmarkEnd w:id="1081"/>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confirmed on a statute outside health; Proposition 4 shows why relocation answers the ceiling and not the right.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w:t>
      </w:r>
      <w:hyperlink w:anchor="tbl_4_1" w:history="1">
        <w:r>
          <w:rPr>
            <w:rStyle w:val="Hyperlink"/>
          </w:rPr>
          <w:t xml:space="preserve">Table 4.1</w:t>
        </w:r>
      </w:hyperlink>
      <w:r>
        <w:t xml:space="preserve"> traces the mechanism to each requirement of the regulation and of the Joint Action’s specification it touches, and places it in the activity-monitoring component of the specification’s reference architecture.</w:t>
      </w:r>
    </w:p>
    <w:bookmarkEnd w:id="97"/>
    <w:bookmarkStart w:id="98" w:name="what-the-thesis-does-not-establish"/>
    <w:p>
      <w:pPr>
        <w:pStyle w:val="Heading2"/>
      </w:pPr>
      <w:bookmarkStart w:id="1082" w:name="sec_7_3"/>
      <w:r>
        <w:t xml:space="preserve">7.3 What the Thesis Does Not Establish</w:t>
      </w:r>
      <w:bookmarkEnd w:id="1082"/>
    </w:p>
    <w:p>
      <w:pPr>
        <w:pStyle w:val="FirstParagraph"/>
      </w:pPr>
      <w:r>
        <w:t xml:space="preserve">The limitations bounding this contribution are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98"/>
    <w:bookmarkStart w:id="99" w:name="the-two-open-questions-of-authority"/>
    <w:p>
      <w:pPr>
        <w:pStyle w:val="Heading2"/>
      </w:pPr>
      <w:bookmarkStart w:id="1083" w:name="sec_7_4"/>
      <w:r>
        <w:t xml:space="preserve">7.4 The Two Open Questions of Authority</w:t>
      </w:r>
      <w:bookmarkEnd w:id="1083"/>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Corollary 1.2 stands or falls with this question, and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99"/>
    <w:bookmarkStart w:id="100" w:name="future-work"/>
    <w:p>
      <w:pPr>
        <w:pStyle w:val="Heading2"/>
      </w:pPr>
      <w:bookmarkStart w:id="1084" w:name="sec_7_5"/>
      <w:r>
        <w:t xml:space="preserve">7.5 Future Work</w:t>
      </w:r>
      <w:bookmarkEnd w:id="1084"/>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w:t>
      </w:r>
      <w:hyperlink w:anchor="sec_7_4" w:history="1">
        <w:r>
          <w:rPr>
            <w:rStyle w:val="Hyperlink"/>
          </w:rPr>
          <w:t xml:space="preserve">Section 7.4</w:t>
        </w:r>
      </w:hyperlink>
      <w:r>
        <w:t xml:space="preserve">,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and the audit log of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0"/>
    <w:bookmarkStart w:id="101" w:name="closing"/>
    <w:p>
      <w:pPr>
        <w:pStyle w:val="Heading2"/>
      </w:pPr>
      <w:bookmarkStart w:id="1085" w:name="sec_7_6"/>
      <w:r>
        <w:t xml:space="preserve">7.6 Closing</w:t>
      </w:r>
      <w:bookmarkEnd w:id="1085"/>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bookmarkEnd w:id="101"/>
    <w:bookmarkEnd w:id="102"/>
    <w:bookmarkStart w:id="103" w:name="references"/>
    <w:p>
      <w:pPr>
        <w:pStyle w:val="Heading1"/>
      </w:pPr>
      <w:bookmarkStart w:id="1086" w:name="h_References"/>
      <w:r>
        <w:t xml:space="preserve">References</w:t>
      </w:r>
      <w:bookmarkEnd w:id="1086"/>
    </w:p>
    <w:p>
      <w:pPr>
        <w:pStyle w:val="Bibliography"/>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ibliography"/>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ibliography"/>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ibliography"/>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ibliography"/>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ibliography"/>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ibliography"/>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ibliography"/>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ibliography"/>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ibliography"/>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ibliography"/>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ibliography"/>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ibliography"/>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ibliography"/>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ibliography"/>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ibliography"/>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ibliography"/>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ibliography"/>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ibliography"/>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ibliography"/>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ibliography"/>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ibliography"/>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ibliography"/>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ibliography"/>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ibliography"/>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ibliography"/>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ibliography"/>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ibliography"/>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ibliography"/>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ibliography"/>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ibliography"/>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ibliography"/>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ibliography"/>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ibliography"/>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ibliography"/>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ibliography"/>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ibliography"/>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ibliography"/>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ibliography"/>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ibliography"/>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ibliography"/>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ibliography"/>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ibliography"/>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ibliography"/>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ibliography"/>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ibliography"/>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ibliography"/>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ibliography"/>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ibliography"/>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ibliography"/>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ibliography"/>
      </w:pPr>
      <w:r>
        <w:t xml:space="preserve">Laurie, B. (2014). Certificate transparency.</w:t>
      </w:r>
      <w:r>
        <w:t xml:space="preserve"> </w:t>
      </w:r>
      <w:r>
        <w:rPr>
          <w:iCs/>
          <w:i/>
        </w:rPr>
        <w:t xml:space="preserve">Communications of the ACM, 57</w:t>
      </w:r>
      <w:r>
        <w:t xml:space="preserve">(10), 40–46. https://doi.org/10.1145/2659897</w:t>
      </w:r>
    </w:p>
    <w:p>
      <w:pPr>
        <w:pStyle w:val="Bibliography"/>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ibliography"/>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ibliography"/>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ibliography"/>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ibliography"/>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ibliography"/>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ibliography"/>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ibliography"/>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ibliography"/>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ibliography"/>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ibliography"/>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ibliography"/>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ibliography"/>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ibliography"/>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ibliography"/>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ibliography"/>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ibliography"/>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ibliography"/>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ibliography"/>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ibliography"/>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ibliography"/>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ibliography"/>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ibliography"/>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ibliography"/>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ibliography"/>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ibliography"/>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ibliography"/>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ibliography"/>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bookmarkEnd w:id="103"/>
    <w:bookmarkStart w:id="128" w:name="Xf671d6a047e29416c79aabf8b10d80280f04f69"/>
    <w:p>
      <w:pPr>
        <w:pStyle w:val="Heading1"/>
      </w:pPr>
      <w:bookmarkStart w:id="1087" w:name="app_A"/>
      <w:r>
        <w:t xml:space="preserve">Appendix A. Code Artefacts and Reproduction Record</w:t>
      </w:r>
      <w:bookmarkEnd w:id="1087"/>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 revised 3–4 October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bookmarkStart w:id="104" w:name="a.1-availability"/>
    <w:p>
      <w:pPr>
        <w:pStyle w:val="Heading2"/>
      </w:pPr>
      <w:r>
        <w:t xml:space="preserve">A.1 Availability</w:t>
      </w:r>
    </w:p>
    <w:p>
      <w:pPr>
        <w:pStyle w:val="FirstParagraph"/>
      </w:pPr>
      <w:r>
        <w:t xml:space="preserve">The artefact is publicly available in two forms.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Form</w:t>
            </w:r>
          </w:p>
        </w:tc>
        <w:tc>
          <w:tcPr>
            <w:tcBorders>
              <w:bottom w:val="single" w:sz="8" w:space="0" w:color="333333"/>
            </w:tcBorders>
            <w:shd w:val="clear" w:color="auto" w:fill="E8EDF4"/>
          </w:tcPr>
          <w:p>
            <w:pPr>
              <w:pStyle w:val="Compact"/>
              <w:jc w:val="left"/>
            </w:pPr>
            <w:r>
              <w:rPr>
                <w:b/>
                <w:sz w:val="20"/>
                <w:szCs w:val="20"/>
              </w:rPr>
              <w:t xml:space="preserve">Location</w:t>
            </w:r>
          </w:p>
        </w:tc>
      </w:tr>
      <w:tr>
        <w:trPr>
          <w:cantSplit/>
        </w:trPr>
        <w:tc>
          <w:tcPr/>
          <w:p>
            <w:pPr>
              <w:pStyle w:val="Compact"/>
              <w:jc w:val="left"/>
            </w:pPr>
            <w:r>
              <w:rPr>
                <w:sz w:val="20"/>
                <w:szCs w:val="20"/>
              </w:rPr>
              <w:t xml:space="preserve">Source repository</w:t>
            </w:r>
          </w:p>
        </w:tc>
        <w:tc>
          <w:tcPr/>
          <w:p>
            <w:pPr>
              <w:pStyle w:val="Compact"/>
              <w:jc w:val="left"/>
            </w:pPr>
            <w:r>
              <w:rPr>
                <w:sz w:val="20"/>
                <w:szCs w:val="20"/>
              </w:rPr>
              <w:t xml:space="preserve">https://github.com/Astheno-sphere/TRF</w:t>
            </w:r>
          </w:p>
        </w:tc>
      </w:tr>
      <w:tr>
        <w:trPr>
          <w:cantSplit/>
        </w:trPr>
        <w:tc>
          <w:tcPr/>
          <w:p>
            <w:pPr>
              <w:pStyle w:val="Compact"/>
              <w:jc w:val="left"/>
            </w:pPr>
            <w:r>
              <w:rPr>
                <w:sz w:val="20"/>
                <w:szCs w:val="20"/>
              </w:rPr>
              <w:t xml:space="preserve">Live demonstration</w:t>
            </w:r>
          </w:p>
        </w:tc>
        <w:tc>
          <w:tcPr/>
          <w:p>
            <w:pPr>
              <w:pStyle w:val="Compact"/>
              <w:jc w:val="left"/>
            </w:pPr>
            <w:r>
              <w:rPr>
                <w:sz w:val="20"/>
                <w:szCs w:val="20"/>
              </w:rPr>
              <w:t xml:space="preserve">https://trfhimolde.streamlit.app/</w:t>
            </w:r>
          </w:p>
        </w:tc>
      </w:tr>
    </w:tbl>
    <w:p>
      <w:pPr>
        <w:pStyle w:val="BodyText"/>
        <w:spacing w:before="240" w:after="160" w:line="360" w:lineRule="auto"/>
      </w:pPr>
      <w:r>
        <w:t xml:space="preserve">The repository is the citable artefact. It contains six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w:t>
      </w:r>
      <w:hyperlink w:anchor="ch_5" w:history="1">
        <w:r>
          <w:rPr>
            <w:rStyle w:val="Hyperlink"/>
          </w:rPr>
          <w:t xml:space="preserve">Chapter 5</w:t>
        </w:r>
      </w:hyperlink>
      <w:r>
        <w:t xml:space="preserve">, displaying a failure notice rather than results if it does not.</w:t>
      </w:r>
    </w:p>
    <w:p>
      <w:pPr>
        <w:pStyle w:val="BodyText"/>
      </w:pPr>
      <w:r>
        <w:t xml:space="preserve">The demonstration presents six tabs. Tab 1 runs the thesis configuration, reproduces </w:t>
      </w:r>
      <w:hyperlink w:anchor="tbl_5_3" w:history="1">
        <w:r>
          <w:rPr>
            <w:rStyle w:val="Hyperlink"/>
          </w:rPr>
          <w:t xml:space="preserve">Tables 5.3</w:t>
        </w:r>
      </w:hyperlink>
      <w:r>
        <w:t xml:space="preserve"> and 5.6, and shows the audit-log integrity check and both tamper tests of </w:t>
      </w:r>
      <w:hyperlink w:anchor="sec_5_7" w:history="1">
        <w:r>
          <w:rPr>
            <w:rStyle w:val="Hyperlink"/>
          </w:rPr>
          <w:t xml:space="preserve">Section 5.7</w:t>
        </w:r>
      </w:hyperlink>
      <w:r>
        <w:t xml:space="preserve">. Tab 2 varies population parameters as a teaching aid and is explicitly outside the thesis claims. Tab 3 runs the realism layer and reproduces </w:t>
      </w:r>
      <w:hyperlink w:anchor="tbl_5_7" w:history="1">
        <w:r>
          <w:rPr>
            <w:rStyle w:val="Hyperlink"/>
          </w:rPr>
          <w:t xml:space="preserve">Table 5.7</w:t>
        </w:r>
      </w:hyperlink>
      <w:r>
        <w:t xml:space="preserve">. Tab 4 runs the Norwegian context modules, which are illustrative and report no thesis figure. Tab 5 runs the robustness checks: the independent exhaustive cross-check of </w:t>
      </w:r>
      <w:hyperlink w:anchor="sec_5_5" w:history="1">
        <w:r>
          <w:rPr>
            <w:rStyle w:val="Hyperlink"/>
          </w:rPr>
          <w:t xml:space="preserve">Section 5.5</w:t>
        </w:r>
      </w:hyperlink>
      <w:r>
        <w:t xml:space="preserve">, the erasure-response-period witness of </w:t>
      </w:r>
      <w:hyperlink w:anchor="sec_5_6" w:history="1">
        <w:r>
          <w:rPr>
            <w:rStyle w:val="Hyperlink"/>
          </w:rPr>
          <w:t xml:space="preserve">Section 5.6</w:t>
        </w:r>
      </w:hyperlink>
      <w:r>
        <w:t xml:space="preserve">, and the optional envelope-encryption module of </w:t>
      </w:r>
      <w:hyperlink w:anchor="sec_5_8" w:history="1">
        <w:r>
          <w:rPr>
            <w:rStyle w:val="Hyperlink"/>
          </w:rPr>
          <w:t xml:space="preserve">Section 5.8</w:t>
        </w:r>
      </w:hyperlink>
      <w:r>
        <w:t xml:space="preserve">. Tab 6 evaluates the condition of Proposition 3 for any floor and ceiling, with Article 68(12) and politiregisterloven § 17 as presets.</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4"/>
    <w:bookmarkStart w:id="105" w:name="a.2-contents"/>
    <w:p>
      <w:pPr>
        <w:pStyle w:val="Heading2"/>
      </w:pPr>
      <w:r>
        <w:t xml:space="preserve">A.2 Contents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File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Lines</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Feasibility checker — executable witness for Propositions 1 and 2, including the independent exhaustive cross-check and the audit-log integrity check</w:t>
            </w:r>
          </w:p>
        </w:tc>
        <w:tc>
          <w:tcPr/>
          <w:p>
            <w:pPr>
              <w:pStyle w:val="Compact"/>
              <w:jc w:val="left"/>
            </w:pPr>
            <w:r>
              <w:rPr>
                <w:sz w:val="20"/>
                <w:szCs w:val="20"/>
              </w:rPr>
              <w:t xml:space="preserve">533</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Realism layer — substitutes Synthea-generated FHIR R4 payloads and compares every reported figure against the constructed-payload run</w:t>
            </w:r>
          </w:p>
        </w:tc>
        <w:tc>
          <w:tcPr/>
          <w:p>
            <w:pPr>
              <w:pStyle w:val="Compact"/>
              <w:jc w:val="left"/>
            </w:pPr>
            <w:r>
              <w:rPr>
                <w:sz w:val="20"/>
                <w:szCs w:val="20"/>
              </w:rPr>
              <w:t xml:space="preserve">152</w:t>
            </w:r>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Three Norwegian record classes, parallel to the thesis and reporting no thesis figure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Cross-sector instance drawn from politiregisterloven § 17</w:t>
            </w:r>
          </w:p>
        </w:tc>
        <w:tc>
          <w:tcPr/>
          <w:p>
            <w:pPr>
              <w:pStyle w:val="Compact"/>
              <w:jc w:val="left"/>
            </w:pPr>
            <w:r>
              <w:rPr>
                <w:sz w:val="20"/>
                <w:szCs w:val="20"/>
              </w:rPr>
              <w:t xml:space="preserve">110</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Six-tab demonstration viewer over the artefact, never a source of results</w:t>
            </w:r>
          </w:p>
        </w:tc>
        <w:tc>
          <w:tcPr/>
          <w:p>
            <w:pPr>
              <w:pStyle w:val="Compact"/>
              <w:jc w:val="left"/>
            </w:pPr>
            <w:r>
              <w:rPr>
                <w:sz w:val="20"/>
                <w:szCs w:val="20"/>
              </w:rPr>
              <w:t xml:space="preserve">671</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Optional: the same lifecycle with real AES-256-GCM envelope encryption; needs the</w:t>
            </w:r>
            <w:r>
              <w:rPr>
                <w:sz w:val="20"/>
                <w:szCs w:val="20"/>
              </w:rPr>
              <w:t xml:space="preserve"> </w:t>
            </w:r>
            <w:r>
              <w:rPr>
                <w:rStyle w:val="VerbatimChar"/>
                <w:sz w:val="20"/>
                <w:szCs w:val="20"/>
              </w:rPr>
              <w:t xml:space="preserve">cryptography</w:t>
            </w:r>
            <w:r>
              <w:rPr>
                <w:sz w:val="20"/>
                <w:szCs w:val="20"/>
              </w:rPr>
              <w:t xml:space="preserve"> </w:t>
            </w:r>
            <w:r>
              <w:rPr>
                <w:sz w:val="20"/>
                <w:szCs w:val="20"/>
              </w:rPr>
              <w:t xml:space="preserve">package and reports no thesis figure</w:t>
            </w:r>
          </w:p>
        </w:tc>
        <w:tc>
          <w:tcPr/>
          <w:p>
            <w:pPr>
              <w:pStyle w:val="Compact"/>
              <w:jc w:val="left"/>
            </w:pPr>
            <w:r>
              <w:rPr>
                <w:sz w:val="20"/>
                <w:szCs w:val="20"/>
              </w:rPr>
              <w:t xml:space="preserve">118</w:t>
            </w:r>
          </w:p>
        </w:tc>
      </w:tr>
      <w:tr>
        <w:trPr>
          <w:cantSplit/>
        </w:trPr>
        <w:tc>
          <w:tcPr/>
          <w:p>
            <w:pPr>
              <w:pStyle w:val="Compact"/>
              <w:jc w:val="left"/>
            </w:pPr>
            <w:r>
              <w:rPr>
                <w:rStyle w:val="VerbatimChar"/>
                <w:sz w:val="20"/>
                <w:szCs w:val="20"/>
              </w:rPr>
              <w:t xml:space="preserve">data/synthea_subset/</w:t>
            </w:r>
          </w:p>
        </w:tc>
        <w:tc>
          <w:tcPr/>
          <w:p>
            <w:pPr>
              <w:pStyle w:val="Compact"/>
              <w:jc w:val="left"/>
            </w:pPr>
            <w:r>
              <w:rPr>
                <w:sz w:val="20"/>
                <w:szCs w:val="20"/>
              </w:rPr>
              <w:t xml:space="preserve">Eight untrimmed Synthea bundles from the reported cohort, so a reader can run the realism layer without regenerating it</w:t>
            </w:r>
          </w:p>
        </w:tc>
        <w:tc>
          <w:tcPr/>
          <w:p>
            <w:pPr>
              <w:pStyle w:val="Compact"/>
              <w:jc w:val="left"/>
            </w:pPr>
            <w:r>
              <w:rPr>
                <w:sz w:val="20"/>
                <w:szCs w:val="20"/>
              </w:rPr>
              <w:t xml:space="preserve">8 files, 40 MB</w:t>
            </w:r>
          </w:p>
        </w:tc>
      </w:tr>
      <w:tr>
        <w:trPr>
          <w:cantSplit/>
        </w:trPr>
        <w:tc>
          <w:tcPr/>
          <w:p>
            <w:pPr>
              <w:pStyle w:val="Compact"/>
              <w:jc w:val="left"/>
            </w:pPr>
            <w:r>
              <w:rPr>
                <w:rStyle w:val="VerbatimChar"/>
                <w:sz w:val="20"/>
                <w:szCs w:val="20"/>
              </w:rPr>
              <w:t xml:space="preserve">docs/expected_trf_output.txt</w:t>
            </w:r>
          </w:p>
        </w:tc>
        <w:tc>
          <w:tcPr/>
          <w:p>
            <w:pPr>
              <w:pStyle w:val="Compact"/>
              <w:jc w:val="left"/>
            </w:pPr>
            <w:r>
              <w:rPr>
                <w:sz w:val="20"/>
                <w:szCs w:val="20"/>
              </w:rPr>
              <w:t xml:space="preserve">Recorded console run of the checker</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docs/expected_delta_witness_output.txt</w:t>
            </w:r>
          </w:p>
        </w:tc>
        <w:tc>
          <w:tcPr/>
          <w:p>
            <w:pPr>
              <w:pStyle w:val="Compact"/>
              <w:jc w:val="left"/>
            </w:pPr>
            <w:r>
              <w:rPr>
                <w:sz w:val="20"/>
                <w:szCs w:val="20"/>
              </w:rPr>
              <w:t xml:space="preserve">Recorded run at δ = 1 and δ = 3</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docs/expected_synthea_subset_output.txt</w:t>
            </w:r>
          </w:p>
        </w:tc>
        <w:tc>
          <w:tcPr/>
          <w:p>
            <w:pPr>
              <w:pStyle w:val="Compact"/>
              <w:jc w:val="left"/>
            </w:pPr>
            <w:r>
              <w:rPr>
                <w:sz w:val="20"/>
                <w:szCs w:val="20"/>
              </w:rPr>
              <w:t xml:space="preserve">Recorded realism-layer run against the committed subset</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docs/expected_norwegian_output.txt</w:t>
            </w:r>
          </w:p>
        </w:tc>
        <w:tc>
          <w:tcPr/>
          <w:p>
            <w:pPr>
              <w:pStyle w:val="Compact"/>
              <w:jc w:val="left"/>
            </w:pPr>
            <w:r>
              <w:rPr>
                <w:sz w:val="20"/>
                <w:szCs w:val="20"/>
              </w:rPr>
              <w:t xml:space="preserve">Recorded Norwegian-layer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docs/expected_cross_sector_output.txt</w:t>
            </w:r>
          </w:p>
        </w:tc>
        <w:tc>
          <w:tcPr/>
          <w:p>
            <w:pPr>
              <w:pStyle w:val="Compact"/>
              <w:jc w:val="left"/>
            </w:pPr>
            <w:r>
              <w:rPr>
                <w:sz w:val="20"/>
                <w:szCs w:val="20"/>
              </w:rPr>
              <w:t xml:space="preserve">Recorded politiregisterloven § 17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docs/Data_Provenance_Statement.md</w:t>
            </w:r>
          </w:p>
        </w:tc>
        <w:tc>
          <w:tcPr/>
          <w:p>
            <w:pPr>
              <w:pStyle w:val="Compact"/>
              <w:jc w:val="left"/>
            </w:pPr>
            <w:r>
              <w:rPr>
                <w:sz w:val="20"/>
                <w:szCs w:val="20"/>
              </w:rPr>
              <w:t xml:space="preserve">Where the synthetic data came from, the six Synthea markers a reader can check for, and the cohort-size comparison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requirements.txt</w:t>
            </w:r>
          </w:p>
        </w:tc>
        <w:tc>
          <w:tcPr/>
          <w:p>
            <w:pPr>
              <w:pStyle w:val="Compact"/>
              <w:jc w:val="left"/>
            </w:pPr>
            <w:r>
              <w:rPr>
                <w:rStyle w:val="VerbatimChar"/>
                <w:sz w:val="20"/>
                <w:szCs w:val="20"/>
              </w:rPr>
              <w:t xml:space="preserve">streamlit&gt;=1.30</w:t>
            </w:r>
            <w:r>
              <w:rPr>
                <w:sz w:val="20"/>
                <w:szCs w:val="20"/>
              </w:rPr>
              <w:t xml:space="preserve">; the checker itself needs nothing</w:t>
            </w:r>
          </w:p>
        </w:tc>
        <w:tc>
          <w:tcPr/>
          <w:p>
            <w:pPr>
              <w:pStyle w:val="Compact"/>
              <w:jc w:val="left"/>
            </w:pPr>
            <w:r>
              <w:rPr>
                <w:sz w:val="20"/>
                <w:szCs w:val="20"/>
              </w:rPr>
              <w:t xml:space="preserve">1</w:t>
            </w:r>
          </w:p>
        </w:tc>
      </w:tr>
      <w:tr>
        <w:trPr>
          <w:cantSplit/>
        </w:trPr>
        <w:tc>
          <w:tcPr/>
          <w:p>
            <w:pPr>
              <w:pStyle w:val="Compact"/>
              <w:jc w:val="left"/>
            </w:pPr>
            <w:r>
              <w:rPr>
                <w:rStyle w:val="VerbatimChar"/>
                <w:sz w:val="20"/>
                <w:szCs w:val="20"/>
              </w:rPr>
              <w:t xml:space="preserve">build_substrate_patch1.py</w:t>
            </w:r>
            <w:r>
              <w:rPr>
                <w:sz w:val="20"/>
                <w:szCs w:val="20"/>
              </w:rPr>
              <w:t xml:space="preserve">,</w:t>
            </w:r>
            <w:r>
              <w:rPr>
                <w:sz w:val="20"/>
                <w:szCs w:val="20"/>
              </w:rPr>
              <w:t xml:space="preserve"> </w:t>
            </w:r>
            <w:r>
              <w:rPr>
                <w:rStyle w:val="VerbatimChar"/>
                <w:sz w:val="20"/>
                <w:szCs w:val="20"/>
              </w:rPr>
              <w:t xml:space="preserve">build_substrate_patch2.py</w:t>
            </w:r>
          </w:p>
        </w:tc>
        <w:tc>
          <w:tcPr/>
          <w:p>
            <w:pPr>
              <w:pStyle w:val="Compact"/>
              <w:jc w:val="left"/>
            </w:pPr>
            <w:r>
              <w:rPr>
                <w:sz w:val="20"/>
                <w:szCs w:val="20"/>
              </w:rPr>
              <w:t xml:space="preserve">Generators for the research-substrate patch workbooks; no thesis result depends on them</w:t>
            </w:r>
          </w:p>
        </w:tc>
        <w:tc>
          <w:tcPr/>
          <w:p>
            <w:pPr>
              <w:pStyle w:val="Compact"/>
              <w:jc w:val="left"/>
            </w:pPr>
            <w:r>
              <w:rPr>
                <w:sz w:val="20"/>
                <w:szCs w:val="20"/>
              </w:rPr>
              <w:t xml:space="preserve">—</w:t>
            </w:r>
          </w:p>
        </w:tc>
      </w:tr>
    </w:tbl>
    <w:p>
      <w:pPr>
        <w:pStyle w:val="BodyText"/>
        <w:spacing w:before="240" w:after="160" w:line="360" w:lineRule="auto"/>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the comparison at both cohort sizes and finds every figure identical.</w:t>
      </w:r>
    </w:p>
    <w:bookmarkEnd w:id="105"/>
    <w:bookmarkStart w:id="106"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06"/>
    <w:bookmarkStart w:id="107"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bookmarkEnd w:id="107"/>
    <w:bookmarkStart w:id="108" w:name="a.5-exact-commands"/>
    <w:p>
      <w:pPr>
        <w:pStyle w:val="Heading2"/>
      </w:pPr>
      <w:r>
        <w:t xml:space="preserve">A.5 Exact commands</w:t>
      </w:r>
    </w:p>
    <w:p>
      <w:pPr>
        <w:pStyle w:val="FirstParagraph"/>
      </w:pPr>
      <w:r>
        <w:rPr>
          <w:iCs/>
          <w:i/>
        </w:rPr>
        <w:t xml:space="preserve">1. Run the feasibility checker (produces every figure in </w:t>
      </w:r>
      <w:hyperlink w:anchor="ch_5" w:history="1">
        <w:r>
          <w:rPr>
            <w:rStyle w:val="Hyperlink"/>
            <w:iCs/>
            <w:i/>
          </w:rPr>
          <w:t xml:space="preserve">Chapter 5</w:t>
        </w:r>
      </w:hyperlink>
      <w:r>
        <w:rPr>
          <w:iCs/>
          <w:i/>
        </w:rPr>
        <w:t xml:space="preserve">, </w:t>
      </w:r>
      <w:hyperlink w:anchor="sec_5_3" w:history="1">
        <w:r>
          <w:rPr>
            <w:rStyle w:val="Hyperlink"/>
            <w:iCs/>
            <w:i/>
          </w:rPr>
          <w:t xml:space="preserve">Sections 5.3</w:t>
        </w:r>
      </w:hyperlink>
      <w:r>
        <w:rPr>
          <w:iCs/>
          <w:i/>
        </w:rPr>
        <w:t xml:space="preserve">–5.7):</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w:t>
      </w:r>
      <w:hyperlink w:anchor="tbl_5_7" w:history="1">
        <w:r>
          <w:rPr>
            <w:rStyle w:val="Hyperlink"/>
            <w:iCs/>
            <w:i/>
          </w:rPr>
          <w:t xml:space="preserve">Table 5.7</w:t>
        </w:r>
      </w:hyperlink>
      <w:r>
        <w:rPr>
          <w:iCs/>
          <w:i/>
        </w:rPr>
        <w:t xml:space="preserve">):</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w:t>
      </w:r>
      <w:hyperlink w:anchor="tbl_5_5" w:history="1">
        <w:r>
          <w:rPr>
            <w:rStyle w:val="Hyperlink"/>
            <w:iCs/>
            <w:i/>
          </w:rPr>
          <w:t xml:space="preserve">Table 5.5</w:t>
        </w:r>
      </w:hyperlink>
      <w:r>
        <w:rPr>
          <w:iCs/>
          <w:i/>
        </w:rPr>
        <w:t xml:space="preserve">):</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A.2. A difference means a file changed, not that the result changed.</w:t>
      </w:r>
    </w:p>
    <w:bookmarkEnd w:id="108"/>
    <w:bookmarkStart w:id="111" w:name="a.6-what-the-code-does"/>
    <w:p>
      <w:pPr>
        <w:pStyle w:val="Heading2"/>
      </w:pPr>
      <w:r>
        <w:t xml:space="preserve">A.6 What the code does</w:t>
      </w:r>
    </w:p>
    <w:bookmarkStart w:id="109" w:name="trf_checker.py"/>
    <w:p>
      <w:pPr>
        <w:pStyle w:val="Heading3"/>
      </w:pPr>
      <w:r>
        <w:rPr>
          <w:rStyle w:val="VerbatimChar"/>
        </w:rPr>
        <w:t xml:space="preserve">trf_checker.py</w:t>
      </w:r>
    </w:p>
    <w:p>
      <w:pPr>
        <w:pStyle w:val="FirstParagraph"/>
      </w:pPr>
      <w:r>
        <w:t xml:space="preserve">Implements the TRF Model of </w:t>
      </w:r>
      <w:hyperlink w:anchor="ch_4" w:history="1">
        <w:r>
          <w:rPr>
            <w:rStyle w:val="Hyperlink"/>
          </w:rPr>
          <w:t xml:space="preserve">Chapter 4</w:t>
        </w:r>
      </w:hyperlink>
      <w:r>
        <w:t xml:space="preserve"> directly. Records are the seven-element tuples of </w:t>
      </w:r>
      <w:hyperlink w:anchor="sec_4_3" w:history="1">
        <w:r>
          <w:rPr>
            <w:rStyle w:val="Hyperlink"/>
          </w:rPr>
          <w:t xml:space="preserve">Section 4.3</w:t>
        </w:r>
      </w:hyperlink>
      <w:r>
        <w:t xml:space="preserve">,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w:t>
      </w:r>
      <w:hyperlink w:anchor="ch_5" w:history="1">
        <w:r>
          <w:rPr>
            <w:rStyle w:val="Hyperlink"/>
          </w:rPr>
          <w:t xml:space="preserve">Chapter 5</w:t>
        </w:r>
      </w:hyperlink>
      <w:r>
        <w:t xml:space="preserve">, </w:t>
      </w:r>
      <w:hyperlink w:anchor="tbl_5_2" w:history="1">
        <w:r>
          <w:rPr>
            <w:rStyle w:val="Hyperlink"/>
          </w:rPr>
          <w:t xml:space="preserve">Table 5.2</w:t>
        </w:r>
      </w:hyperlink>
      <w:r>
        <w:t xml:space="preserve">.</w:t>
      </w:r>
    </w:p>
    <w:p>
      <w:pPr>
        <w:pStyle w:val="BodyText"/>
      </w:pPr>
      <w:r>
        <w:t xml:space="preserve">Four components matter for the thesis’s claims:</w:t>
      </w:r>
    </w:p>
    <w:p>
      <w:pPr>
        <w:pStyle w:val="Compact"/>
        <w:numPr>
          <w:ilvl w:val="0"/>
          <w:numId w:val="1005"/>
        </w:numPr>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pStyle w:val="Compact"/>
        <w:numPr>
          <w:ilvl w:val="0"/>
          <w:numId w:val="1005"/>
        </w:numPr>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pStyle w:val="Compact"/>
        <w:numPr>
          <w:ilvl w:val="0"/>
          <w:numId w:val="1005"/>
        </w:numPr>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pStyle w:val="Compact"/>
        <w:numPr>
          <w:ilvl w:val="0"/>
          <w:numId w:val="1005"/>
        </w:numPr>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and treated in Chapter 6.</w:t>
      </w:r>
    </w:p>
    <w:bookmarkEnd w:id="109"/>
    <w:bookmarkStart w:id="110"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A.17). The model reads timing and accessibility, never payload content; running the comparison rather than asserting the invariance lets a reader see the claim tested against inputs that demonstrably changed.</w:t>
      </w:r>
    </w:p>
    <w:bookmarkEnd w:id="110"/>
    <w:bookmarkEnd w:id="111"/>
    <w:bookmarkStart w:id="112"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w:t>
      </w:r>
      <w:hyperlink w:anchor="tbl_5_7" w:history="1">
        <w:r>
          <w:rPr>
            <w:rStyle w:val="Hyperlink"/>
          </w:rPr>
          <w:t xml:space="preserve">Table 5.7</w:t>
        </w:r>
      </w:hyperlink>
      <w:r>
        <w:t xml:space="preserve"> establishes that this mismatch cannot affect any reported figure.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and every other figure is identical.</w:t>
      </w:r>
    </w:p>
    <w:bookmarkEnd w:id="112"/>
    <w:bookmarkStart w:id="113"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Result</w:t>
            </w:r>
          </w:p>
        </w:tc>
        <w:tc>
          <w:tcPr>
            <w:tcBorders>
              <w:bottom w:val="single" w:sz="8" w:space="0" w:color="333333"/>
            </w:tcBorders>
            <w:shd w:val="clear" w:color="auto" w:fill="E8EDF4"/>
          </w:tcPr>
          <w:p>
            <w:pPr>
              <w:pStyle w:val="Compact"/>
              <w:jc w:val="left"/>
            </w:pPr>
            <w:r>
              <w:rPr>
                <w:b/>
                <w:sz w:val="20"/>
                <w:szCs w:val="20"/>
              </w:rPr>
              <w:t xml:space="preserve">Value</w:t>
            </w:r>
          </w:p>
        </w:tc>
        <w:tc>
          <w:tcPr>
            <w:tcBorders>
              <w:bottom w:val="single" w:sz="8" w:space="0" w:color="333333"/>
            </w:tcBorders>
            <w:shd w:val="clear" w:color="auto" w:fill="E8EDF4"/>
          </w:tcPr>
          <w:p>
            <w:pPr>
              <w:pStyle w:val="Compact"/>
              <w:jc w:val="left"/>
            </w:pPr>
            <w:r>
              <w:rPr>
                <w:b/>
                <w:sz w:val="20"/>
                <w:szCs w:val="20"/>
              </w:rPr>
              <w:t xml:space="preserve">Where reported</w:t>
            </w:r>
          </w:p>
        </w:tc>
      </w:tr>
      <w:tr>
        <w:trPr>
          <w:cantSplit/>
        </w:trPr>
        <w:tc>
          <w:tcPr/>
          <w:p>
            <w:pPr>
              <w:pStyle w:val="Compact"/>
              <w:jc w:val="left"/>
            </w:pPr>
            <w:r>
              <w:rPr>
                <w:sz w:val="20"/>
                <w:szCs w:val="20"/>
              </w:rPr>
              <w:t xml:space="preserve">Semantics I — records with ≥1 violation</w:t>
            </w:r>
          </w:p>
        </w:tc>
        <w:tc>
          <w:tcPr/>
          <w:p>
            <w:pPr>
              <w:pStyle w:val="Compact"/>
              <w:jc w:val="left"/>
            </w:pPr>
            <w:r>
              <w:rPr>
                <w:sz w:val="20"/>
                <w:szCs w:val="20"/>
              </w:rPr>
              <w:t xml:space="preserve">90 / 200</w:t>
            </w:r>
          </w:p>
        </w:tc>
        <w:tc>
          <w:tcPr/>
          <w:p>
            <w:pPr>
              <w:pStyle w:val="Compact"/>
              <w:jc w:val="left"/>
            </w:pPr>
            <w:hyperlink w:anchor="tbl_5_3" w:history="1">
              <w:r>
                <w:rPr>
                  <w:rStyle w:val="Hyperlink"/>
                  <w:sz w:val="20"/>
                  <w:szCs w:val="20"/>
                </w:rPr>
                <w:t xml:space="preserve">Table 5.3</w:t>
              </w:r>
            </w:hyperlink>
          </w:p>
        </w:tc>
      </w:tr>
      <w:tr>
        <w:trPr>
          <w:cantSplit/>
        </w:trPr>
        <w:tc>
          <w:tcPr/>
          <w:p>
            <w:pPr>
              <w:pStyle w:val="Compact"/>
              <w:jc w:val="left"/>
            </w:pPr>
            <w:r>
              <w:rPr>
                <w:sz w:val="20"/>
                <w:szCs w:val="20"/>
              </w:rPr>
              <w:t xml:space="preserve">Semantics I — total violations</w:t>
            </w:r>
          </w:p>
        </w:tc>
        <w:tc>
          <w:tcPr/>
          <w:p>
            <w:pPr>
              <w:pStyle w:val="Compact"/>
              <w:jc w:val="left"/>
            </w:pPr>
            <w:r>
              <w:rPr>
                <w:sz w:val="20"/>
                <w:szCs w:val="20"/>
              </w:rPr>
              <w:t xml:space="preserve">95</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Violation decomposition</w:t>
            </w:r>
          </w:p>
        </w:tc>
        <w:tc>
          <w:tcPr/>
          <w:p>
            <w:pPr>
              <w:pStyle w:val="Compact"/>
              <w:jc w:val="left"/>
            </w:pPr>
            <w:r>
              <w:rPr>
                <w:sz w:val="20"/>
                <w:szCs w:val="20"/>
              </w:rPr>
              <w:t xml:space="preserve">41 C2-only, 44 C3-only, 5 both</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hyperlink w:anchor="sec_5_4" w:history="1">
              <w:r>
                <w:rPr>
                  <w:rStyle w:val="Hyperlink"/>
                  <w:sz w:val="20"/>
                  <w:szCs w:val="20"/>
                </w:rPr>
                <w:t xml:space="preserve">§5.4</w:t>
              </w:r>
            </w:hyperlink>
          </w:p>
        </w:tc>
      </w:tr>
      <w:tr>
        <w:trPr>
          <w:cantSplit/>
        </w:trPr>
        <w:tc>
          <w:tcPr/>
          <w:p>
            <w:pPr>
              <w:pStyle w:val="Compact"/>
              <w:jc w:val="left"/>
            </w:pPr>
            <w:r>
              <w:rPr>
                <w:sz w:val="20"/>
                <w:szCs w:val="20"/>
              </w:rPr>
              <w:t xml:space="preserve">Exhaustive cross-check, three conflict cases</w:t>
            </w:r>
          </w:p>
        </w:tc>
        <w:tc>
          <w:tcPr/>
          <w:p>
            <w:pPr>
              <w:pStyle w:val="Compact"/>
              <w:jc w:val="left"/>
            </w:pPr>
            <w:r>
              <w:rPr>
                <w:sz w:val="20"/>
                <w:szCs w:val="20"/>
              </w:rPr>
              <w:t xml:space="preserve">no satisfying assignment</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Exhaustive cross-check, control case</w:t>
            </w:r>
          </w:p>
        </w:tc>
        <w:tc>
          <w:tcPr/>
          <w:p>
            <w:pPr>
              <w:pStyle w:val="Compact"/>
              <w:jc w:val="left"/>
            </w:pPr>
            <w:r>
              <w:rPr>
                <w:sz w:val="20"/>
                <w:szCs w:val="20"/>
              </w:rPr>
              <w:t xml:space="preserve">satisfying assignment exists</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Semantics II — records invalidated</w:t>
            </w:r>
          </w:p>
        </w:tc>
        <w:tc>
          <w:tcPr/>
          <w:p>
            <w:pPr>
              <w:pStyle w:val="Compact"/>
              <w:jc w:val="left"/>
            </w:pPr>
            <w:r>
              <w:rPr>
                <w:sz w:val="20"/>
                <w:szCs w:val="20"/>
              </w:rPr>
              <w:t xml:space="preserve">138 (52 Art 17, 86 Art 68(12))</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Semantics II — total violations</w:t>
            </w:r>
          </w:p>
        </w:tc>
        <w:tc>
          <w:tcPr/>
          <w:p>
            <w:pPr>
              <w:pStyle w:val="Compact"/>
              <w:jc w:val="left"/>
            </w:pPr>
            <w:r>
              <w:rPr>
                <w:sz w:val="20"/>
                <w:szCs w:val="20"/>
              </w:rPr>
              <w:t xml:space="preserve">0</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Synthea comparison — figures changed</w:t>
            </w:r>
          </w:p>
        </w:tc>
        <w:tc>
          <w:tcPr/>
          <w:p>
            <w:pPr>
              <w:pStyle w:val="Compact"/>
              <w:jc w:val="left"/>
            </w:pPr>
            <w:r>
              <w:rPr>
                <w:sz w:val="20"/>
                <w:szCs w:val="20"/>
              </w:rPr>
              <w:t xml:space="preserve">none</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Synthea comparison — commitments changed</w:t>
            </w:r>
          </w:p>
        </w:tc>
        <w:tc>
          <w:tcPr/>
          <w:p>
            <w:pPr>
              <w:pStyle w:val="Compact"/>
              <w:jc w:val="left"/>
            </w:pPr>
            <w:r>
              <w:rPr>
                <w:sz w:val="20"/>
                <w:szCs w:val="20"/>
              </w:rPr>
              <w:t xml:space="preserve">200 / 200</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Audit-log integrity</w:t>
            </w:r>
          </w:p>
        </w:tc>
        <w:tc>
          <w:tcPr/>
          <w:p>
            <w:pPr>
              <w:pStyle w:val="Compact"/>
              <w:jc w:val="left"/>
            </w:pPr>
            <w:r>
              <w:rPr>
                <w:sz w:val="20"/>
                <w:szCs w:val="20"/>
              </w:rPr>
              <w:t xml:space="preserve">200 / 200 records verify; both tamper tests fail V_II</w:t>
            </w:r>
          </w:p>
        </w:tc>
        <w:tc>
          <w:tcPr/>
          <w:p>
            <w:pPr>
              <w:pStyle w:val="Compact"/>
              <w:jc w:val="left"/>
            </w:pPr>
            <w:hyperlink w:anchor="sec_5_7" w:history="1">
              <w:r>
                <w:rPr>
                  <w:rStyle w:val="Hyperlink"/>
                  <w:sz w:val="20"/>
                  <w:szCs w:val="20"/>
                </w:rPr>
                <w:t xml:space="preserve">§5.7</w:t>
              </w:r>
            </w:hyperlink>
          </w:p>
        </w:tc>
      </w:tr>
      <w:tr>
        <w:trPr>
          <w:cantSplit/>
        </w:trPr>
        <w:tc>
          <w:tcPr/>
          <w:p>
            <w:pPr>
              <w:pStyle w:val="Compact"/>
              <w:jc w:val="left"/>
            </w:pPr>
            <w:r>
              <w:rPr>
                <w:sz w:val="20"/>
                <w:szCs w:val="20"/>
              </w:rPr>
              <w:t xml:space="preserve">Reference commitment, record 100</w:t>
            </w:r>
          </w:p>
        </w:tc>
        <w:tc>
          <w:tcPr/>
          <w:p>
            <w:pPr>
              <w:pStyle w:val="Compact"/>
              <w:jc w:val="left"/>
            </w:pPr>
            <w:r>
              <w:rPr>
                <w:rStyle w:val="VerbatimChar"/>
                <w:sz w:val="20"/>
                <w:szCs w:val="20"/>
              </w:rPr>
              <w:t xml:space="preserve">678ade47c1e6dc03…</w:t>
            </w:r>
          </w:p>
        </w:tc>
        <w:tc>
          <w:tcPr/>
          <w:p>
            <w:pPr>
              <w:pStyle w:val="Compact"/>
              <w:jc w:val="left"/>
            </w:pPr>
            <w:hyperlink w:anchor="sec_5_7" w:history="1">
              <w:r>
                <w:rPr>
                  <w:rStyle w:val="Hyperlink"/>
                  <w:sz w:val="20"/>
                  <w:szCs w:val="20"/>
                </w:rPr>
                <w:t xml:space="preserve">§5.7</w:t>
              </w:r>
            </w:hyperlink>
          </w:p>
        </w:tc>
      </w:tr>
    </w:tbl>
    <w:p>
      <w:pPr>
        <w:pStyle w:val="BodyText"/>
        <w:spacing w:before="240" w:after="160" w:line="360" w:lineRule="auto"/>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Under</w:t>
      </w:r>
      <w:r>
        <w:t xml:space="preserve"> </w:t>
      </w:r>
      <w:r>
        <w:rPr>
          <w:rStyle w:val="VerbatimChar"/>
        </w:rPr>
        <w:t xml:space="preserve">--random-salts</w:t>
      </w:r>
      <w:r>
        <w:t xml:space="preserve"> </w:t>
      </w:r>
      <w:r>
        <w:t xml:space="preserve">it differs on every run, by design.</w:t>
      </w:r>
    </w:p>
    <w:bookmarkEnd w:id="113"/>
    <w:bookmarkStart w:id="114" w:name="a.9-known-limitations-of-the-artefact"/>
    <w:p>
      <w:pPr>
        <w:pStyle w:val="Heading2"/>
      </w:pPr>
      <w:r>
        <w:t xml:space="preserve">A.9 Known limitations of the artefact</w:t>
      </w:r>
    </w:p>
    <w:p>
      <w:pPr>
        <w:pStyle w:val="FirstParagraph"/>
      </w:pPr>
      <w:r>
        <w:t xml:space="preserve">Stated here so that they are not inferred from silence:</w:t>
      </w:r>
    </w:p>
    <w:p>
      <w:pPr>
        <w:pStyle w:val="Compact"/>
        <w:numPr>
          <w:ilvl w:val="0"/>
          <w:numId w:val="1006"/>
        </w:numPr>
      </w:pPr>
      <w:r>
        <w:t xml:space="preserve">The demonstration checks the propositions on the instances generated under one seed. The general claims rest on the proofs in </w:t>
      </w:r>
      <w:hyperlink w:anchor="ch_4" w:history="1">
        <w:r>
          <w:rPr>
            <w:rStyle w:val="Hyperlink"/>
          </w:rPr>
          <w:t xml:space="preserve">Chapter 4</w:t>
        </w:r>
      </w:hyperlink>
      <w:r>
        <w:t xml:space="preserve">, not on this code.</w:t>
      </w:r>
    </w:p>
    <w:p>
      <w:pPr>
        <w:pStyle w:val="Compact"/>
        <w:numPr>
          <w:ilvl w:val="0"/>
          <w:numId w:val="1006"/>
        </w:numPr>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pStyle w:val="Compact"/>
        <w:numPr>
          <w:ilvl w:val="0"/>
          <w:numId w:val="1006"/>
        </w:numPr>
      </w:pPr>
      <w:r>
        <w:t xml:space="preserve">No performance measurement is offered as a result. The runtime figure in </w:t>
      </w:r>
      <w:hyperlink w:anchor="ch_5" w:history="1">
        <w:r>
          <w:rPr>
            <w:rStyle w:val="Hyperlink"/>
          </w:rPr>
          <w:t xml:space="preserve">Chapter 5</w:t>
        </w:r>
      </w:hyperlink>
      <w:r>
        <w:t xml:space="preserve"> indicates only that reproduction is cheap.</w:t>
      </w:r>
    </w:p>
    <w:p>
      <w:pPr>
        <w:pStyle w:val="Compact"/>
        <w:numPr>
          <w:ilvl w:val="0"/>
          <w:numId w:val="1006"/>
        </w:numPr>
      </w:pPr>
      <w:r>
        <w:t xml:space="preserve">Key destruction is simulated in program state. The artefact demonstrates the mechanism’s logic and says nothing about whether destruction can be assured in deployment.</w:t>
      </w:r>
    </w:p>
    <w:p>
      <w:pPr>
        <w:pStyle w:val="Compact"/>
        <w:numPr>
          <w:ilvl w:val="0"/>
          <w:numId w:val="1006"/>
        </w:numPr>
      </w:pPr>
      <w:r>
        <w:t xml:space="preserve">The checker does not connect to any National Contact Point, implement the OpenNCP transmission flow, evaluate consent policies, or implement any zero-knowledge proof system. None of these is claimed anywhere in the thesis.</w:t>
      </w:r>
    </w:p>
    <w:bookmarkEnd w:id="114"/>
    <w:bookmarkStart w:id="115"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Beyond the constraint check itself:</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w:t>
      </w:r>
      <w:r>
        <w:br/>
      </w:r>
      <w:r>
        <w:rPr>
          <w:rStyle w:val="CommentTok"/>
        </w:rPr>
        <w:t xml:space="preserve">  - make_salt() derives salts from the record id for reproducibility; --random-salts draws them</w:t>
      </w:r>
      <w:r>
        <w:br/>
      </w:r>
      <w:r>
        <w:rPr>
          <w:rStyle w:val="CommentTok"/>
        </w:rPr>
        <w:t xml:space="preserve">    from os.urandom, as a deployment must</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baseline as reported; illustrative (Ch4 s4.3)</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15"/>
    <w:bookmarkStart w:id="116"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16"/>
    <w:bookmarkStart w:id="117"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bookmarkEnd w:id="117"/>
    <w:bookmarkStart w:id="118"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18"/>
    <w:bookmarkStart w:id="119" w:name="a.14-source-listing-app.py"/>
    <w:p>
      <w:pPr>
        <w:pStyle w:val="Heading2"/>
      </w:pPr>
      <w:r>
        <w:t xml:space="preserve">A.14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5.7.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"with an explorer for Proposition 3.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tab6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     </w:t>
      </w:r>
      <w:r>
        <w:rPr>
          <w:rStyle w:val="StringTok"/>
        </w:rPr>
        <w:t xml:space="preserve">"Where the ceiling is anchored"</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5.3 and 5.6, "</w:t>
      </w:r>
      <w:r>
        <w:br/>
      </w:r>
      <w:r>
        <w:rPr>
          <w:rStyle w:val="NormalTok"/>
        </w:rPr>
        <w:t xml:space="preserve">        </w:t>
      </w:r>
      <w:r>
        <w:rPr>
          <w:rStyle w:val="StringTok"/>
        </w:rPr>
        <w:t xml:space="preserve">"and the audit-log integrity check of Section 5.7.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5.3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on the broad reading of "</w:t>
      </w:r>
      <w:r>
        <w:br/>
      </w:r>
      <w:r>
        <w:rPr>
          <w:rStyle w:val="NormalTok"/>
        </w:rPr>
        <w:t xml:space="preserve">            </w:t>
      </w:r>
      <w:r>
        <w:rPr>
          <w:rStyle w:val="StringTok"/>
        </w:rPr>
        <w:t xml:space="preserve">"Article 68(12) and for logs kept at patient-record granularity "</w:t>
      </w:r>
      <w:r>
        <w:br/>
      </w:r>
      <w:r>
        <w:rPr>
          <w:rStyle w:val="NormalTok"/>
        </w:rPr>
        <w:t xml:space="preserve">            </w:t>
      </w:r>
      <w:r>
        <w:rPr>
          <w:rStyle w:val="StringTok"/>
        </w:rPr>
        <w:t xml:space="preserve">"(Chapter 4, Section 4.6). On the narrow reading these witnesses lapse."</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5.6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st.markdown(</w:t>
      </w:r>
      <w:r>
        <w:rPr>
          <w:rStyle w:val="StringTok"/>
        </w:rPr>
        <w:t xml:space="preserve">"**Audit-log integrity — Chapter 5, Section 5.7**"</w:t>
      </w:r>
      <w:r>
        <w:rPr>
          <w:rStyle w:val="NormalTok"/>
        </w:rPr>
        <w:t xml:space="preserve">)</w:t>
      </w:r>
      <w:r>
        <w:br/>
      </w:r>
      <w:r>
        <w:rPr>
          <w:rStyle w:val="NormalTok"/>
        </w:rPr>
        <w:t xml:space="preserve">        st.write(</w:t>
      </w:r>
      <w:r>
        <w:br/>
      </w:r>
      <w:r>
        <w:rPr>
          <w:rStyle w:val="NormalTok"/>
        </w:rPr>
        <w:t xml:space="preserve">            </w:t>
      </w:r>
      <w:r>
        <w:rPr>
          <w:rStyle w:val="StringTok"/>
        </w:rPr>
        <w:t xml:space="preserve">"Every access, invalidation and subject-link removal is a leaf of an "</w:t>
      </w:r>
      <w:r>
        <w:br/>
      </w:r>
      <w:r>
        <w:rPr>
          <w:rStyle w:val="NormalTok"/>
        </w:rPr>
        <w:t xml:space="preserve">            </w:t>
      </w:r>
      <w:r>
        <w:rPr>
          <w:rStyle w:val="StringTok"/>
        </w:rPr>
        <w:t xml:space="preserve">"append-only Merkle log (RFC 6962 hashing). A record counts as verifiable "</w:t>
      </w:r>
      <w:r>
        <w:br/>
      </w:r>
      <w:r>
        <w:rPr>
          <w:rStyle w:val="NormalTok"/>
        </w:rPr>
        <w:t xml:space="preserve">            </w:t>
      </w:r>
      <w:r>
        <w:rPr>
          <w:rStyle w:val="StringTok"/>
        </w:rPr>
        <w:t xml:space="preserve">"under Semantics II only if each of its entries passes an inclusion proof "</w:t>
      </w:r>
      <w:r>
        <w:br/>
      </w:r>
      <w:r>
        <w:rPr>
          <w:rStyle w:val="NormalTok"/>
        </w:rPr>
        <w:t xml:space="preserve">            </w:t>
      </w:r>
      <w:r>
        <w:rPr>
          <w:rStyle w:val="StringTok"/>
        </w:rPr>
        <w:t xml:space="preserve">"against the log root. Leaves hold the accessor fields and the commitment, "</w:t>
      </w:r>
      <w:r>
        <w:br/>
      </w:r>
      <w:r>
        <w:rPr>
          <w:rStyle w:val="NormalTok"/>
        </w:rPr>
        <w:t xml:space="preserve">            </w:t>
      </w:r>
      <w:r>
        <w:rPr>
          <w:rStyle w:val="StringTok"/>
        </w:rPr>
        <w:t xml:space="preserve">"never the payload or the patient link, so the log never needs erasing."</w:t>
      </w:r>
      <w:r>
        <w:br/>
      </w:r>
      <w:r>
        <w:rPr>
          <w:rStyle w:val="NormalTok"/>
        </w:rPr>
        <w:t xml:space="preserve">        )</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trf.integrity(r)[</w:t>
      </w:r>
      <w:r>
        <w:rPr>
          <w:rStyle w:val="DecValTok"/>
        </w:rPr>
        <w:t xml:space="preserve">0</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br/>
      </w:r>
      <w:r>
        <w:rPr>
          <w:rStyle w:val="NormalTok"/>
        </w:rPr>
        <w:t xml:space="preserve">        ok_t, why_t </w:t>
      </w:r>
      <w:r>
        <w:rPr>
          <w:rStyle w:val="OperatorTok"/>
        </w:rPr>
        <w:t xml:space="preserve">=</w:t>
      </w:r>
      <w:r>
        <w:rPr>
          <w:rStyle w:val="NormalTok"/>
        </w:rPr>
        <w:t xml:space="preserve"> trf.V_II(demo,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br/>
      </w:r>
      <w:r>
        <w:rPr>
          <w:rStyle w:val="NormalTok"/>
        </w:rPr>
        <w:t xml:space="preserve">        ok_g, why_g </w:t>
      </w:r>
      <w:r>
        <w:rPr>
          <w:rStyle w:val="OperatorTok"/>
        </w:rPr>
        <w:t xml:space="preserve">=</w:t>
      </w:r>
      <w:r>
        <w:rPr>
          <w:rStyle w:val="NormalTok"/>
        </w:rPr>
        <w:t xml:space="preserve"> trf.V_II(demo,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ok_r </w:t>
      </w:r>
      <w:r>
        <w:rPr>
          <w:rStyle w:val="OperatorTok"/>
        </w:rPr>
        <w:t xml:space="preserve">=</w:t>
      </w:r>
      <w:r>
        <w:rPr>
          <w:rStyle w:val="NormalTok"/>
        </w:rPr>
        <w:t xml:space="preserve"> trf.V_II(demo, demo.t_a)[</w:t>
      </w:r>
      <w:r>
        <w:rPr>
          <w:rStyle w:val="DecValTok"/>
        </w:rPr>
        <w:t xml:space="preserve">0</w:t>
      </w:r>
      <w:r>
        <w:rPr>
          <w:rStyle w:val="NormalTok"/>
        </w:rPr>
        <w:t xml:space="preserve">]</w:t>
      </w:r>
      <w:r>
        <w:br/>
      </w:r>
      <w:r>
        <w:rPr>
          <w:rStyle w:val="NormalTok"/>
        </w:rPr>
        <w:t xml:space="preserve">        i1, i2, i3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i1.metric(</w:t>
      </w:r>
      <w:r>
        <w:rPr>
          <w:rStyle w:val="StringTok"/>
        </w:rPr>
        <w:t xml:space="preserve">"Records verifying"</w:t>
      </w:r>
      <w:r>
        <w:rPr>
          <w:rStyle w:val="NormalTok"/>
        </w:rPr>
        <w:t xml:space="preserve">, </w:t>
      </w:r>
      <w:r>
        <w:rPr>
          <w:rStyle w:val="SpecialStringTok"/>
        </w:rPr>
        <w:t xml:space="preserve">f"</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i2.metric(</w:t>
      </w:r>
      <w:r>
        <w:rPr>
          <w:rStyle w:val="StringTok"/>
        </w:rPr>
        <w:t xml:space="preserve">"Tamper: actor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ok_t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i3.metric(</w:t>
      </w:r>
      <w:r>
        <w:rPr>
          <w:rStyle w:val="StringTok"/>
        </w:rPr>
        <w:t xml:space="preserve">"Tamper: ground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ok_g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st.code(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R-008 -&gt; R-999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-&gt; 'none'    :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f"after restoring both          : V_II=</w:t>
      </w:r>
      <w:r>
        <w:rPr>
          <w:rStyle w:val="SpecialCharTok"/>
        </w:rPr>
        <w:t xml:space="preserve">{</w:t>
      </w:r>
      <w:r>
        <w:rPr>
          <w:rStyle w:val="NormalTok"/>
        </w:rPr>
        <w:t xml:space="preserve">ok_r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br/>
      </w:r>
      <w:r>
        <w:rPr>
          <w:rStyle w:val="NormalTok"/>
        </w:rPr>
        <w:t xml:space="preserve">                </w:t>
      </w:r>
      <w:r>
        <w:rPr>
          <w:rStyle w:val="KeywordTok"/>
        </w:rPr>
        <w:t xml:space="preserve">and</w:t>
      </w:r>
      <w:r>
        <w:rPr>
          <w:rStyle w:val="NormalTok"/>
        </w:rPr>
        <w:t xml:space="preserve"> n_ok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w:t>
      </w:r>
      <w:r>
        <w:rPr>
          <w:rStyle w:val="KeywordTok"/>
        </w:rPr>
        <w:t xml:space="preserve">not</w:t>
      </w:r>
      <w:r>
        <w:rPr>
          <w:rStyle w:val="NormalTok"/>
        </w:rPr>
        <w:t xml:space="preserve"> ok_t </w:t>
      </w:r>
      <w:r>
        <w:rPr>
          <w:rStyle w:val="KeywordTok"/>
        </w:rPr>
        <w:t xml:space="preserve">and</w:t>
      </w:r>
      <w:r>
        <w:rPr>
          <w:rStyle w:val="NormalTok"/>
        </w:rPr>
        <w:t xml:space="preserve"> </w:t>
      </w:r>
      <w:r>
        <w:rPr>
          <w:rStyle w:val="KeywordTok"/>
        </w:rPr>
        <w:t xml:space="preserve">not</w:t>
      </w:r>
      <w:r>
        <w:rPr>
          <w:rStyle w:val="NormalTok"/>
        </w:rPr>
        <w:t xml:space="preserve"> ok_g </w:t>
      </w:r>
      <w:r>
        <w:rPr>
          <w:rStyle w:val="KeywordTok"/>
        </w:rPr>
        <w:t xml:space="preserve">and</w:t>
      </w:r>
      <w:r>
        <w:rPr>
          <w:rStyle w:val="NormalTok"/>
        </w:rPr>
        <w:t xml:space="preserve"> ok_r):</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 200/200 records verifying, both tamper tests failing."</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5.7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§5.5, §5.6 and §5.8)</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§5.5**"</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§5.6**"</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§5.6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"**Real envelope encryption — optional module, Chapter 5 §5.8**"</w:t>
      </w:r>
      <w:r>
        <w:rPr>
          <w:rStyle w:val="NormalTok"/>
        </w:rPr>
        <w:t xml:space="preserve">)</w:t>
      </w:r>
      <w:r>
        <w:br/>
      </w:r>
      <w:r>
        <w:rPr>
          <w:rStyle w:val="NormalTok"/>
        </w:rPr>
        <w:t xml:space="preserve">    st.write(</w:t>
      </w:r>
      <w:r>
        <w:br/>
      </w:r>
      <w:r>
        <w:rPr>
          <w:rStyle w:val="NormalTok"/>
        </w:rPr>
        <w:t xml:space="preserve">        </w:t>
      </w:r>
      <w:r>
        <w:rPr>
          <w:rStyle w:val="StringTok"/>
        </w:rPr>
        <w:t xml:space="preserve">"The checker models key destruction as removing a reference. This module "</w:t>
      </w:r>
      <w:r>
        <w:br/>
      </w:r>
      <w:r>
        <w:rPr>
          <w:rStyle w:val="NormalTok"/>
        </w:rPr>
        <w:t xml:space="preserve">        </w:t>
      </w:r>
      <w:r>
        <w:rPr>
          <w:rStyle w:val="StringTok"/>
        </w:rPr>
        <w:t xml:space="preserve">"repeats the lifecycle with real AES-256-GCM: each record under its own data "</w:t>
      </w:r>
      <w:r>
        <w:br/>
      </w:r>
      <w:r>
        <w:rPr>
          <w:rStyle w:val="NormalTok"/>
        </w:rPr>
        <w:t xml:space="preserve">        </w:t>
      </w:r>
      <w:r>
        <w:rPr>
          <w:rStyle w:val="StringTok"/>
        </w:rPr>
        <w:t xml:space="preserve">"key, each data key wrapped under a key-encrypting key, and the wrapped key "</w:t>
      </w:r>
      <w:r>
        <w:br/>
      </w:r>
      <w:r>
        <w:rPr>
          <w:rStyle w:val="NormalTok"/>
        </w:rPr>
        <w:t xml:space="preserve">        </w:t>
      </w:r>
      <w:r>
        <w:rPr>
          <w:rStyle w:val="StringTok"/>
        </w:rPr>
        <w:t xml:space="preserve">"destroyed at the record's invalidation month. Keys are random on every run; "</w:t>
      </w:r>
      <w:r>
        <w:br/>
      </w:r>
      <w:r>
        <w:rPr>
          <w:rStyle w:val="NormalTok"/>
        </w:rPr>
        <w:t xml:space="preserve">        </w:t>
      </w:r>
      <w:r>
        <w:rPr>
          <w:rStyle w:val="StringTok"/>
        </w:rPr>
        <w:t xml:space="preserve">"the counts are not."</w:t>
      </w:r>
      <w:r>
        <w:br/>
      </w:r>
      <w:r>
        <w:rPr>
          <w:rStyle w:val="NormalTok"/>
        </w:rPr>
        <w:t xml:space="preserve">    )</w:t>
      </w:r>
      <w:r>
        <w:br/>
      </w:r>
      <w:r>
        <w:rPr>
          <w:rStyle w:val="NormalTok"/>
        </w:rPr>
        <w:t xml:space="preserve">    </w:t>
      </w:r>
      <w:r>
        <w:rPr>
          <w:rStyle w:val="ControlFlowTok"/>
        </w:rPr>
        <w:t xml:space="preserve">if</w:t>
      </w:r>
      <w:r>
        <w:rPr>
          <w:rStyle w:val="NormalTok"/>
        </w:rPr>
        <w:t xml:space="preserve"> st.button(</w:t>
      </w:r>
      <w:r>
        <w:rPr>
          <w:rStyle w:val="StringTok"/>
        </w:rPr>
        <w:t xml:space="preserve">"Run envelope encryption"</w:t>
      </w:r>
      <w:r>
        <w:rPr>
          <w:rStyle w:val="NormalTok"/>
        </w:rPr>
        <w:t xml:space="preserve">, key</w:t>
      </w:r>
      <w:r>
        <w:rPr>
          <w:rStyle w:val="OperatorTok"/>
        </w:rPr>
        <w:t xml:space="preserve">=</w:t>
      </w:r>
      <w:r>
        <w:rPr>
          <w:rStyle w:val="StringTok"/>
        </w:rPr>
        <w:t xml:space="preserve">"run_crypto"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crypto_envelope </w:t>
      </w:r>
      <w:r>
        <w:rPr>
          <w:rStyle w:val="ImportTok"/>
        </w:rPr>
        <w:t xml:space="preserve">as</w:t>
      </w:r>
      <w:r>
        <w:rPr>
          <w:rStyle w:val="NormalTok"/>
        </w:rPr>
        <w:t xml:space="preserve"> ce</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"Encrypting 200 records, destroying keys, decrypting ..."</w:t>
      </w:r>
      <w:r>
        <w:rPr>
          <w:rStyle w:val="NormalTok"/>
        </w:rPr>
        <w:t xml:space="preserve">):</w:t>
      </w:r>
      <w:r>
        <w:br/>
      </w:r>
      <w:r>
        <w:rPr>
          <w:rStyle w:val="NormalTok"/>
        </w:rPr>
        <w:t xml:space="preserve">                recs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ce.Custody()</w:t>
      </w:r>
      <w:r>
        <w:br/>
      </w:r>
      <w:r>
        <w:rPr>
          <w:rStyle w:val="NormalTok"/>
        </w:rPr>
        <w:t xml:space="preserve">                store </w:t>
      </w:r>
      <w:r>
        <w:rPr>
          <w:rStyle w:val="OperatorTok"/>
        </w:rPr>
        <w:t xml:space="preserve">=</w:t>
      </w:r>
      <w:r>
        <w:rPr>
          <w:rStyle w:val="NormalTok"/>
        </w:rPr>
        <w:t xml:space="preserve"> {r.rid: ce.encrypt(custody,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inval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w:t>
      </w:r>
      <w:r>
        <w:br/>
      </w:r>
      <w:r>
        <w:rPr>
          <w:rStyle w:val="NormalTok"/>
        </w:rPr>
        <w:t xml:space="preserve">                    custody.destroy(r.rid)</w:t>
      </w:r>
      <w:r>
        <w:br/>
      </w:r>
      <w:r>
        <w:rPr>
          <w:rStyle w:val="NormalTok"/>
        </w:rPr>
        <w:t xml:space="preserve">                readable </w:t>
      </w:r>
      <w:r>
        <w:rPr>
          <w:rStyle w:val="OperatorTok"/>
        </w:rPr>
        <w:t xml:space="preserve">=</w:t>
      </w:r>
      <w:r>
        <w:rPr>
          <w:rStyle w:val="NormalTok"/>
        </w:rPr>
        <w:t xml:space="preserve"> refused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try</w:t>
      </w:r>
      <w:r>
        <w:rPr>
          <w:rStyle w:val="NormalTok"/>
        </w:rPr>
        <w:t xml:space="preserve">:</w:t>
      </w:r>
      <w:r>
        <w:br/>
      </w:r>
      <w:r>
        <w:rPr>
          <w:rStyle w:val="NormalTok"/>
        </w:rPr>
        <w:t xml:space="preserve">                        ce.decrypt(custody,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e1, e2, e3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e1.metric(</w:t>
      </w:r>
      <w:r>
        <w:rPr>
          <w:rStyle w:val="StringTok"/>
        </w:rPr>
        <w:t xml:space="preserve">"Records encrypted"</w:t>
      </w:r>
      <w:r>
        <w:rPr>
          <w:rStyle w:val="NormalTok"/>
        </w:rPr>
        <w:t xml:space="preserve">, </w:t>
      </w:r>
      <w:r>
        <w:rPr>
          <w:rStyle w:val="BuiltInTok"/>
        </w:rPr>
        <w:t xml:space="preserve">len</w:t>
      </w:r>
      <w:r>
        <w:rPr>
          <w:rStyle w:val="NormalTok"/>
        </w:rPr>
        <w:t xml:space="preserve">(recs))</w:t>
      </w:r>
      <w:r>
        <w:br/>
      </w:r>
      <w:r>
        <w:rPr>
          <w:rStyle w:val="NormalTok"/>
        </w:rPr>
        <w:t xml:space="preserve">            e2.metric(</w:t>
      </w:r>
      <w:r>
        <w:rPr>
          <w:rStyle w:val="StringTok"/>
        </w:rPr>
        <w:t xml:space="preserve">"Refused after key destruction"</w:t>
      </w:r>
      <w:r>
        <w:rPr>
          <w:rStyle w:val="NormalTok"/>
        </w:rPr>
        <w:t xml:space="preserve">, refused)</w:t>
      </w:r>
      <w:r>
        <w:br/>
      </w:r>
      <w:r>
        <w:rPr>
          <w:rStyle w:val="NormalTok"/>
        </w:rPr>
        <w:t xml:space="preserve">            e3.metric(</w:t>
      </w:r>
      <w:r>
        <w:rPr>
          <w:rStyle w:val="StringTok"/>
        </w:rPr>
        <w:t xml:space="preserve">"Still readable"</w:t>
      </w:r>
      <w:r>
        <w:rPr>
          <w:rStyle w:val="NormalTok"/>
        </w:rPr>
        <w:t xml:space="preserve">, readable)</w:t>
      </w:r>
      <w:r>
        <w:br/>
      </w:r>
      <w:r>
        <w:rPr>
          <w:rStyle w:val="NormalTok"/>
        </w:rPr>
        <w:t xml:space="preserve">            </w:t>
      </w:r>
      <w:r>
        <w:rPr>
          <w:rStyle w:val="ControlFlowTok"/>
        </w:rPr>
        <w:t xml:space="preserve">if</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 </w:t>
      </w:r>
      <w:r>
        <w:rPr>
          <w:rStyle w:val="OperatorTok"/>
        </w:rPr>
        <w:t xml:space="preserve">==</w:t>
      </w:r>
      <w:r>
        <w:rPr>
          <w:rStyle w:val="NormalTok"/>
        </w:rPr>
        <w:t xml:space="preserve"> </w:t>
      </w:r>
      <w:r>
        <w:rPr>
          <w:rStyle w:val="DecValTok"/>
        </w:rPr>
        <w:t xml:space="preserve">138</w:t>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DecValTok"/>
        </w:rPr>
        <w:t xml:space="preserve">62</w:t>
      </w:r>
      <w:r>
        <w:rPr>
          <w:rStyle w:val="NormalTok"/>
        </w:rPr>
        <w:t xml:space="preserve">:</w:t>
      </w:r>
      <w:r>
        <w:br/>
      </w:r>
      <w:r>
        <w:rPr>
          <w:rStyle w:val="NormalTok"/>
        </w:rPr>
        <w:t xml:space="preserve">                st.success(</w:t>
      </w:r>
      <w:r>
        <w:br/>
      </w:r>
      <w:r>
        <w:rPr>
          <w:rStyle w:val="NormalTok"/>
        </w:rPr>
        <w:t xml:space="preserve">                    </w:t>
      </w:r>
      <w:r>
        <w:rPr>
          <w:rStyle w:val="StringTok"/>
        </w:rPr>
        <w:t xml:space="preserve">"Exactly the 138 invalidated records refuse to decrypt and the "</w:t>
      </w:r>
      <w:r>
        <w:br/>
      </w:r>
      <w:r>
        <w:rPr>
          <w:rStyle w:val="NormalTok"/>
        </w:rPr>
        <w:t xml:space="preserve">                    </w:t>
      </w:r>
      <w:r>
        <w:rPr>
          <w:rStyle w:val="StringTok"/>
        </w:rPr>
        <w:t xml:space="preserve">"other 62 read, as Appendix A.22 records. Unreadability follows "</w:t>
      </w:r>
      <w:r>
        <w:br/>
      </w:r>
      <w:r>
        <w:rPr>
          <w:rStyle w:val="NormalTok"/>
        </w:rPr>
        <w:t xml:space="preserve">                    </w:t>
      </w:r>
      <w:r>
        <w:rPr>
          <w:rStyle w:val="StringTok"/>
        </w:rPr>
        <w:t xml:space="preserve">"from destruction; that destruction happened in hardware is still "</w:t>
      </w:r>
      <w:r>
        <w:br/>
      </w:r>
      <w:r>
        <w:rPr>
          <w:rStyle w:val="NormalTok"/>
        </w:rPr>
        <w:t xml:space="preserve">                    </w:t>
      </w:r>
      <w:r>
        <w:rPr>
          <w:rStyle w:val="StringTok"/>
        </w:rPr>
        <w:t xml:space="preserve">"an attestation (Chapter 6, Section 6.3)."</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tringTok"/>
        </w:rPr>
        <w:t xml:space="preserve">"Counts differ from Appendix A.22. Investigate before citing."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st.info(</w:t>
      </w:r>
      <w:r>
        <w:rPr>
          <w:rStyle w:val="StringTok"/>
        </w:rPr>
        <w:t xml:space="preserve">"The `cryptography` package is not installed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and it does not implement the terminal "</w:t>
      </w:r>
      <w:r>
        <w:br/>
      </w:r>
      <w:r>
        <w:rPr>
          <w:rStyle w:val="NormalTok"/>
        </w:rPr>
        <w:t xml:space="preserve">        </w:t>
      </w:r>
      <w:r>
        <w:rPr>
          <w:rStyle w:val="StringTok"/>
        </w:rPr>
        <w:t xml:space="preserve">"transition at floor expiry. Key destruction is simulated by removing a "</w:t>
      </w:r>
      <w:r>
        <w:br/>
      </w:r>
      <w:r>
        <w:rPr>
          <w:rStyle w:val="NormalTok"/>
        </w:rPr>
        <w:t xml:space="preserve">        </w:t>
      </w:r>
      <w:r>
        <w:rPr>
          <w:rStyle w:val="StringTok"/>
        </w:rPr>
        <w:t xml:space="preserve">"reference in program state, or in the optional module by discarding a "</w:t>
      </w:r>
      <w:r>
        <w:br/>
      </w:r>
      <w:r>
        <w:rPr>
          <w:rStyle w:val="NormalTok"/>
        </w:rPr>
        <w:t xml:space="preserve">        </w:t>
      </w:r>
      <w:r>
        <w:rPr>
          <w:rStyle w:val="StringTok"/>
        </w:rPr>
        <w:t xml:space="preserve">"wrapped key in memory: either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§5.8 and Chapter 6 state these limits in full."</w:t>
      </w:r>
      <w:r>
        <w:br/>
      </w:r>
      <w:r>
        <w:rPr>
          <w:rStyle w:val="NormalTok"/>
        </w:rPr>
        <w:t xml:space="preserve">    )</w:t>
      </w:r>
      <w:r>
        <w:br/>
      </w:r>
      <w:r>
        <w:br/>
      </w:r>
      <w:r>
        <w:br/>
      </w:r>
      <w:r>
        <w:br/>
      </w:r>
      <w:r>
        <w:rPr>
          <w:rStyle w:val="CommentTok"/>
        </w:rPr>
        <w:t xml:space="preserve"># ----------------------------------------------------------------------</w:t>
      </w:r>
      <w:r>
        <w:br/>
      </w:r>
      <w:r>
        <w:rPr>
          <w:rStyle w:val="CommentTok"/>
        </w:rPr>
        <w:t xml:space="preserve"># Tab 6 — Proposition 3: where the ceiling is anchored (Chapter 4, Section 4.6)</w:t>
      </w:r>
      <w:r>
        <w:br/>
      </w:r>
      <w:r>
        <w:rPr>
          <w:rStyle w:val="CommentTok"/>
        </w:rPr>
        <w:t xml:space="preserve"># ----------------------------------------------------------------------</w:t>
      </w:r>
      <w:r>
        <w:br/>
      </w:r>
      <w:r>
        <w:br/>
      </w:r>
      <w:r>
        <w:rPr>
          <w:rStyle w:val="ControlFlowTok"/>
        </w:rPr>
        <w:t xml:space="preserve">with</w:t>
      </w:r>
      <w:r>
        <w:rPr>
          <w:rStyle w:val="NormalTok"/>
        </w:rPr>
        <w:t xml:space="preserve"> tab6:</w:t>
      </w:r>
      <w:r>
        <w:br/>
      </w:r>
      <w:r>
        <w:rPr>
          <w:rStyle w:val="NormalTok"/>
        </w:rPr>
        <w:t xml:space="preserve">    st.subheader(</w:t>
      </w:r>
      <w:r>
        <w:rPr>
          <w:rStyle w:val="StringTok"/>
        </w:rPr>
        <w:t xml:space="preserve">"Where the ceiling is anchored — Proposition 3"</w:t>
      </w:r>
      <w:r>
        <w:rPr>
          <w:rStyle w:val="NormalTok"/>
        </w:rPr>
        <w:t xml:space="preserve">)</w:t>
      </w:r>
      <w:r>
        <w:br/>
      </w:r>
      <w:r>
        <w:rPr>
          <w:rStyle w:val="NormalTok"/>
        </w:rPr>
        <w:t xml:space="preserve">    st.write(</w:t>
      </w:r>
      <w:r>
        <w:br/>
      </w:r>
      <w:r>
        <w:rPr>
          <w:rStyle w:val="NormalTok"/>
        </w:rPr>
        <w:t xml:space="preserve">        </w:t>
      </w:r>
      <w:r>
        <w:rPr>
          <w:rStyle w:val="StringTok"/>
        </w:rPr>
        <w:t xml:space="preserve">"A retention floor of F months runs from the record's creation t(a). A deletion "</w:t>
      </w:r>
      <w:r>
        <w:br/>
      </w:r>
      <w:r>
        <w:rPr>
          <w:rStyle w:val="NormalTok"/>
        </w:rPr>
        <w:t xml:space="preserve">        </w:t>
      </w:r>
      <w:r>
        <w:rPr>
          <w:rStyle w:val="StringTok"/>
        </w:rPr>
        <w:t xml:space="preserve">"ceiling of L months runs from an event e(a) at or after creation. Under plaintext "</w:t>
      </w:r>
      <w:r>
        <w:br/>
      </w:r>
      <w:r>
        <w:rPr>
          <w:rStyle w:val="NormalTok"/>
        </w:rPr>
        <w:t xml:space="preserve">        </w:t>
      </w:r>
      <w:r>
        <w:rPr>
          <w:rStyle w:val="StringTok"/>
        </w:rPr>
        <w:t xml:space="preserve">"verifiability the two collide for a record exactly when e(a) + L &lt;= t(a) + F. "</w:t>
      </w:r>
      <w:r>
        <w:br/>
      </w:r>
      <w:r>
        <w:rPr>
          <w:rStyle w:val="NormalTok"/>
        </w:rPr>
        <w:t xml:space="preserve">        </w:t>
      </w:r>
      <w:r>
        <w:rPr>
          <w:rStyle w:val="StringTok"/>
        </w:rPr>
        <w:t xml:space="preserve">"A collision therefore needs L &lt;= F; where the ceiling is anchored decides "</w:t>
      </w:r>
      <w:r>
        <w:br/>
      </w:r>
      <w:r>
        <w:rPr>
          <w:rStyle w:val="NormalTok"/>
        </w:rPr>
        <w:t xml:space="preserve">        </w:t>
      </w:r>
      <w:r>
        <w:rPr>
          <w:rStyle w:val="StringTok"/>
        </w:rPr>
        <w:t xml:space="preserve">"whether the collision can be read from the text or only from each record's history."</w:t>
      </w:r>
      <w:r>
        <w:br/>
      </w:r>
      <w:r>
        <w:rPr>
          <w:rStyle w:val="NormalTok"/>
        </w:rPr>
        <w:t xml:space="preserve">    )</w:t>
      </w:r>
      <w:r>
        <w:br/>
      </w:r>
      <w:r>
        <w:rPr>
          <w:rStyle w:val="NormalTok"/>
        </w:rPr>
        <w:t xml:space="preserve">    preset </w:t>
      </w:r>
      <w:r>
        <w:rPr>
          <w:rStyle w:val="OperatorTok"/>
        </w:rPr>
        <w:t xml:space="preserve">=</w:t>
      </w:r>
      <w:r>
        <w:rPr>
          <w:rStyle w:val="NormalTok"/>
        </w:rPr>
        <w:t xml:space="preserve"> st.radio(</w:t>
      </w:r>
      <w:r>
        <w:br/>
      </w:r>
      <w:r>
        <w:rPr>
          <w:rStyle w:val="NormalTok"/>
        </w:rPr>
        <w:t xml:space="preserve">        </w:t>
      </w:r>
      <w:r>
        <w:rPr>
          <w:rStyle w:val="StringTok"/>
        </w:rPr>
        <w:t xml:space="preserve">"Preset"</w:t>
      </w:r>
      <w:r>
        <w:rPr>
          <w:rStyle w:val="NormalTok"/>
        </w:rPr>
        <w:t xml:space="preserve">,</w:t>
      </w:r>
      <w:r>
        <w:br/>
      </w:r>
      <w:r>
        <w:rPr>
          <w:rStyle w:val="NormalTok"/>
        </w:rPr>
        <w:t xml:space="preserve">        [</w:t>
      </w:r>
      <w:r>
        <w:rPr>
          <w:rStyle w:val="StringTok"/>
        </w:rPr>
        <w:t xml:space="preserve">"EHDS Art 73(1)(e) floor, Art 68(12) ceiling"</w:t>
      </w:r>
      <w:r>
        <w:rPr>
          <w:rStyle w:val="NormalTok"/>
        </w:rPr>
        <w:t xml:space="preserve">, </w:t>
      </w:r>
      <w:r>
        <w:rPr>
          <w:rStyle w:val="StringTok"/>
        </w:rPr>
        <w:t xml:space="preserve">"politiregisterloven § 17"</w:t>
      </w:r>
      <w:r>
        <w:rPr>
          <w:rStyle w:val="NormalTok"/>
        </w:rPr>
        <w:t xml:space="preserve">,</w:t>
      </w:r>
      <w:r>
        <w:br/>
      </w:r>
      <w:r>
        <w:rPr>
          <w:rStyle w:val="NormalTok"/>
        </w:rPr>
        <w:t xml:space="preserve">         </w:t>
      </w:r>
      <w:r>
        <w:rPr>
          <w:rStyle w:val="StringTok"/>
        </w:rPr>
        <w:t xml:space="preserve">"Free"</w:t>
      </w:r>
      <w:r>
        <w:rPr>
          <w:rStyle w:val="NormalTok"/>
        </w:rPr>
        <w:t xml:space="preserve">], horizontal</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preset.startswith(</w:t>
      </w:r>
      <w:r>
        <w:rPr>
          <w:rStyle w:val="StringTok"/>
        </w:rPr>
        <w:t xml:space="preserve">"EHDS"</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 </w:t>
      </w:r>
      <w:r>
        <w:rPr>
          <w:rStyle w:val="VariableTok"/>
        </w:rPr>
        <w:t xml:space="preserve">False</w:t>
      </w:r>
      <w:r>
        <w:br/>
      </w:r>
      <w:r>
        <w:rPr>
          <w:rStyle w:val="NormalTok"/>
        </w:rPr>
        <w:t xml:space="preserve">    </w:t>
      </w:r>
      <w:r>
        <w:rPr>
          <w:rStyle w:val="ControlFlowTok"/>
        </w:rPr>
        <w:t xml:space="preserve">elif</w:t>
      </w:r>
      <w:r>
        <w:rPr>
          <w:rStyle w:val="NormalTok"/>
        </w:rPr>
        <w:t xml:space="preserve"> preset.startswith(</w:t>
      </w:r>
      <w:r>
        <w:rPr>
          <w:rStyle w:val="StringTok"/>
        </w:rPr>
        <w:t xml:space="preserve">"politi"</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36</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24</w:t>
      </w:r>
      <w:r>
        <w:rPr>
          <w:rStyle w:val="NormalTok"/>
        </w:rPr>
        <w:t xml:space="preserve">, </w:t>
      </w:r>
      <w:r>
        <w:rPr>
          <w:rStyle w:val="DecValTok"/>
        </w:rPr>
        <w:t xml:space="preserve">12</w:t>
      </w:r>
      <w:r>
        <w:rPr>
          <w:rStyle w:val="NormalTok"/>
        </w:rPr>
        <w:t xml:space="preserve">, </w:t>
      </w:r>
      <w:r>
        <w:rPr>
          <w:rStyle w:val="VariableTok"/>
        </w:rPr>
        <w:t xml:space="preserve">False</w:t>
      </w:r>
      <w:r>
        <w:br/>
      </w:r>
      <w:r>
        <w:rPr>
          <w:rStyle w:val="NormalTok"/>
        </w:rPr>
        <w:t xml:space="preserve">    F </w:t>
      </w:r>
      <w:r>
        <w:rPr>
          <w:rStyle w:val="OperatorTok"/>
        </w:rPr>
        <w:t xml:space="preserve">=</w:t>
      </w:r>
      <w:r>
        <w:rPr>
          <w:rStyle w:val="NormalTok"/>
        </w:rPr>
        <w:t xml:space="preserve"> st.slider(</w:t>
      </w:r>
      <w:r>
        <w:rPr>
          <w:rStyle w:val="StringTok"/>
        </w:rPr>
        <w:t xml:space="preserve">"Floor F (months, from creation)"</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F0, key</w:t>
      </w:r>
      <w:r>
        <w:rPr>
          <w:rStyle w:val="OperatorTok"/>
        </w:rPr>
        <w:t xml:space="preserve">=</w:t>
      </w:r>
      <w:r>
        <w:rPr>
          <w:rStyle w:val="SpecialStringTok"/>
        </w:rPr>
        <w:t xml:space="preserve">f"F_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L </w:t>
      </w:r>
      <w:r>
        <w:rPr>
          <w:rStyle w:val="OperatorTok"/>
        </w:rPr>
        <w:t xml:space="preserve">=</w:t>
      </w:r>
      <w:r>
        <w:rPr>
          <w:rStyle w:val="NormalTok"/>
        </w:rPr>
        <w:t xml:space="preserve"> st.slider(</w:t>
      </w:r>
      <w:r>
        <w:rPr>
          <w:rStyle w:val="StringTok"/>
        </w:rPr>
        <w:t xml:space="preserve">"Ceiling L (months, from its anchor)"</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L0, key</w:t>
      </w:r>
      <w:r>
        <w:rPr>
          <w:rStyle w:val="OperatorTok"/>
        </w:rPr>
        <w:t xml:space="preserve">=</w:t>
      </w:r>
      <w:r>
        <w:rPr>
          <w:rStyle w:val="SpecialStringTok"/>
        </w:rPr>
        <w:t xml:space="preserve">f"L_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same </w:t>
      </w:r>
      <w:r>
        <w:rPr>
          <w:rStyle w:val="OperatorTok"/>
        </w:rPr>
        <w:t xml:space="preserve">=</w:t>
      </w:r>
      <w:r>
        <w:rPr>
          <w:rStyle w:val="NormalTok"/>
        </w:rPr>
        <w:t xml:space="preserve"> st.checkbox(</w:t>
      </w:r>
      <w:r>
        <w:rPr>
          <w:rStyle w:val="StringTok"/>
        </w:rPr>
        <w:t xml:space="preserve">"Ceiling anchored to creation, the same event as the floor"</w:t>
      </w:r>
      <w:r>
        <w:rPr>
          <w:rStyle w:val="NormalTok"/>
        </w:rPr>
        <w:t xml:space="preserve">,</w:t>
      </w:r>
      <w:r>
        <w:br/>
      </w:r>
      <w:r>
        <w:rPr>
          <w:rStyle w:val="NormalTok"/>
        </w:rPr>
        <w:t xml:space="preserve">                       value</w:t>
      </w:r>
      <w:r>
        <w:rPr>
          <w:rStyle w:val="OperatorTok"/>
        </w:rPr>
        <w:t xml:space="preserve">=</w:t>
      </w:r>
      <w:r>
        <w:rPr>
          <w:rStyle w:val="NormalTok"/>
        </w:rPr>
        <w:t xml:space="preserve">same0, key</w:t>
      </w:r>
      <w:r>
        <w:rPr>
          <w:rStyle w:val="OperatorTok"/>
        </w:rPr>
        <w:t xml:space="preserve">=</w:t>
      </w:r>
      <w:r>
        <w:rPr>
          <w:rStyle w:val="SpecialStringTok"/>
        </w:rPr>
        <w:t xml:space="preserve">f"same_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same: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The two limits bound one "</w:t>
      </w:r>
      <w:r>
        <w:br/>
      </w:r>
      <w:r>
        <w:rPr>
          <w:rStyle w:val="NormalTok"/>
        </w:rPr>
        <w:t xml:space="preserve">                       </w:t>
      </w:r>
      <w:r>
        <w:rPr>
          <w:rStyle w:val="StringTok"/>
        </w:rPr>
        <w:t xml:space="preserve">"retention window, readable from the text alone."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every record collides, and the text "</w:t>
      </w:r>
      <w:r>
        <w:br/>
      </w:r>
      <w:r>
        <w:rPr>
          <w:rStyle w:val="NormalTok"/>
        </w:rPr>
        <w:t xml:space="preserve">                     </w:t>
      </w:r>
      <w:r>
        <w:rPr>
          <w:rStyle w:val="StringTok"/>
        </w:rPr>
        <w:t xml:space="preserve">"contradicts itself on its face."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wherever its anchor "</w:t>
      </w:r>
      <w:r>
        <w:br/>
      </w:r>
      <w:r>
        <w:rPr>
          <w:rStyle w:val="NormalTok"/>
        </w:rPr>
        <w:t xml:space="preserve">                       </w:t>
      </w:r>
      <w:r>
        <w:rPr>
          <w:rStyle w:val="StringTok"/>
        </w:rPr>
        <w:t xml:space="preserve">"event falls."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gap </w:t>
      </w:r>
      <w:r>
        <w:rPr>
          <w:rStyle w:val="OperatorTok"/>
        </w:rPr>
        <w:t xml:space="preserve">=</w:t>
      </w:r>
      <w:r>
        <w:rPr>
          <w:rStyle w:val="NormalTok"/>
        </w:rPr>
        <w:t xml:space="preserve"> F </w:t>
      </w:r>
      <w:r>
        <w:rPr>
          <w:rStyle w:val="OperatorTok"/>
        </w:rPr>
        <w:t xml:space="preserve">-</w:t>
      </w:r>
      <w:r>
        <w:rPr>
          <w:rStyle w:val="NormalTok"/>
        </w:rPr>
        <w:t xml:space="preserve"> L</w:t>
      </w:r>
      <w:r>
        <w:br/>
      </w:r>
      <w:r>
        <w:rPr>
          <w:rStyle w:val="NormalTok"/>
        </w:rPr>
        <w:t xml:space="preserve">            st.warning(</w:t>
      </w:r>
      <w:r>
        <w:br/>
      </w:r>
      <w:r>
        <w:rPr>
          <w:rStyle w:val="NormalTok"/>
        </w:rPr>
        <w:t xml:space="preserve">                </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a record collides exactly when its anchor event "</w:t>
      </w:r>
      <w:r>
        <w:br/>
      </w:r>
      <w:r>
        <w:rPr>
          <w:rStyle w:val="NormalTok"/>
        </w:rPr>
        <w:t xml:space="preserve">                </w:t>
      </w:r>
      <w:r>
        <w:rPr>
          <w:rStyle w:val="SpecialStringTok"/>
        </w:rPr>
        <w:t xml:space="preserve">f"falls within </w:t>
      </w:r>
      <w:r>
        <w:rPr>
          <w:rStyle w:val="SpecialCharTok"/>
        </w:rPr>
        <w:t xml:space="preserve">{</w:t>
      </w:r>
      <w:r>
        <w:rPr>
          <w:rStyle w:val="NormalTok"/>
        </w:rPr>
        <w:t xml:space="preserve">gap</w:t>
      </w:r>
      <w:r>
        <w:rPr>
          <w:rStyle w:val="SpecialCharTok"/>
        </w:rPr>
        <w:t xml:space="preserve">}</w:t>
      </w:r>
      <w:r>
        <w:rPr>
          <w:rStyle w:val="SpecialStringTok"/>
        </w:rPr>
        <w:t xml:space="preserve"> month(s) of creation (e(a) - t(a) &lt;= </w:t>
      </w:r>
      <w:r>
        <w:rPr>
          <w:rStyle w:val="SpecialCharTok"/>
        </w:rPr>
        <w:t xml:space="preserve">{</w:t>
      </w:r>
      <w:r>
        <w:rPr>
          <w:rStyle w:val="NormalTok"/>
        </w:rPr>
        <w:t xml:space="preserve">gap</w:t>
      </w:r>
      <w:r>
        <w:rPr>
          <w:rStyle w:val="SpecialCharTok"/>
        </w:rPr>
        <w:t xml:space="preserve">}</w:t>
      </w:r>
      <w:r>
        <w:rPr>
          <w:rStyle w:val="SpecialStringTok"/>
        </w:rPr>
        <w:t xml:space="preserve">). "</w:t>
      </w:r>
      <w:r>
        <w:br/>
      </w:r>
      <w:r>
        <w:rPr>
          <w:rStyle w:val="NormalTok"/>
        </w:rPr>
        <w:t xml:space="preserve">                </w:t>
      </w:r>
      <w:r>
        <w:rPr>
          <w:rStyle w:val="StringTok"/>
        </w:rPr>
        <w:t xml:space="preserve">"Nothing in the text says which records those are; each record's "</w:t>
      </w:r>
      <w:r>
        <w:br/>
      </w:r>
      <w:r>
        <w:rPr>
          <w:rStyle w:val="NormalTok"/>
        </w:rPr>
        <w:t xml:space="preserve">                </w:t>
      </w:r>
      <w:r>
        <w:rPr>
          <w:rStyle w:val="StringTok"/>
        </w:rPr>
        <w:t xml:space="preserve">"history does."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offsets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st.bar_chart(</w:t>
      </w:r>
      <w:r>
        <w:br/>
      </w:r>
      <w:r>
        <w:rPr>
          <w:rStyle w:val="NormalTok"/>
        </w:rPr>
        <w:t xml:space="preserve">                {</w:t>
      </w:r>
      <w:r>
        <w:rPr>
          <w:rStyle w:val="StringTok"/>
        </w:rPr>
        <w:t xml:space="preserve">"months of collision"</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(t0 </w:t>
      </w:r>
      <w:r>
        <w:rPr>
          <w:rStyle w:val="OperatorTok"/>
        </w:rPr>
        <w:t xml:space="preserve">+</w:t>
      </w:r>
      <w:r>
        <w:rPr>
          <w:rStyle w:val="NormalTok"/>
        </w:rPr>
        <w:t xml:space="preserve"> F) </w:t>
      </w:r>
      <w:r>
        <w:rPr>
          <w:rStyle w:val="OperatorTok"/>
        </w:rPr>
        <w:t xml:space="preserve">-</w:t>
      </w:r>
      <w:r>
        <w:rPr>
          <w:rStyle w:val="NormalTok"/>
        </w:rPr>
        <w:t xml:space="preserve"> (t0 </w:t>
      </w:r>
      <w:r>
        <w:rPr>
          <w:rStyle w:val="OperatorTok"/>
        </w:rPr>
        <w:t xml:space="preserve">+</w:t>
      </w:r>
      <w:r>
        <w:rPr>
          <w:rStyle w:val="NormalTok"/>
        </w:rPr>
        <w:t xml:space="preserve"> d </w:t>
      </w:r>
      <w:r>
        <w:rPr>
          <w:rStyle w:val="OperatorTok"/>
        </w:rPr>
        <w:t xml:space="preserve">+</w:t>
      </w:r>
      <w:r>
        <w:rPr>
          <w:rStyle w:val="NormalTok"/>
        </w:rPr>
        <w:t xml:space="preserve"> 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t0, d </w:t>
      </w:r>
      <w:r>
        <w:rPr>
          <w:rStyle w:val="KeywordTok"/>
        </w:rPr>
        <w:t xml:space="preserve">in</w:t>
      </w:r>
      <w:r>
        <w:rPr>
          <w:rStyle w:val="NormalTok"/>
        </w:rPr>
        <w:t xml:space="preserve"> [(</w:t>
      </w:r>
      <w:r>
        <w:rPr>
          <w:rStyle w:val="DecValTok"/>
        </w:rPr>
        <w:t xml:space="preserve">0</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offsets]]},</w:t>
      </w:r>
      <w:r>
        <w:br/>
      </w:r>
      <w:r>
        <w:rPr>
          <w:rStyle w:val="NormalTok"/>
        </w:rPr>
        <w:t xml:space="preserve">                x_label</w:t>
      </w:r>
      <w:r>
        <w:rPr>
          <w:rStyle w:val="OperatorTok"/>
        </w:rPr>
        <w:t xml:space="preserve">=</w:t>
      </w:r>
      <w:r>
        <w:rPr>
          <w:rStyle w:val="StringTok"/>
        </w:rPr>
        <w:t xml:space="preserve">"anchor event, months after creation"</w:t>
      </w:r>
      <w:r>
        <w:rPr>
          <w:rStyle w:val="NormalTok"/>
        </w:rPr>
        <w:t xml:space="preserve">,</w:t>
      </w:r>
      <w:r>
        <w:br/>
      </w:r>
      <w:r>
        <w:rPr>
          <w:rStyle w:val="NormalTok"/>
        </w:rPr>
        <w:t xml:space="preserve">                y_label</w:t>
      </w:r>
      <w:r>
        <w:rPr>
          <w:rStyle w:val="OperatorTok"/>
        </w:rPr>
        <w:t xml:space="preserve">=</w:t>
      </w:r>
      <w:r>
        <w:rPr>
          <w:rStyle w:val="StringTok"/>
        </w:rPr>
        <w:t xml:space="preserve">"months in which both apply"</w:t>
      </w:r>
      <w:r>
        <w:rPr>
          <w:rStyle w:val="NormalTok"/>
        </w:rPr>
        <w:t xml:space="preserve">)</w:t>
      </w:r>
      <w:r>
        <w:br/>
      </w:r>
      <w:r>
        <w:rPr>
          <w:rStyle w:val="NormalTok"/>
        </w:rPr>
        <w:t xml:space="preserve">    st.caption(</w:t>
      </w:r>
      <w:r>
        <w:br/>
      </w:r>
      <w:r>
        <w:rPr>
          <w:rStyle w:val="NormalTok"/>
        </w:rPr>
        <w:t xml:space="preserve">        </w:t>
      </w:r>
      <w:r>
        <w:rPr>
          <w:rStyle w:val="StringTok"/>
        </w:rPr>
        <w:t xml:space="preserve">"Article 68(12) is of the external-anchor kind: six months from permit expiry "</w:t>
      </w:r>
      <w:r>
        <w:br/>
      </w:r>
      <w:r>
        <w:rPr>
          <w:rStyle w:val="NormalTok"/>
        </w:rPr>
        <w:t xml:space="preserve">        </w:t>
      </w:r>
      <w:r>
        <w:rPr>
          <w:rStyle w:val="StringTok"/>
        </w:rPr>
        <w:t xml:space="preserve">"against twelve from the log entry, so logs whose permit expires within six "</w:t>
      </w:r>
      <w:r>
        <w:br/>
      </w:r>
      <w:r>
        <w:rPr>
          <w:rStyle w:val="NormalTok"/>
        </w:rPr>
        <w:t xml:space="preserve">        </w:t>
      </w:r>
      <w:r>
        <w:rPr>
          <w:rStyle w:val="StringTok"/>
        </w:rPr>
        <w:t xml:space="preserve">"months of the entry collide (Corollary 1.2). Section 17 of politiregisterloven "</w:t>
      </w:r>
      <w:r>
        <w:br/>
      </w:r>
      <w:r>
        <w:rPr>
          <w:rStyle w:val="NormalTok"/>
        </w:rPr>
        <w:t xml:space="preserve">        </w:t>
      </w:r>
      <w:r>
        <w:rPr>
          <w:rStyle w:val="StringTok"/>
        </w:rPr>
        <w:t xml:space="preserve">"measures both limbs from the log entry with the ceiling longer, so it bounds a "</w:t>
      </w:r>
      <w:r>
        <w:br/>
      </w:r>
      <w:r>
        <w:rPr>
          <w:rStyle w:val="NormalTok"/>
        </w:rPr>
        <w:t xml:space="preserve">        </w:t>
      </w:r>
      <w:r>
        <w:rPr>
          <w:rStyle w:val="StringTok"/>
        </w:rPr>
        <w:t xml:space="preserve">"window instead (Chapter 6, Section 6.10)."</w:t>
      </w:r>
      <w:r>
        <w:rPr>
          <w:rStyle w:val="NormalTok"/>
        </w:rPr>
        <w:t xml:space="preserve">)</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Tab 4 is illustrative of the "</w:t>
      </w:r>
      <w:r>
        <w:br/>
      </w:r>
      <w:r>
        <w:rPr>
          <w:rStyle w:val="NormalTok"/>
        </w:rPr>
        <w:t xml:space="preserve">    </w:t>
      </w:r>
      <w:r>
        <w:rPr>
          <w:rStyle w:val="StringTok"/>
        </w:rPr>
        <w:t xml:space="preserve">"Norwegian setting and not a thesis claim either, and Tab 6 evaluates the "</w:t>
      </w:r>
      <w:r>
        <w:br/>
      </w:r>
      <w:r>
        <w:rPr>
          <w:rStyle w:val="NormalTok"/>
        </w:rPr>
        <w:t xml:space="preserve">    </w:t>
      </w:r>
      <w:r>
        <w:rPr>
          <w:rStyle w:val="StringTok"/>
        </w:rPr>
        <w:t xml:space="preserve">"condition of Proposition 3 for any floor and ceiling you set.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bookmarkEnd w:id="119"/>
    <w:bookmarkStart w:id="120"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0"/>
    <w:bookmarkStart w:id="121"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w:t>
      </w:r>
      <w:hyperlink w:anchor="ch_5" w:history="1">
        <w:r>
          <w:rPr>
            <w:rStyle w:val="Hyperlink"/>
          </w:rPr>
          <w:t xml:space="preserve">Chapter 5</w:t>
        </w:r>
      </w:hyperlink>
      <w:r>
        <w:t xml:space="preserve">, </w:t>
      </w:r>
      <w:hyperlink w:anchor="tbl_5_3" w:history="1">
        <w:r>
          <w:rPr>
            <w:rStyle w:val="Hyperlink"/>
          </w:rPr>
          <w:t xml:space="preserve">Tables 5.3</w:t>
        </w:r>
      </w:hyperlink>
      <w:r>
        <w:t xml:space="preserve">, 5.4 and 5.6 appears here, with the δ = 1 row of </w:t>
      </w:r>
      <w:hyperlink w:anchor="tbl_5_5" w:history="1">
        <w:r>
          <w:rPr>
            <w:rStyle w:val="Hyperlink"/>
          </w:rPr>
          <w:t xml:space="preserve">Table 5.5</w:t>
        </w:r>
      </w:hyperlink>
      <w:r>
        <w:t xml:space="preserve">; its δ = 3 row is in A.18.</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1"/>
    <w:bookmarkStart w:id="122" w:name="X48e3d2dd8ce91f999789c66e0e3195e2a9ca03a"/>
    <w:p>
      <w:pPr>
        <w:pStyle w:val="Heading2"/>
      </w:pPr>
      <w:r>
        <w:t xml:space="preserve">A.17 Console output of the payload-provenance comparison, full cohort</w:t>
      </w:r>
    </w:p>
    <w:p>
      <w:pPr>
        <w:pStyle w:val="FirstParagraph"/>
      </w:pPr>
      <w:r>
        <w:t xml:space="preserve">Produced by command 4 against the regenerated 98-bundle cohort. Verbatim output of</w:t>
      </w:r>
      <w:r>
        <w:t xml:space="preserve"> </w:t>
      </w:r>
      <w:r>
        <w:rPr>
          <w:rStyle w:val="VerbatimChar"/>
        </w:rPr>
        <w:t xml:space="preserve">python3 synthea_layer.py</w:t>
      </w:r>
      <w:r>
        <w:t xml:space="preserve"> </w:t>
      </w:r>
      <w:r>
        <w:t xml:space="preserve">against the full 98-bundle cohort, the source of </w:t>
      </w:r>
      <w:hyperlink w:anchor="ch_5" w:history="1">
        <w:r>
          <w:rPr>
            <w:rStyle w:val="Hyperlink"/>
          </w:rPr>
          <w:t xml:space="preserve">Chapter 5</w:t>
        </w:r>
      </w:hyperlink>
      <w:r>
        <w:t xml:space="preserve">, </w:t>
      </w:r>
      <w:hyperlink w:anchor="tbl_5_7" w:history="1">
        <w:r>
          <w:rPr>
            <w:rStyle w:val="Hyperlink"/>
          </w:rPr>
          <w:t xml:space="preserve">Table 5.7</w:t>
        </w:r>
      </w:hyperlink>
      <w:r>
        <w:t xml:space="preserve">, which </w:t>
      </w:r>
      <w:hyperlink w:anchor="sec_5_8" w:history="1">
        <w:r>
          <w:rPr>
            <w:rStyle w:val="Hyperlink"/>
          </w:rPr>
          <w:t xml:space="preserve">Section 5.8</w:t>
        </w:r>
      </w:hyperlink>
      <w:r>
        <w:t xml:space="preserve"> reports at a mean payload of 1,006 bytes. It was recorded on 28 September 2026, before the code revision of 3 October, and its constructed-payload mean (35 bytes) reflects the earlier constructed strings; no measure in it depends on them, as the subset run in A.21, recorded after the revision, shows. Reproducing it requires regenerating the cohort with command 3, because the full cohort is 314 MB and is not committed.</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2"/>
    <w:bookmarkStart w:id="123" w:name="X1ab1ec694b6985c6e038ee42ecd21e7013aba6f"/>
    <w:p>
      <w:pPr>
        <w:pStyle w:val="Heading2"/>
      </w:pPr>
      <w:r>
        <w:t xml:space="preserve">A.18 Console output of the erasure-response-period witness</w:t>
      </w:r>
    </w:p>
    <w:p>
      <w:pPr>
        <w:pStyle w:val="FirstParagraph"/>
      </w:pPr>
      <w:r>
        <w:t xml:space="preserve">Produced by command 5. Reproduces </w:t>
      </w:r>
      <w:hyperlink w:anchor="tbl_5_5" w:history="1">
        <w:r>
          <w:rPr>
            <w:rStyle w:val="Hyperlink"/>
          </w:rPr>
          <w:t xml:space="preserve">Table 5.5</w:t>
        </w:r>
      </w:hyperlink>
      <w:r>
        <w:t xml:space="preserve">: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bookmarkEnd w:id="123"/>
    <w:bookmarkStart w:id="124"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bookmarkEnd w:id="124"/>
    <w:bookmarkStart w:id="125" w:name="X5da48627d0686fbeb7efde469c3b9929803edd5"/>
    <w:p>
      <w:pPr>
        <w:pStyle w:val="Heading2"/>
      </w:pPr>
      <w:r>
        <w:t xml:space="preserve">A.20 Console output of the cross-sector instance</w:t>
      </w:r>
    </w:p>
    <w:p>
      <w:pPr>
        <w:pStyle w:val="FirstParagraph"/>
      </w:pPr>
      <w:r>
        <w:t xml:space="preserve">Produced by the second command in 6, and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bookmarkEnd w:id="125"/>
    <w:bookmarkStart w:id="126"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6"/>
    <w:bookmarkStart w:id="127"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bookmarkEnd w:id="127"/>
    <w:bookmarkEnd w:id="128"/>
    <w:bookmarkStart w:id="135" w:name="appendix-b.-search-query-log"/>
    <w:p>
      <w:pPr>
        <w:pStyle w:val="Heading1"/>
      </w:pPr>
      <w:bookmarkStart w:id="1088" w:name="app_B"/>
      <w:r>
        <w:t xml:space="preserve">Appendix B. Search Query Log</w:t>
      </w:r>
      <w:bookmarkEnd w:id="1088"/>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w:t>
      </w:r>
      <w:hyperlink w:anchor="ch_2" w:history="1">
        <w:r>
          <w:rPr>
            <w:rStyle w:val="Hyperlink"/>
          </w:rPr>
          <w:t xml:space="preserve">Chapter 2</w:t>
        </w:r>
      </w:hyperlink>
      <w:r>
        <w:t xml:space="preserve">, </w:t>
      </w:r>
      <w:hyperlink w:anchor="sec_2_9" w:history="1">
        <w:r>
          <w:rPr>
            <w:rStyle w:val="Hyperlink"/>
          </w:rPr>
          <w:t xml:space="preserve">Section 2.9</w:t>
        </w:r>
      </w:hyperlink>
      <w:r>
        <w:t xml:space="preserve">. They are natural-language queries rather than Boolean strings, which is what the review actually used;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 states this and gives a Boolean replication protocol separately.</w:t>
      </w:r>
    </w:p>
    <w:bookmarkStart w:id="129" w:name="X1c7b8e7cdf46281783c18b02ca8b2002eb422aa"/>
    <w:p>
      <w:pPr>
        <w:pStyle w:val="Heading2"/>
      </w:pPr>
      <w:r>
        <w:t xml:space="preserve">Round 1: 25 May 2026 (landscape, infrastructure, regulatory baseline)</w:t>
      </w:r>
    </w:p>
    <w:p>
      <w:pPr>
        <w:pStyle w:val="Compact"/>
        <w:numPr>
          <w:ilvl w:val="0"/>
          <w:numId w:val="1007"/>
        </w:numPr>
      </w:pPr>
      <w:r>
        <w:rPr>
          <w:rStyle w:val="VerbatimChar"/>
        </w:rPr>
        <w:t xml:space="preserve">Norway electronic health record EHR infrastructure 2026 new regulations</w:t>
      </w:r>
    </w:p>
    <w:p>
      <w:pPr>
        <w:pStyle w:val="Compact"/>
        <w:numPr>
          <w:ilvl w:val="0"/>
          <w:numId w:val="1007"/>
        </w:numPr>
      </w:pPr>
      <w:r>
        <w:rPr>
          <w:rStyle w:val="VerbatimChar"/>
        </w:rPr>
        <w:t xml:space="preserve">MyHealth@EU cross-border patient summary how it works national contact point</w:t>
      </w:r>
    </w:p>
    <w:p>
      <w:pPr>
        <w:pStyle w:val="Compact"/>
        <w:numPr>
          <w:ilvl w:val="0"/>
          <w:numId w:val="1007"/>
        </w:numPr>
      </w:pPr>
      <w:r>
        <w:rPr>
          <w:rStyle w:val="VerbatimChar"/>
        </w:rPr>
        <w:t xml:space="preserve">eHDSI OpenNCP audit trail consent data minimisation HCP authorization IHE XCA</w:t>
      </w:r>
    </w:p>
    <w:p>
      <w:pPr>
        <w:pStyle w:val="Compact"/>
        <w:numPr>
          <w:ilvl w:val="0"/>
          <w:numId w:val="1007"/>
        </w:numPr>
      </w:pPr>
      <w:r>
        <w:rPr>
          <w:rStyle w:val="VerbatimChar"/>
        </w:rPr>
        <w:t xml:space="preserve">Norway Helsenorge kjernejournal architecture FHIR HL7 helseplattformen DIPS</w:t>
      </w:r>
    </w:p>
    <w:p>
      <w:pPr>
        <w:pStyle w:val="Compact"/>
        <w:numPr>
          <w:ilvl w:val="0"/>
          <w:numId w:val="1007"/>
        </w:numPr>
      </w:pPr>
      <w:r>
        <w:rPr>
          <w:rStyle w:val="VerbatimChar"/>
        </w:rPr>
        <w:t xml:space="preserve">European Health Data Space EHDS regulation 2025 primary secondary use timeline</w:t>
      </w:r>
    </w:p>
    <w:p>
      <w:pPr>
        <w:pStyle w:val="Compact"/>
        <w:numPr>
          <w:ilvl w:val="0"/>
          <w:numId w:val="1007"/>
        </w:numPr>
      </w:pPr>
      <w:r>
        <w:rPr>
          <w:rStyle w:val="VerbatimChar"/>
        </w:rPr>
        <w:t xml:space="preserve">Norway health data research innovation Helseanalyseplattformen Norwegian Centre HUNT BigMed</w:t>
      </w:r>
    </w:p>
    <w:p>
      <w:pPr>
        <w:pStyle w:val="Compact"/>
        <w:numPr>
          <w:ilvl w:val="0"/>
          <w:numId w:val="1007"/>
        </w:numPr>
      </w:pPr>
      <w:r>
        <w:rPr>
          <w:rStyle w:val="VerbatimChar"/>
        </w:rPr>
        <w:t xml:space="preserve">Norway Helsedataservice secondary use health data 2025 application portal Direktoratet for e-helse</w:t>
      </w:r>
    </w:p>
    <w:p>
      <w:pPr>
        <w:pStyle w:val="Compact"/>
        <w:numPr>
          <w:ilvl w:val="0"/>
          <w:numId w:val="1007"/>
        </w:numPr>
      </w:pPr>
      <w:r>
        <w:rPr>
          <w:rStyle w:val="VerbatimChar"/>
        </w:rPr>
        <w:t xml:space="preserve">Norwegian patient gets treated Spain ePrescription patient summary how process works</w:t>
      </w:r>
    </w:p>
    <w:p>
      <w:pPr>
        <w:pStyle w:val="Compact"/>
        <w:numPr>
          <w:ilvl w:val="0"/>
          <w:numId w:val="1007"/>
        </w:numPr>
      </w:pPr>
      <w:r>
        <w:rPr>
          <w:rStyle w:val="VerbatimChar"/>
        </w:rPr>
        <w:t xml:space="preserve">Norway MyHealth@EU national contact point eHealth go-live status 2025 2026</w:t>
      </w:r>
    </w:p>
    <w:p>
      <w:pPr>
        <w:pStyle w:val="Compact"/>
        <w:numPr>
          <w:ilvl w:val="0"/>
          <w:numId w:val="1007"/>
        </w:numPr>
      </w:pPr>
      <w:r>
        <w:rPr>
          <w:rStyle w:val="VerbatimChar"/>
        </w:rPr>
        <w:t xml:space="preserve">Norway AI medical imaging research 2025 federated learning health data</w:t>
      </w:r>
    </w:p>
    <w:p>
      <w:pPr>
        <w:pStyle w:val="Compact"/>
        <w:numPr>
          <w:ilvl w:val="0"/>
          <w:numId w:val="1007"/>
        </w:numPr>
      </w:pPr>
      <w:r>
        <w:rPr>
          <w:rStyle w:val="VerbatimChar"/>
        </w:rPr>
        <w:t xml:space="preserve">ZK-EHR zk-SNARK blockchain electronic health records MDPI Systems 2026</w:t>
      </w:r>
    </w:p>
    <w:p>
      <w:pPr>
        <w:pStyle w:val="Compact"/>
        <w:numPr>
          <w:ilvl w:val="0"/>
          <w:numId w:val="1007"/>
        </w:numPr>
      </w:pPr>
      <w:r>
        <w:rPr>
          <w:rStyle w:val="VerbatimChar"/>
        </w:rPr>
        <w:t xml:space="preserve">MDPI Systems \</w:t>
      </w:r>
    </w:p>
    <w:p>
      <w:pPr>
        <w:pStyle w:val="Compact"/>
        <w:numPr>
          <w:ilvl w:val="0"/>
          <w:numId w:val="1007"/>
        </w:numPr>
      </w:pPr>
      <w:r>
        <w:rPr>
          <w:rStyle w:val="VerbatimChar"/>
        </w:rPr>
        <w:t xml:space="preserve">KONFIDO project \</w:t>
      </w:r>
    </w:p>
    <w:p>
      <w:pPr>
        <w:pStyle w:val="Compact"/>
        <w:numPr>
          <w:ilvl w:val="0"/>
          <w:numId w:val="1007"/>
        </w:numPr>
      </w:pPr>
      <w:r>
        <w:rPr>
          <w:rStyle w:val="VerbatimChar"/>
        </w:rPr>
        <w:t xml:space="preserve">Helsedirektoratet EHDS European Health Data Space gap analysis Norway 2025</w:t>
      </w:r>
    </w:p>
    <w:p>
      <w:pPr>
        <w:pStyle w:val="Compact"/>
        <w:numPr>
          <w:ilvl w:val="0"/>
          <w:numId w:val="1007"/>
        </w:numPr>
      </w:pPr>
      <w:r>
        <w:rPr>
          <w:rStyle w:val="VerbatimChar"/>
        </w:rPr>
        <w:t xml:space="preserve">OpenNCP github repository ehdsi.europa.eu source code documentation NCP gateway</w:t>
      </w:r>
    </w:p>
    <w:p>
      <w:pPr>
        <w:pStyle w:val="Compact"/>
        <w:numPr>
          <w:ilvl w:val="0"/>
          <w:numId w:val="1007"/>
        </w:numPr>
      </w:pPr>
      <w:r>
        <w:rPr>
          <w:rStyle w:val="VerbatimChar"/>
        </w:rPr>
        <w:t xml:space="preserve">Norway AI Act implementation Nkom DigDir consultation 2025 h\u00f8ring Regulation 2024/1689</w:t>
      </w:r>
    </w:p>
    <w:bookmarkEnd w:id="129"/>
    <w:bookmarkStart w:id="130" w:name="X4a2a7d0c1e0e0ea8658fb362d79a91af0d4ac60"/>
    <w:p>
      <w:pPr>
        <w:pStyle w:val="Heading2"/>
      </w:pPr>
      <w:r>
        <w:t xml:space="preserve">Round 2: 29 May 2026 (verification and correction round)</w:t>
      </w:r>
    </w:p>
    <w:p>
      <w:pPr>
        <w:pStyle w:val="Compact"/>
        <w:numPr>
          <w:ilvl w:val="0"/>
          <w:numId w:val="1008"/>
        </w:numPr>
      </w:pPr>
      <w:r>
        <w:rPr>
          <w:rStyle w:val="VerbatimChar"/>
        </w:rPr>
        <w:t xml:space="preserve">SPUHiN \</w:t>
      </w:r>
    </w:p>
    <w:p>
      <w:pPr>
        <w:pStyle w:val="Compact"/>
        <w:numPr>
          <w:ilvl w:val="0"/>
          <w:numId w:val="1008"/>
        </w:numPr>
      </w:pPr>
      <w:r>
        <w:rPr>
          <w:rStyle w:val="VerbatimChar"/>
        </w:rPr>
        <w:t xml:space="preserve">EHDS implementation 2026 cross-border patient summary technical infrastructure Member State</w:t>
      </w:r>
    </w:p>
    <w:p>
      <w:pPr>
        <w:pStyle w:val="Compact"/>
        <w:numPr>
          <w:ilvl w:val="0"/>
          <w:numId w:val="1008"/>
        </w:numPr>
      </w:pPr>
      <w:r>
        <w:rPr>
          <w:rStyle w:val="VerbatimChar"/>
        </w:rPr>
        <w:t xml:space="preserve">IHE ATNA Audit Trail Node Authentication integration profile retention requirement</w:t>
      </w:r>
    </w:p>
    <w:p>
      <w:pPr>
        <w:pStyle w:val="Compact"/>
        <w:numPr>
          <w:ilvl w:val="0"/>
          <w:numId w:val="1008"/>
        </w:numPr>
      </w:pPr>
      <w:r>
        <w:rPr>
          <w:rStyle w:val="VerbatimChar"/>
        </w:rPr>
        <w:t xml:space="preserve">eHDSI MyHealth@EU audit log retention period years requirement</w:t>
      </w:r>
    </w:p>
    <w:p>
      <w:pPr>
        <w:pStyle w:val="Compact"/>
        <w:numPr>
          <w:ilvl w:val="0"/>
          <w:numId w:val="1008"/>
        </w:numPr>
      </w:pPr>
      <w:r>
        <w:rPr>
          <w:rStyle w:val="VerbatimChar"/>
        </w:rPr>
        <w:t xml:space="preserve">eHDSI security framework audit log retention specification cross-border European</w:t>
      </w:r>
    </w:p>
    <w:p>
      <w:pPr>
        <w:pStyle w:val="Compact"/>
        <w:numPr>
          <w:ilvl w:val="0"/>
          <w:numId w:val="1008"/>
        </w:numPr>
      </w:pPr>
      <w:r>
        <w:rPr>
          <w:rStyle w:val="VerbatimChar"/>
        </w:rPr>
        <w:t xml:space="preserve">GDPR Article 17 right erasure audit log retention healthcare EDPB guidance</w:t>
      </w:r>
    </w:p>
    <w:p>
      <w:pPr>
        <w:pStyle w:val="Compact"/>
        <w:numPr>
          <w:ilvl w:val="0"/>
          <w:numId w:val="1008"/>
        </w:numPr>
      </w:pPr>
      <w:r>
        <w:rPr>
          <w:rStyle w:val="VerbatimChar"/>
        </w:rPr>
        <w:t xml:space="preserve">cryptographic erasure audit log healthcare GDPR right to be forgotten academic</w:t>
      </w:r>
    </w:p>
    <w:p>
      <w:pPr>
        <w:pStyle w:val="Compact"/>
        <w:numPr>
          <w:ilvl w:val="0"/>
          <w:numId w:val="1008"/>
        </w:numPr>
      </w:pPr>
      <w:r>
        <w:rPr>
          <w:rStyle w:val="VerbatimChar"/>
        </w:rPr>
        <w:t xml:space="preserve">KONFIDO project OpenNCP architecture cross-border 2018 technical paper Natsiavas</w:t>
      </w:r>
    </w:p>
    <w:p>
      <w:pPr>
        <w:pStyle w:val="Compact"/>
        <w:numPr>
          <w:ilvl w:val="0"/>
          <w:numId w:val="1008"/>
        </w:numPr>
      </w:pPr>
      <w:r>
        <w:rPr>
          <w:rStyle w:val="VerbatimChar"/>
        </w:rPr>
        <w:t xml:space="preserve">zero-knowledge proof healthcare audit log verifiable revocation 2024 2025 2026</w:t>
      </w:r>
    </w:p>
    <w:p>
      <w:pPr>
        <w:pStyle w:val="Compact"/>
        <w:numPr>
          <w:ilvl w:val="0"/>
          <w:numId w:val="1008"/>
        </w:numPr>
      </w:pPr>
      <w:r>
        <w:rPr>
          <w:rStyle w:val="VerbatimChar"/>
        </w:rPr>
        <w:t xml:space="preserve">cryptographic accumulator commitment scheme revocation healthcare audit hash chain</w:t>
      </w:r>
    </w:p>
    <w:bookmarkEnd w:id="130"/>
    <w:bookmarkStart w:id="131" w:name="Xfe03fc85fed18cf0c2a2aedd5ecc7558e489de6"/>
    <w:p>
      <w:pPr>
        <w:pStyle w:val="Heading2"/>
      </w:pPr>
      <w:r>
        <w:t xml:space="preserve">Round 3: 15 September 2026 (resumption; novelty and currency)</w:t>
      </w:r>
    </w:p>
    <w:p>
      <w:pPr>
        <w:pStyle w:val="Compact"/>
        <w:numPr>
          <w:ilvl w:val="0"/>
          <w:numId w:val="1009"/>
        </w:numPr>
      </w:pPr>
      <w:r>
        <w:rPr>
          <w:rStyle w:val="VerbatimChar"/>
        </w:rPr>
        <w:t xml:space="preserve">Helsedataservice Norway secondary use access body workflow data permit registry</w:t>
      </w:r>
    </w:p>
    <w:p>
      <w:pPr>
        <w:pStyle w:val="Compact"/>
        <w:numPr>
          <w:ilvl w:val="0"/>
          <w:numId w:val="1009"/>
        </w:numPr>
      </w:pPr>
      <w:r>
        <w:rPr>
          <w:rStyle w:val="VerbatimChar"/>
        </w:rPr>
        <w:t xml:space="preserve">information logistics digital supply chain cross-border data flow regulatory compliance academic</w:t>
      </w:r>
    </w:p>
    <w:p>
      <w:pPr>
        <w:pStyle w:val="Compact"/>
        <w:numPr>
          <w:ilvl w:val="0"/>
          <w:numId w:val="1009"/>
        </w:numPr>
      </w:pPr>
      <w:r>
        <w:rPr>
          <w:rStyle w:val="VerbatimChar"/>
        </w:rPr>
        <w:t xml:space="preserve">Norwegian offshore workers health records cross-border medical exchange maritime logistics</w:t>
      </w:r>
    </w:p>
    <w:p>
      <w:pPr>
        <w:pStyle w:val="Compact"/>
        <w:numPr>
          <w:ilvl w:val="0"/>
          <w:numId w:val="1009"/>
        </w:numPr>
      </w:pPr>
      <w:r>
        <w:rPr>
          <w:rStyle w:val="VerbatimChar"/>
        </w:rPr>
        <w:t xml:space="preserve">formal model conflict audit log retention GDPR right to erasure constraint satisfaction</w:t>
      </w:r>
    </w:p>
    <w:p>
      <w:pPr>
        <w:pStyle w:val="Compact"/>
        <w:numPr>
          <w:ilvl w:val="0"/>
          <w:numId w:val="1009"/>
        </w:numPr>
      </w:pPr>
      <w:r>
        <w:rPr>
          <w:rStyle w:val="VerbatimChar"/>
        </w:rPr>
        <w:t xml:space="preserve">formal verification regulatory compliance conflicting retention requirements temporal logic healthcare audit</w:t>
      </w:r>
    </w:p>
    <w:p>
      <w:pPr>
        <w:pStyle w:val="Compact"/>
        <w:numPr>
          <w:ilvl w:val="0"/>
          <w:numId w:val="1009"/>
        </w:numPr>
      </w:pPr>
      <w:r>
        <w:rPr>
          <w:rStyle w:val="VerbatimChar"/>
        </w:rPr>
        <w:t xml:space="preserve">operations research optimization model data governance compliance reconciliation supply chain regulatory constraints</w:t>
      </w:r>
    </w:p>
    <w:p>
      <w:pPr>
        <w:pStyle w:val="Compact"/>
        <w:numPr>
          <w:ilvl w:val="0"/>
          <w:numId w:val="1009"/>
        </w:numPr>
      </w:pPr>
      <w:r>
        <w:rPr>
          <w:rStyle w:val="VerbatimChar"/>
        </w:rPr>
        <w:t xml:space="preserve">thesis chapter 3 TRF model formal specification VERA-SNARK</w:t>
      </w:r>
    </w:p>
    <w:p>
      <w:pPr>
        <w:pStyle w:val="Compact"/>
        <w:numPr>
          <w:ilvl w:val="0"/>
          <w:numId w:val="1009"/>
        </w:numPr>
      </w:pPr>
      <w:r>
        <w:rPr>
          <w:rStyle w:val="VerbatimChar"/>
        </w:rPr>
        <w:t xml:space="preserve">TRF model gate feasibility theorem crypto-erasure invalidation chapter 4</w:t>
      </w:r>
    </w:p>
    <w:p>
      <w:pPr>
        <w:pStyle w:val="Compact"/>
        <w:numPr>
          <w:ilvl w:val="0"/>
          <w:numId w:val="1009"/>
        </w:numPr>
      </w:pPr>
      <w:r>
        <w:rPr>
          <w:rStyle w:val="VerbatimChar"/>
        </w:rPr>
        <w:t xml:space="preserve">Norge EHDS E\u00d8S gjennomf\u00f8ring helsedata juni 2026</w:t>
      </w:r>
    </w:p>
    <w:p>
      <w:pPr>
        <w:pStyle w:val="Compact"/>
        <w:numPr>
          <w:ilvl w:val="0"/>
          <w:numId w:val="1009"/>
        </w:numPr>
      </w:pPr>
      <w:r>
        <w:rPr>
          <w:rStyle w:val="VerbatimChar"/>
        </w:rPr>
        <w:t xml:space="preserve">Google Drive read file content</w:t>
      </w:r>
    </w:p>
    <w:bookmarkEnd w:id="131"/>
    <w:bookmarkStart w:id="132" w:name="X42e6240ce94ac92875ca4170810e6341d8d647c"/>
    <w:p>
      <w:pPr>
        <w:pStyle w:val="Heading2"/>
      </w:pPr>
      <w:r>
        <w:t xml:space="preserve">Round 4: 16 September 2026 (adversarial novelty, prior art, currency)</w:t>
      </w:r>
    </w:p>
    <w:p>
      <w:pPr>
        <w:pStyle w:val="Compact"/>
        <w:numPr>
          <w:ilvl w:val="0"/>
          <w:numId w:val="1010"/>
        </w:numPr>
      </w:pPr>
      <w:r>
        <w:rPr>
          <w:rStyle w:val="VerbatimChar"/>
        </w:rPr>
        <w:t xml:space="preserve">EHDS secondary use audit log retention erasure 2026 IEEE Scopus formal compliance health data</w:t>
      </w:r>
    </w:p>
    <w:p>
      <w:pPr>
        <w:pStyle w:val="Compact"/>
        <w:numPr>
          <w:ilvl w:val="0"/>
          <w:numId w:val="1010"/>
        </w:numPr>
      </w:pPr>
      <w:r>
        <w:rPr>
          <w:rStyle w:val="VerbatimChar"/>
        </w:rPr>
        <w:t xml:space="preserve">"retention conflict" OR "conflicting retention" cryptographic erasure formal model 2026 arXiv</w:t>
      </w:r>
    </w:p>
    <w:p>
      <w:pPr>
        <w:pStyle w:val="Compact"/>
        <w:numPr>
          <w:ilvl w:val="0"/>
          <w:numId w:val="1010"/>
        </w:numPr>
      </w:pPr>
      <w:r>
        <w:rPr>
          <w:rStyle w:val="VerbatimChar"/>
        </w:rPr>
        <w:t xml:space="preserve">EUR-Lex 2025/327 Article 73 secure processing environment "keeping of identifiable logs" access activities year</w:t>
      </w:r>
    </w:p>
    <w:p>
      <w:pPr>
        <w:pStyle w:val="Compact"/>
        <w:numPr>
          <w:ilvl w:val="0"/>
          <w:numId w:val="1010"/>
        </w:numPr>
      </w:pPr>
      <w:r>
        <w:rPr>
          <w:rStyle w:val="VerbatimChar"/>
        </w:rPr>
        <w:t xml:space="preserve">Regulation 2025/327 EHDS entry into force 26 March 2025 application date Article 105 staggered 2029</w:t>
      </w:r>
    </w:p>
    <w:p>
      <w:pPr>
        <w:pStyle w:val="Compact"/>
        <w:numPr>
          <w:ilvl w:val="0"/>
          <w:numId w:val="1010"/>
        </w:numPr>
      </w:pPr>
      <w:r>
        <w:rPr>
          <w:rStyle w:val="VerbatimChar"/>
        </w:rPr>
        <w:t xml:space="preserve">EDPB Guidelines 02/2025 blockchain personal data final version adopted after public consultation</w:t>
      </w:r>
    </w:p>
    <w:p>
      <w:pPr>
        <w:pStyle w:val="Compact"/>
        <w:numPr>
          <w:ilvl w:val="0"/>
          <w:numId w:val="1010"/>
        </w:numPr>
      </w:pPr>
      <w:r>
        <w:rPr>
          <w:rStyle w:val="VerbatimChar"/>
        </w:rPr>
        <w:t xml:space="preserve">TEHDAS2 deliverable secure processing environment technical specifications 2026 D7 tehdas.eu</w:t>
      </w:r>
    </w:p>
    <w:p>
      <w:pPr>
        <w:pStyle w:val="Compact"/>
        <w:numPr>
          <w:ilvl w:val="0"/>
          <w:numId w:val="1010"/>
        </w:numPr>
      </w:pPr>
      <w:r>
        <w:rPr>
          <w:rStyle w:val="VerbatimChar"/>
        </w:rPr>
        <w:t xml:space="preserve">eHOMB eHealth Operational Management Board Norway ePrescription without eDispensation change proposal requirement catalogue approved</w:t>
      </w:r>
    </w:p>
    <w:p>
      <w:pPr>
        <w:pStyle w:val="Compact"/>
        <w:numPr>
          <w:ilvl w:val="0"/>
          <w:numId w:val="1010"/>
        </w:numPr>
      </w:pPr>
      <w:r>
        <w:rPr>
          <w:rStyle w:val="VerbatimChar"/>
        </w:rPr>
        <w:t xml:space="preserve">EHDS Article 68 paragraph 12 "data permit" delete personal electronic health data secure processing environment six months expiry</w:t>
      </w:r>
    </w:p>
    <w:p>
      <w:pPr>
        <w:pStyle w:val="Compact"/>
        <w:numPr>
          <w:ilvl w:val="0"/>
          <w:numId w:val="1010"/>
        </w:numPr>
      </w:pPr>
      <w:r>
        <w:rPr>
          <w:rStyle w:val="VerbatimChar"/>
        </w:rPr>
        <w:t xml:space="preserve">Walonoski Synthea synthetic patient generator JAMIA 2018 25(3) 230-238</w:t>
      </w:r>
    </w:p>
    <w:p>
      <w:pPr>
        <w:pStyle w:val="Compact"/>
        <w:numPr>
          <w:ilvl w:val="0"/>
          <w:numId w:val="1010"/>
        </w:numPr>
      </w:pPr>
      <w:r>
        <w:rPr>
          <w:rStyle w:val="VerbatimChar"/>
        </w:rPr>
        <w:t xml:space="preserve">validity synthetic clinical data Synthea validation clinical quality measures limitations</w:t>
      </w:r>
    </w:p>
    <w:p>
      <w:pPr>
        <w:pStyle w:val="Compact"/>
        <w:numPr>
          <w:ilvl w:val="0"/>
          <w:numId w:val="1010"/>
        </w:numPr>
      </w:pPr>
      <w:r>
        <w:rPr>
          <w:rStyle w:val="VerbatimChar"/>
        </w:rPr>
        <w:t xml:space="preserve">HL7 Norway basisprofiler FHIR R4 no-basis 2026 status</w:t>
      </w:r>
    </w:p>
    <w:p>
      <w:pPr>
        <w:pStyle w:val="Compact"/>
        <w:numPr>
          <w:ilvl w:val="0"/>
          <w:numId w:val="1010"/>
        </w:numPr>
      </w:pPr>
      <w:r>
        <w:rPr>
          <w:rStyle w:val="VerbatimChar"/>
        </w:rPr>
        <w:t xml:space="preserve">Datatilsynet NIF Norges idrettsforbund vedtak syntetiske testdata personopplysninger test</w:t>
      </w:r>
    </w:p>
    <w:p>
      <w:pPr>
        <w:pStyle w:val="Compact"/>
        <w:numPr>
          <w:ilvl w:val="0"/>
          <w:numId w:val="1010"/>
        </w:numPr>
      </w:pPr>
      <w:r>
        <w:rPr>
          <w:rStyle w:val="VerbatimChar"/>
        </w:rPr>
        <w:t xml:space="preserve">Peffers Tuunanen Rothenberger Chatterjee design science research methodology Journal of Management Information Systems 2007 24 3 45-77</w:t>
      </w:r>
    </w:p>
    <w:p>
      <w:pPr>
        <w:pStyle w:val="Compact"/>
        <w:numPr>
          <w:ilvl w:val="0"/>
          <w:numId w:val="1010"/>
        </w:numPr>
      </w:pPr>
      <w:r>
        <w:rPr>
          <w:rStyle w:val="VerbatimChar"/>
        </w:rPr>
        <w:t xml:space="preserve">NIST SP 800-88 Revision 2 media sanitization published date 2025 draft final</w:t>
      </w:r>
    </w:p>
    <w:p>
      <w:pPr>
        <w:pStyle w:val="Compact"/>
        <w:numPr>
          <w:ilvl w:val="0"/>
          <w:numId w:val="1010"/>
        </w:numPr>
      </w:pPr>
      <w:r>
        <w:rPr>
          <w:rStyle w:val="VerbatimChar"/>
        </w:rPr>
        <w:t xml:space="preserve">Norge MyHealth@EU pasientsammendrag pilot Bodø Stjørdal legevakt Portugal Tsjekkia Finland</w:t>
      </w:r>
    </w:p>
    <w:p>
      <w:pPr>
        <w:pStyle w:val="Compact"/>
        <w:numPr>
          <w:ilvl w:val="0"/>
          <w:numId w:val="1010"/>
        </w:numPr>
      </w:pPr>
      <w:r>
        <w:rPr>
          <w:rStyle w:val="VerbatimChar"/>
        </w:rPr>
        <w:t xml:space="preserve">EHDS implementing acts 2026 secure processing environment specifications adopted status</w:t>
      </w:r>
    </w:p>
    <w:p>
      <w:pPr>
        <w:pStyle w:val="Compact"/>
        <w:numPr>
          <w:ilvl w:val="0"/>
          <w:numId w:val="1010"/>
        </w:numPr>
      </w:pPr>
      <w:r>
        <w:rPr>
          <w:rStyle w:val="VerbatimChar"/>
        </w:rPr>
        <w:t xml:space="preserve">eprint 2026/1109 SoK cryptographic erasure public ledgers Destruction-IND</w:t>
      </w:r>
    </w:p>
    <w:p>
      <w:pPr>
        <w:pStyle w:val="Compact"/>
        <w:numPr>
          <w:ilvl w:val="0"/>
          <w:numId w:val="1010"/>
        </w:numPr>
      </w:pPr>
      <w:r>
        <w:rPr>
          <w:rStyle w:val="VerbatimChar"/>
        </w:rPr>
        <w:t xml:space="preserve">GDPR Article 12(3) one month respond erasure request extension two months</w:t>
      </w:r>
    </w:p>
    <w:p>
      <w:pPr>
        <w:pStyle w:val="Compact"/>
        <w:numPr>
          <w:ilvl w:val="0"/>
          <w:numId w:val="1010"/>
        </w:numPr>
      </w:pPr>
      <w:r>
        <w:rPr>
          <w:rStyle w:val="VerbatimChar"/>
        </w:rPr>
        <w:t xml:space="preserve">SPUHiN D5.2 recommendations minimum requirements secure processing final helsedirektoratet</w:t>
      </w:r>
    </w:p>
    <w:p>
      <w:pPr>
        <w:pStyle w:val="Compact"/>
        <w:numPr>
          <w:ilvl w:val="0"/>
          <w:numId w:val="1010"/>
        </w:numPr>
      </w:pPr>
      <w:r>
        <w:rPr>
          <w:rStyle w:val="VerbatimChar"/>
        </w:rPr>
        <w:t xml:space="preserve">Reardon Basin Capkun SoK secure data deletion 2013 IEEE</w:t>
      </w:r>
    </w:p>
    <w:p>
      <w:pPr>
        <w:pStyle w:val="Compact"/>
        <w:numPr>
          <w:ilvl w:val="0"/>
          <w:numId w:val="1010"/>
        </w:numPr>
      </w:pPr>
      <w:r>
        <w:rPr>
          <w:rStyle w:val="VerbatimChar"/>
        </w:rPr>
        <w:t xml:space="preserve">Finck blockchain GDPR European Parliament study 2019 can distributed ledgers be squared right erasure</w:t>
      </w:r>
    </w:p>
    <w:p>
      <w:pPr>
        <w:pStyle w:val="Compact"/>
        <w:numPr>
          <w:ilvl w:val="0"/>
          <w:numId w:val="1010"/>
        </w:numPr>
      </w:pPr>
      <w:r>
        <w:rPr>
          <w:rStyle w:val="VerbatimChar"/>
        </w:rPr>
        <w:t xml:space="preserve">Datatilsynet sletting anonymisering kryptering personopplysninger krav</w:t>
      </w:r>
    </w:p>
    <w:p>
      <w:pPr>
        <w:pStyle w:val="Compact"/>
        <w:numPr>
          <w:ilvl w:val="0"/>
          <w:numId w:val="1010"/>
        </w:numPr>
      </w:pPr>
      <w:r>
        <w:rPr>
          <w:rStyle w:val="VerbatimChar"/>
        </w:rPr>
        <w:t xml:space="preserve">formal model audit retention versus erasure crypto-shredding paper 2026</w:t>
      </w:r>
    </w:p>
    <w:bookmarkEnd w:id="132"/>
    <w:bookmarkStart w:id="133"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 verified</w:t>
            </w:r>
          </w:p>
        </w:tc>
        <w:tc>
          <w:tcPr>
            <w:tcBorders>
              <w:bottom w:val="single" w:sz="8" w:space="0" w:color="333333"/>
            </w:tcBorders>
            <w:shd w:val="clear" w:color="auto" w:fill="E8EDF4"/>
          </w:tcPr>
          <w:p>
            <w:pPr>
              <w:pStyle w:val="Compact"/>
              <w:jc w:val="left"/>
            </w:pPr>
            <w:r>
              <w:rPr>
                <w:b/>
                <w:sz w:val="20"/>
                <w:szCs w:val="20"/>
              </w:rPr>
              <w:t xml:space="preserve">Outcome</w:t>
            </w:r>
          </w:p>
        </w:tc>
      </w:tr>
      <w:tr>
        <w:trPr>
          <w:cantSplit/>
        </w:trPr>
        <w:tc>
          <w:tcPr/>
          <w:p>
            <w:pPr>
              <w:pStyle w:val="Compact"/>
              <w:jc w:val="left"/>
            </w:pPr>
            <w:r>
              <w:rPr>
                <w:sz w:val="20"/>
                <w:szCs w:val="20"/>
              </w:rPr>
              <w:t xml:space="preserve">60</w:t>
            </w:r>
          </w:p>
        </w:tc>
        <w:tc>
          <w:tcPr/>
          <w:p>
            <w:pPr>
              <w:pStyle w:val="Compact"/>
              <w:jc w:val="left"/>
            </w:pPr>
            <w:r>
              <w:rPr>
                <w:sz w:val="20"/>
                <w:szCs w:val="20"/>
              </w:rPr>
              <w:t xml:space="preserve">European Commission EHDS Regulation page, and whether a separate</w:t>
            </w:r>
            <w:r>
              <w:rPr>
                <w:sz w:val="20"/>
                <w:szCs w:val="20"/>
              </w:rPr>
              <w:t xml:space="preserve"> </w:t>
            </w:r>
            <w:r>
              <w:rPr>
                <w:iCs/>
                <w:i/>
                <w:sz w:val="20"/>
                <w:szCs w:val="20"/>
              </w:rPr>
              <w:t xml:space="preserve">Implementation calendar</w:t>
            </w:r>
            <w:r>
              <w:rPr>
                <w:sz w:val="20"/>
                <w:szCs w:val="20"/>
              </w:rPr>
              <w:t xml:space="preserve"> </w:t>
            </w:r>
            <w:r>
              <w:rPr>
                <w:sz w:val="20"/>
                <w:szCs w:val="20"/>
              </w:rPr>
              <w:t xml:space="preserve">document exists</w:t>
            </w:r>
          </w:p>
        </w:tc>
        <w:tc>
          <w:tcPr/>
          <w:p>
            <w:pPr>
              <w:pStyle w:val="Compact"/>
              <w:jc w:val="left"/>
            </w:pPr>
            <w:r>
              <w:rPr>
                <w:bCs/>
                <w:b/>
                <w:sz w:val="20"/>
                <w:szCs w:val="20"/>
              </w:rPr>
              <w:t xml:space="preserve">No such document.</w:t>
            </w:r>
            <w:r>
              <w:rPr>
                <w:sz w:val="20"/>
                <w:szCs w:val="20"/>
              </w:rPr>
              <w:t xml:space="preserve"> </w:t>
            </w:r>
            <w:r>
              <w:rPr>
                <w:sz w:val="20"/>
                <w:szCs w:val="20"/>
              </w:rPr>
              <w:t xml:space="preserve">The milestones are a section of the Regulation page headed</w:t>
            </w:r>
            <w:r>
              <w:rPr>
                <w:sz w:val="20"/>
                <w:szCs w:val="20"/>
              </w:rPr>
              <w:t xml:space="preserve"> </w:t>
            </w:r>
            <w:r>
              <w:rPr>
                <w:sz w:val="20"/>
                <w:szCs w:val="20"/>
              </w:rPr>
              <w:t xml:space="preserve">“</w:t>
            </w:r>
            <w:r>
              <w:rPr>
                <w:sz w:val="20"/>
                <w:szCs w:val="20"/>
              </w:rPr>
              <w:t xml:space="preserve">Key milestones towards full implementation</w:t>
            </w:r>
            <w:r>
              <w:rPr>
                <w:sz w:val="20"/>
                <w:szCs w:val="20"/>
              </w:rPr>
              <w:t xml:space="preserve">”</w:t>
            </w:r>
            <w:r>
              <w:rPr>
                <w:sz w:val="20"/>
                <w:szCs w:val="20"/>
              </w:rPr>
              <w:t xml:space="preserve">. Entry removed</w:t>
            </w:r>
          </w:p>
        </w:tc>
      </w:tr>
      <w:tr>
        <w:trPr>
          <w:cantSplit/>
        </w:trPr>
        <w:tc>
          <w:tcPr/>
          <w:p>
            <w:pPr>
              <w:pStyle w:val="Compact"/>
              <w:jc w:val="left"/>
            </w:pPr>
            <w:r>
              <w:rPr>
                <w:sz w:val="20"/>
                <w:szCs w:val="20"/>
              </w:rPr>
              <w:t xml:space="preserve">61</w:t>
            </w:r>
          </w:p>
        </w:tc>
        <w:tc>
          <w:tcPr/>
          <w:p>
            <w:pPr>
              <w:pStyle w:val="Compact"/>
              <w:jc w:val="left"/>
            </w:pPr>
            <w:r>
              <w:rPr>
                <w:sz w:val="20"/>
                <w:szCs w:val="20"/>
              </w:rPr>
              <w:t xml:space="preserve">Helsedirektoratet national e-health portfolio, MyHealth@EU measures</w:t>
            </w:r>
          </w:p>
        </w:tc>
        <w:tc>
          <w:tcPr/>
          <w:p>
            <w:pPr>
              <w:pStyle w:val="Compact"/>
              <w:jc w:val="left"/>
            </w:pPr>
            <w:r>
              <w:rPr>
                <w:sz w:val="20"/>
                <w:szCs w:val="20"/>
              </w:rPr>
              <w:t xml:space="preserve">The</w:t>
            </w:r>
            <w:r>
              <w:rPr>
                <w:sz w:val="20"/>
                <w:szCs w:val="20"/>
              </w:rPr>
              <w:t xml:space="preserve"> </w:t>
            </w:r>
            <w:r>
              <w:rPr>
                <w:iCs/>
                <w:i/>
                <w:sz w:val="20"/>
                <w:szCs w:val="20"/>
              </w:rPr>
              <w:t xml:space="preserve">Norsk helsenett</w:t>
            </w:r>
            <w:r>
              <w:rPr>
                <w:sz w:val="20"/>
                <w:szCs w:val="20"/>
              </w:rPr>
              <w:t xml:space="preserve"> </w:t>
            </w:r>
            <w:r>
              <w:rPr>
                <w:sz w:val="20"/>
                <w:szCs w:val="20"/>
              </w:rPr>
              <w:t xml:space="preserve">measure returns HTTP 404 and no live equivalent exists; the portfolio lists Helsedirektoratet and KS measures only. Entry removed</w:t>
            </w:r>
          </w:p>
        </w:tc>
      </w:tr>
      <w:tr>
        <w:trPr>
          <w:cantSplit/>
        </w:trPr>
        <w:tc>
          <w:tcPr/>
          <w:p>
            <w:pPr>
              <w:pStyle w:val="Compact"/>
              <w:jc w:val="left"/>
            </w:pPr>
            <w:r>
              <w:rPr>
                <w:sz w:val="20"/>
                <w:szCs w:val="20"/>
              </w:rPr>
              <w:t xml:space="preserve">62</w:t>
            </w:r>
          </w:p>
        </w:tc>
        <w:tc>
          <w:tcPr/>
          <w:p>
            <w:pPr>
              <w:pStyle w:val="Compact"/>
              <w:jc w:val="left"/>
            </w:pPr>
            <w:r>
              <w:rPr>
                <w:sz w:val="20"/>
                <w:szCs w:val="20"/>
              </w:rPr>
              <w:t xml:space="preserve">IHE ITI Technical Framework Volume 1 Chapter 9, revision and date</w:t>
            </w:r>
          </w:p>
        </w:tc>
        <w:tc>
          <w:tcPr/>
          <w:p>
            <w:pPr>
              <w:pStyle w:val="Compact"/>
              <w:jc w:val="left"/>
            </w:pPr>
            <w:r>
              <w:rPr>
                <w:sz w:val="20"/>
                <w:szCs w:val="20"/>
              </w:rPr>
              <w:t xml:space="preserve">Revision 20.0, 4 August 2023, Final Text. The cited year 2024 was wrong and was corrected</w:t>
            </w:r>
          </w:p>
        </w:tc>
      </w:tr>
      <w:tr>
        <w:trPr>
          <w:cantSplit/>
        </w:trPr>
        <w:tc>
          <w:tcPr/>
          <w:p>
            <w:pPr>
              <w:pStyle w:val="Compact"/>
              <w:jc w:val="left"/>
            </w:pPr>
            <w:r>
              <w:rPr>
                <w:sz w:val="20"/>
                <w:szCs w:val="20"/>
              </w:rPr>
              <w:t xml:space="preserve">63</w:t>
            </w:r>
          </w:p>
        </w:tc>
        <w:tc>
          <w:tcPr/>
          <w:p>
            <w:pPr>
              <w:pStyle w:val="Compact"/>
              <w:jc w:val="left"/>
            </w:pPr>
            <w:r>
              <w:rPr>
                <w:sz w:val="20"/>
                <w:szCs w:val="20"/>
              </w:rPr>
              <w:t xml:space="preserve">VeritasChain Standards Organization, legal standing and accreditation</w:t>
            </w:r>
          </w:p>
        </w:tc>
        <w:tc>
          <w:tcPr/>
          <w:p>
            <w:pPr>
              <w:pStyle w:val="Compact"/>
              <w:jc w:val="left"/>
            </w:pPr>
            <w:r>
              <w:rPr>
                <w:sz w:val="20"/>
                <w:szCs w:val="20"/>
              </w:rPr>
              <w:t xml:space="preserve">Founded 24 November 2025; not a registered legal entity; operationally supported by VeritasChain Inc.; states it is</w:t>
            </w:r>
            <w:r>
              <w:rPr>
                <w:sz w:val="20"/>
                <w:szCs w:val="20"/>
              </w:rPr>
              <w:t xml:space="preserve"> </w:t>
            </w:r>
            <w:r>
              <w:rPr>
                <w:sz w:val="20"/>
                <w:szCs w:val="20"/>
              </w:rPr>
              <w:t xml:space="preserve">“</w:t>
            </w:r>
            <w:r>
              <w:rPr>
                <w:sz w:val="20"/>
                <w:szCs w:val="20"/>
              </w:rPr>
              <w:t xml:space="preserve">aspiring to be</w:t>
            </w:r>
            <w:r>
              <w:rPr>
                <w:sz w:val="20"/>
                <w:szCs w:val="20"/>
              </w:rPr>
              <w:t xml:space="preserve">”</w:t>
            </w:r>
            <w:r>
              <w:rPr>
                <w:sz w:val="20"/>
                <w:szCs w:val="20"/>
              </w:rPr>
              <w:t xml:space="preserve"> </w:t>
            </w:r>
            <w:r>
              <w:rPr>
                <w:sz w:val="20"/>
                <w:szCs w:val="20"/>
              </w:rPr>
              <w:t xml:space="preserve">comparable to ISO, IEEE and IETF. Retained with its standing stated, not as a standards body</w:t>
            </w:r>
          </w:p>
        </w:tc>
      </w:tr>
      <w:tr>
        <w:trPr>
          <w:cantSplit/>
        </w:trPr>
        <w:tc>
          <w:tcPr/>
          <w:p>
            <w:pPr>
              <w:pStyle w:val="Compact"/>
              <w:jc w:val="left"/>
            </w:pPr>
            <w:r>
              <w:rPr>
                <w:sz w:val="20"/>
                <w:szCs w:val="20"/>
              </w:rPr>
              <w:t xml:space="preserve">64</w:t>
            </w:r>
          </w:p>
        </w:tc>
        <w:tc>
          <w:tcPr/>
          <w:p>
            <w:pPr>
              <w:pStyle w:val="Compact"/>
              <w:jc w:val="left"/>
            </w:pPr>
            <w:r>
              <w:rPr>
                <w:sz w:val="20"/>
                <w:szCs w:val="20"/>
              </w:rPr>
              <w:t xml:space="preserve">helsedata.no, the page cited as</w:t>
            </w:r>
            <w:r>
              <w:rPr>
                <w:sz w:val="20"/>
                <w:szCs w:val="20"/>
              </w:rPr>
              <w:t xml:space="preserve"> </w:t>
            </w:r>
            <w:r>
              <w:rPr>
                <w:iCs/>
                <w:i/>
                <w:sz w:val="20"/>
                <w:szCs w:val="20"/>
              </w:rPr>
              <w:t xml:space="preserve">Application workflow and fees</w:t>
            </w:r>
          </w:p>
        </w:tc>
        <w:tc>
          <w:tcPr/>
          <w:p>
            <w:pPr>
              <w:pStyle w:val="Compact"/>
              <w:jc w:val="left"/>
            </w:pPr>
            <w:r>
              <w:rPr>
                <w:sz w:val="20"/>
                <w:szCs w:val="20"/>
              </w:rPr>
              <w:t xml:space="preserve">No page of that title. The page is</w:t>
            </w:r>
            <w:r>
              <w:rPr>
                <w:sz w:val="20"/>
                <w:szCs w:val="20"/>
              </w:rPr>
              <w:t xml:space="preserve"> </w:t>
            </w:r>
            <w:r>
              <w:rPr>
                <w:iCs/>
                <w:i/>
                <w:sz w:val="20"/>
                <w:szCs w:val="20"/>
              </w:rPr>
              <w:t xml:space="preserve">Fees and processing times</w:t>
            </w:r>
            <w:r>
              <w:rPr>
                <w:sz w:val="20"/>
                <w:szCs w:val="20"/>
              </w:rPr>
              <w:t xml:space="preserve"> </w:t>
            </w:r>
            <w:r>
              <w:rPr>
                <w:sz w:val="20"/>
                <w:szCs w:val="20"/>
              </w:rPr>
              <w:t xml:space="preserve">and carries no publication year</w:t>
            </w:r>
          </w:p>
        </w:tc>
      </w:tr>
      <w:tr>
        <w:trPr>
          <w:cantSplit/>
        </w:trPr>
        <w:tc>
          <w:tcPr/>
          <w:p>
            <w:pPr>
              <w:pStyle w:val="Compact"/>
              <w:jc w:val="left"/>
            </w:pPr>
            <w:r>
              <w:rPr>
                <w:sz w:val="20"/>
                <w:szCs w:val="20"/>
              </w:rPr>
              <w:t xml:space="preserve">65</w:t>
            </w:r>
          </w:p>
        </w:tc>
        <w:tc>
          <w:tcPr/>
          <w:p>
            <w:pPr>
              <w:pStyle w:val="Compact"/>
              <w:jc w:val="left"/>
            </w:pPr>
            <w:r>
              <w:rPr>
                <w:sz w:val="20"/>
                <w:szCs w:val="20"/>
              </w:rPr>
              <w:t xml:space="preserve">TEHDAS2 deliverable D6.3, version and date</w:t>
            </w:r>
          </w:p>
        </w:tc>
        <w:tc>
          <w:tcPr/>
          <w:p>
            <w:pPr>
              <w:pStyle w:val="Compact"/>
              <w:jc w:val="left"/>
            </w:pPr>
            <w:r>
              <w:rPr>
                <w:sz w:val="20"/>
                <w:szCs w:val="20"/>
              </w:rPr>
              <w:t xml:space="preserve">The final is Version 2.0, 24 February 2026; the 2025 document is Version 1.5, a final draft. Dated accordingly</w:t>
            </w:r>
          </w:p>
        </w:tc>
      </w:tr>
      <w:tr>
        <w:trPr>
          <w:cantSplit/>
        </w:trPr>
        <w:tc>
          <w:tcPr/>
          <w:p>
            <w:pPr>
              <w:pStyle w:val="Compact"/>
              <w:jc w:val="left"/>
            </w:pPr>
            <w:r>
              <w:rPr>
                <w:sz w:val="20"/>
                <w:szCs w:val="20"/>
              </w:rPr>
              <w:t xml:space="preserve">66</w:t>
            </w:r>
          </w:p>
        </w:tc>
        <w:tc>
          <w:tcPr/>
          <w:p>
            <w:pPr>
              <w:pStyle w:val="Compact"/>
              <w:jc w:val="left"/>
            </w:pPr>
            <w:r>
              <w:rPr>
                <w:sz w:val="20"/>
                <w:szCs w:val="20"/>
              </w:rPr>
              <w:t xml:space="preserve">Journal of Data Intelligence 3(1), Scope et al.</w:t>
            </w:r>
          </w:p>
        </w:tc>
        <w:tc>
          <w:tcPr/>
          <w:p>
            <w:pPr>
              <w:pStyle w:val="Compact"/>
              <w:jc w:val="left"/>
            </w:pPr>
            <w:r>
              <w:rPr>
                <w:sz w:val="20"/>
                <w:szCs w:val="20"/>
              </w:rPr>
              <w:t xml:space="preserve">Pages 149–168, added. No DOI is issued by the publisher</w:t>
            </w:r>
          </w:p>
        </w:tc>
      </w:tr>
      <w:tr>
        <w:trPr>
          <w:cantSplit/>
        </w:trPr>
        <w:tc>
          <w:tcPr/>
          <w:p>
            <w:pPr>
              <w:pStyle w:val="Compact"/>
              <w:jc w:val="left"/>
            </w:pPr>
            <w:r>
              <w:rPr>
                <w:sz w:val="20"/>
                <w:szCs w:val="20"/>
              </w:rPr>
              <w:t xml:space="preserve">67</w:t>
            </w:r>
          </w:p>
        </w:tc>
        <w:tc>
          <w:tcPr/>
          <w:p>
            <w:pPr>
              <w:pStyle w:val="Compact"/>
              <w:jc w:val="left"/>
            </w:pPr>
            <w:r>
              <w:rPr>
                <w:sz w:val="20"/>
                <w:szCs w:val="20"/>
              </w:rPr>
              <w:t xml:space="preserve">Finck (2019) European Parliament STOA study</w:t>
            </w:r>
          </w:p>
        </w:tc>
        <w:tc>
          <w:tcPr/>
          <w:p>
            <w:pPr>
              <w:pStyle w:val="Compact"/>
              <w:jc w:val="left"/>
            </w:pPr>
            <w:r>
              <w:rPr>
                <w:sz w:val="20"/>
                <w:szCs w:val="20"/>
              </w:rPr>
              <w:t xml:space="preserve">DOI 10.2861/535, PE 634.445</w:t>
            </w:r>
          </w:p>
        </w:tc>
      </w:tr>
      <w:tr>
        <w:trPr>
          <w:cantSplit/>
        </w:trPr>
        <w:tc>
          <w:tcPr/>
          <w:p>
            <w:pPr>
              <w:pStyle w:val="Compact"/>
              <w:jc w:val="left"/>
            </w:pPr>
            <w:r>
              <w:rPr>
                <w:sz w:val="20"/>
                <w:szCs w:val="20"/>
              </w:rPr>
              <w:t xml:space="preserve">68</w:t>
            </w:r>
          </w:p>
        </w:tc>
        <w:tc>
          <w:tcPr/>
          <w:p>
            <w:pPr>
              <w:pStyle w:val="Compact"/>
              <w:jc w:val="left"/>
            </w:pPr>
            <w:r>
              <w:rPr>
                <w:sz w:val="20"/>
                <w:szCs w:val="20"/>
              </w:rPr>
              <w:t xml:space="preserve">United States Patent 12,425,209</w:t>
            </w:r>
          </w:p>
        </w:tc>
        <w:tc>
          <w:tcPr/>
          <w:p>
            <w:pPr>
              <w:pStyle w:val="Compact"/>
              <w:jc w:val="left"/>
            </w:pPr>
            <w:r>
              <w:rPr>
                <w:sz w:val="20"/>
                <w:szCs w:val="20"/>
              </w:rPr>
              <w:t xml:space="preserve">Confirmed: kind code B2, granted 23 September 2025, inventors Scope and Rasin</w:t>
            </w:r>
          </w:p>
        </w:tc>
      </w:tr>
      <w:tr>
        <w:trPr>
          <w:cantSplit/>
        </w:trPr>
        <w:tc>
          <w:tcPr/>
          <w:p>
            <w:pPr>
              <w:pStyle w:val="Compact"/>
              <w:jc w:val="left"/>
            </w:pPr>
            <w:r>
              <w:rPr>
                <w:sz w:val="20"/>
                <w:szCs w:val="20"/>
              </w:rPr>
              <w:t xml:space="preserve">69</w:t>
            </w:r>
          </w:p>
        </w:tc>
        <w:tc>
          <w:tcPr/>
          <w:p>
            <w:pPr>
              <w:pStyle w:val="Compact"/>
              <w:jc w:val="left"/>
            </w:pPr>
            <w:r>
              <w:rPr>
                <w:sz w:val="20"/>
                <w:szCs w:val="20"/>
              </w:rPr>
              <w:t xml:space="preserve">Staffa et al. (2018) KONFIDO chapter</w:t>
            </w:r>
          </w:p>
        </w:tc>
        <w:tc>
          <w:tcPr/>
          <w:p>
            <w:pPr>
              <w:pStyle w:val="Compact"/>
              <w:jc w:val="left"/>
            </w:pPr>
            <w:r>
              <w:rPr>
                <w:sz w:val="20"/>
                <w:szCs w:val="20"/>
              </w:rPr>
              <w:t xml:space="preserve">DOI 10.1007/978-3-319-95189-8_2, all eight authors confirmed against the publisher record</w:t>
            </w:r>
          </w:p>
        </w:tc>
      </w:tr>
      <w:tr>
        <w:trPr>
          <w:cantSplit/>
        </w:trPr>
        <w:tc>
          <w:tcPr/>
          <w:p>
            <w:pPr>
              <w:pStyle w:val="Compact"/>
              <w:jc w:val="left"/>
            </w:pPr>
            <w:r>
              <w:rPr>
                <w:sz w:val="20"/>
                <w:szCs w:val="20"/>
              </w:rPr>
              <w:t xml:space="preserve">70</w:t>
            </w:r>
          </w:p>
        </w:tc>
        <w:tc>
          <w:tcPr/>
          <w:p>
            <w:pPr>
              <w:pStyle w:val="Compact"/>
              <w:jc w:val="left"/>
            </w:pPr>
            <w:r>
              <w:rPr>
                <w:sz w:val="20"/>
                <w:szCs w:val="20"/>
              </w:rPr>
              <w:t xml:space="preserve">Broadbent and Islam (2020), Springer chapter and arXiv identifier</w:t>
            </w:r>
          </w:p>
        </w:tc>
        <w:tc>
          <w:tcPr/>
          <w:p>
            <w:pPr>
              <w:pStyle w:val="Compact"/>
              <w:jc w:val="left"/>
            </w:pPr>
            <w:r>
              <w:rPr>
                <w:sz w:val="20"/>
                <w:szCs w:val="20"/>
              </w:rPr>
              <w:t xml:space="preserve">DOI 10.1007/978-3-030-64381-2_4; LNCS 12552, pp. 92–122; arXiv:1910.03551 confirmed</w:t>
            </w:r>
          </w:p>
        </w:tc>
      </w:tr>
      <w:tr>
        <w:trPr>
          <w:cantSplit/>
        </w:trPr>
        <w:tc>
          <w:tcPr/>
          <w:p>
            <w:pPr>
              <w:pStyle w:val="Compact"/>
              <w:jc w:val="left"/>
            </w:pPr>
            <w:r>
              <w:rPr>
                <w:sz w:val="20"/>
                <w:szCs w:val="20"/>
              </w:rPr>
              <w:t xml:space="preserve">71</w:t>
            </w:r>
          </w:p>
        </w:tc>
        <w:tc>
          <w:tcPr/>
          <w:p>
            <w:pPr>
              <w:pStyle w:val="Compact"/>
              <w:jc w:val="left"/>
            </w:pPr>
            <w:r>
              <w:rPr>
                <w:sz w:val="20"/>
                <w:szCs w:val="20"/>
              </w:rPr>
              <w:t xml:space="preserve">Bursuc et al. (2024), publication status</w:t>
            </w:r>
          </w:p>
        </w:tc>
        <w:tc>
          <w:tcPr/>
          <w:p>
            <w:pPr>
              <w:pStyle w:val="Compact"/>
              <w:jc w:val="left"/>
            </w:pPr>
            <w:r>
              <w:rPr>
                <w:sz w:val="20"/>
                <w:szCs w:val="20"/>
              </w:rPr>
              <w:t xml:space="preserve">Since published at the 37th IEEE Computer Security Foundations Symposium, July 2024. The IEEE DOI could not be retrieved and is therefore not stated</w:t>
            </w:r>
          </w:p>
        </w:tc>
      </w:tr>
      <w:tr>
        <w:trPr>
          <w:cantSplit/>
        </w:trPr>
        <w:tc>
          <w:tcPr/>
          <w:p>
            <w:pPr>
              <w:pStyle w:val="Compact"/>
              <w:jc w:val="left"/>
            </w:pPr>
            <w:r>
              <w:rPr>
                <w:sz w:val="20"/>
                <w:szCs w:val="20"/>
              </w:rPr>
              <w:t xml:space="preserve">72</w:t>
            </w:r>
          </w:p>
        </w:tc>
        <w:tc>
          <w:tcPr/>
          <w:p>
            <w:pPr>
              <w:pStyle w:val="Compact"/>
              <w:jc w:val="left"/>
            </w:pPr>
            <w:r>
              <w:rPr>
                <w:sz w:val="20"/>
                <w:szCs w:val="20"/>
              </w:rPr>
              <w:t xml:space="preserve">SPUHiN deliverable D5.2, public-hearing version</w:t>
            </w:r>
          </w:p>
        </w:tc>
        <w:tc>
          <w:tcPr/>
          <w:p>
            <w:pPr>
              <w:pStyle w:val="Compact"/>
              <w:jc w:val="left"/>
            </w:pPr>
            <w:r>
              <w:rPr>
                <w:sz w:val="20"/>
                <w:szCs w:val="20"/>
              </w:rPr>
              <w:t xml:space="preserve">The consultation page has been withdrawn and returns 404. No stable locator established; the entry says so and cites the project page</w:t>
            </w:r>
          </w:p>
        </w:tc>
      </w:tr>
      <w:tr>
        <w:trPr>
          <w:cantSplit/>
        </w:trPr>
        <w:tc>
          <w:tcPr/>
          <w:p>
            <w:pPr>
              <w:pStyle w:val="Compact"/>
              <w:jc w:val="left"/>
            </w:pPr>
            <w:r>
              <w:rPr>
                <w:sz w:val="20"/>
                <w:szCs w:val="20"/>
              </w:rPr>
              <w:t xml:space="preserve">73</w:t>
            </w:r>
          </w:p>
        </w:tc>
        <w:tc>
          <w:tcPr/>
          <w:p>
            <w:pPr>
              <w:pStyle w:val="Compact"/>
              <w:jc w:val="left"/>
            </w:pPr>
            <w:r>
              <w:rPr>
                <w:sz w:val="20"/>
                <w:szCs w:val="20"/>
              </w:rPr>
              <w:t xml:space="preserve">Deloitte Advokatfirma commentary, publication date</w:t>
            </w:r>
          </w:p>
        </w:tc>
        <w:tc>
          <w:tcPr/>
          <w:p>
            <w:pPr>
              <w:pStyle w:val="Compact"/>
              <w:jc w:val="left"/>
            </w:pPr>
            <w:r>
              <w:rPr>
                <w:sz w:val="20"/>
                <w:szCs w:val="20"/>
              </w:rPr>
              <w:t xml:space="preserve">Published 24 August 2020. The citation’s</w:t>
            </w:r>
            <w:r>
              <w:rPr>
                <w:sz w:val="20"/>
                <w:szCs w:val="20"/>
              </w:rPr>
              <w:t xml:space="preserve"> </w:t>
            </w:r>
            <w:r>
              <w:rPr>
                <w:sz w:val="20"/>
                <w:szCs w:val="20"/>
              </w:rPr>
              <w:t xml:space="preserve">“</w:t>
            </w:r>
            <w:r>
              <w:rPr>
                <w:sz w:val="20"/>
                <w:szCs w:val="20"/>
              </w:rPr>
              <w:t xml:space="preserve">n.d.</w:t>
            </w:r>
            <w:r>
              <w:rPr>
                <w:sz w:val="20"/>
                <w:szCs w:val="20"/>
              </w:rPr>
              <w:t xml:space="preserve">”</w:t>
            </w:r>
            <w:r>
              <w:rPr>
                <w:sz w:val="20"/>
                <w:szCs w:val="20"/>
              </w:rPr>
              <w:t xml:space="preserve"> </w:t>
            </w:r>
            <w:r>
              <w:rPr>
                <w:sz w:val="20"/>
                <w:szCs w:val="20"/>
              </w:rPr>
              <w:t xml:space="preserve">was avoidable and was corrected</w:t>
            </w:r>
          </w:p>
        </w:tc>
      </w:tr>
      <w:tr>
        <w:trPr>
          <w:cantSplit/>
        </w:trPr>
        <w:tc>
          <w:tcPr/>
          <w:p>
            <w:pPr>
              <w:pStyle w:val="Compact"/>
              <w:jc w:val="left"/>
            </w:pPr>
            <w:r>
              <w:rPr>
                <w:sz w:val="20"/>
                <w:szCs w:val="20"/>
              </w:rPr>
              <w:t xml:space="preserve">74</w:t>
            </w:r>
          </w:p>
        </w:tc>
        <w:tc>
          <w:tcPr/>
          <w:p>
            <w:pPr>
              <w:pStyle w:val="Compact"/>
              <w:jc w:val="left"/>
            </w:pPr>
            <w:r>
              <w:rPr>
                <w:sz w:val="20"/>
                <w:szCs w:val="20"/>
              </w:rPr>
              <w:t xml:space="preserve">Norsk forening for allmennmedisin consultation response</w:t>
            </w:r>
          </w:p>
        </w:tc>
        <w:tc>
          <w:tcPr/>
          <w:p>
            <w:pPr>
              <w:pStyle w:val="Compact"/>
              <w:jc w:val="left"/>
            </w:pPr>
            <w:r>
              <w:rPr>
                <w:sz w:val="20"/>
                <w:szCs w:val="20"/>
              </w:rPr>
              <w:t xml:space="preserve">Retrieved. The citation read</w:t>
            </w:r>
            <w:r>
              <w:rPr>
                <w:sz w:val="20"/>
                <w:szCs w:val="20"/>
              </w:rPr>
              <w:t xml:space="preserve"> </w:t>
            </w:r>
            <w:r>
              <w:rPr>
                <w:sz w:val="20"/>
                <w:szCs w:val="20"/>
              </w:rPr>
              <w:t xml:space="preserve">“</w:t>
            </w:r>
            <w:r>
              <w:rPr>
                <w:sz w:val="20"/>
                <w:szCs w:val="20"/>
              </w:rPr>
              <w:t xml:space="preserve">analyserum</w:t>
            </w:r>
            <w:r>
              <w:rPr>
                <w:sz w:val="20"/>
                <w:szCs w:val="20"/>
              </w:rPr>
              <w:t xml:space="preserve">”</w:t>
            </w:r>
            <w:r>
              <w:rPr>
                <w:sz w:val="20"/>
                <w:szCs w:val="20"/>
              </w:rPr>
              <w:t xml:space="preserve">; the document reads</w:t>
            </w:r>
            <w:r>
              <w:rPr>
                <w:sz w:val="20"/>
                <w:szCs w:val="20"/>
              </w:rPr>
              <w:t xml:space="preserve"> </w:t>
            </w:r>
            <w:r>
              <w:rPr>
                <w:sz w:val="20"/>
                <w:szCs w:val="20"/>
              </w:rPr>
              <w:t xml:space="preserve">“</w:t>
            </w:r>
            <w:r>
              <w:rPr>
                <w:sz w:val="20"/>
                <w:szCs w:val="20"/>
              </w:rPr>
              <w:t xml:space="preserve">analyserom</w:t>
            </w:r>
            <w:r>
              <w:rPr>
                <w:sz w:val="20"/>
                <w:szCs w:val="20"/>
              </w:rPr>
              <w:t xml:space="preserve">”</w:t>
            </w:r>
          </w:p>
        </w:tc>
      </w:tr>
      <w:tr>
        <w:trPr>
          <w:cantSplit/>
        </w:trPr>
        <w:tc>
          <w:tcPr/>
          <w:p>
            <w:pPr>
              <w:pStyle w:val="Compact"/>
              <w:jc w:val="left"/>
            </w:pPr>
            <w:r>
              <w:rPr>
                <w:sz w:val="20"/>
                <w:szCs w:val="20"/>
              </w:rPr>
              <w:t xml:space="preserve">75</w:t>
            </w:r>
          </w:p>
        </w:tc>
        <w:tc>
          <w:tcPr/>
          <w:p>
            <w:pPr>
              <w:pStyle w:val="Compact"/>
              <w:jc w:val="left"/>
            </w:pPr>
            <w:r>
              <w:rPr>
                <w:sz w:val="20"/>
                <w:szCs w:val="20"/>
              </w:rPr>
              <w:t xml:space="preserve">Norwegian Maritime Authority 2023 amendment</w:t>
            </w:r>
          </w:p>
        </w:tc>
        <w:tc>
          <w:tcPr/>
          <w:p>
            <w:pPr>
              <w:pStyle w:val="Compact"/>
              <w:jc w:val="left"/>
            </w:pPr>
            <w:r>
              <w:rPr>
                <w:sz w:val="20"/>
                <w:szCs w:val="20"/>
              </w:rPr>
              <w:t xml:space="preserve">The cited title was the regulations’ name. The amending instrument is Circular RSR 2-2023</w:t>
            </w:r>
          </w:p>
        </w:tc>
      </w:tr>
      <w:tr>
        <w:trPr>
          <w:cantSplit/>
        </w:trPr>
        <w:tc>
          <w:tcPr/>
          <w:p>
            <w:pPr>
              <w:pStyle w:val="Compact"/>
              <w:jc w:val="left"/>
            </w:pPr>
            <w:r>
              <w:rPr>
                <w:sz w:val="20"/>
                <w:szCs w:val="20"/>
              </w:rPr>
              <w:t xml:space="preserve">76</w:t>
            </w:r>
          </w:p>
        </w:tc>
        <w:tc>
          <w:tcPr/>
          <w:p>
            <w:pPr>
              <w:pStyle w:val="Compact"/>
              <w:jc w:val="left"/>
            </w:pPr>
            <w:r>
              <w:rPr>
                <w:sz w:val="20"/>
                <w:szCs w:val="20"/>
              </w:rPr>
              <w:t xml:space="preserve">EDPB documents 2026a and 2026b, official titles</w:t>
            </w:r>
          </w:p>
        </w:tc>
        <w:tc>
          <w:tcPr/>
          <w:p>
            <w:pPr>
              <w:pStyle w:val="Compact"/>
              <w:jc w:val="left"/>
            </w:pPr>
            <w:r>
              <w:rPr>
                <w:sz w:val="20"/>
                <w:szCs w:val="20"/>
              </w:rPr>
              <w:t xml:space="preserve">Both titles corrected to the Board’s own wording</w:t>
            </w:r>
          </w:p>
        </w:tc>
      </w:tr>
      <w:tr>
        <w:trPr>
          <w:cantSplit/>
        </w:trPr>
        <w:tc>
          <w:tcPr/>
          <w:p>
            <w:pPr>
              <w:pStyle w:val="Compact"/>
              <w:jc w:val="left"/>
            </w:pPr>
            <w:r>
              <w:rPr>
                <w:sz w:val="20"/>
                <w:szCs w:val="20"/>
              </w:rPr>
              <w:t xml:space="preserve">77</w:t>
            </w:r>
          </w:p>
        </w:tc>
        <w:tc>
          <w:tcPr/>
          <w:p>
            <w:pPr>
              <w:pStyle w:val="Compact"/>
              <w:jc w:val="left"/>
            </w:pPr>
            <w:r>
              <w:rPr>
                <w:sz w:val="20"/>
                <w:szCs w:val="20"/>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rPr>
                <w:sz w:val="20"/>
                <w:szCs w:val="20"/>
              </w:rPr>
              <w:t xml:space="preserve">Locators retrieved and matched against title, issuer and year</w:t>
            </w:r>
          </w:p>
        </w:tc>
      </w:tr>
    </w:tbl>
    <w:p>
      <w:pPr>
        <w:pStyle w:val="BodyText"/>
        <w:spacing w:before="240" w:after="160" w:line="360" w:lineRule="auto"/>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pPr>
        <w:pStyle w:val="BodyText"/>
      </w:pPr>
      <w:r>
        <w:rPr>
          <w:iCs/>
          <w:i/>
        </w:rPr>
        <w:t xml:space="preserve">Total distinct queries logged: 59 discovery and verification queries across four rounds, plus 18 locator verifications in round 5.</w:t>
      </w:r>
    </w:p>
    <w:bookmarkEnd w:id="133"/>
    <w:bookmarkStart w:id="134"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bookmarkEnd w:id="134"/>
    <w:bookmarkEnd w:id="135"/>
    <w:bookmarkStart w:id="155" w:name="appendix-c.-expert-evaluation-instrument"/>
    <w:p>
      <w:pPr>
        <w:pStyle w:val="Heading1"/>
      </w:pPr>
      <w:bookmarkStart w:id="1089" w:name="app_C"/>
      <w:r>
        <w:t xml:space="preserve">Appendix C. Expert Evaluation Instrument</w:t>
      </w:r>
      <w:bookmarkEnd w:id="1089"/>
    </w:p>
    <w:p>
      <w:pPr>
        <w:pStyle w:val="FirstParagraph"/>
      </w:pPr>
      <w:r>
        <w:rPr>
          <w:iCs/>
          <w:i/>
        </w:rPr>
        <w:t xml:space="preserve">(v1.1, 18 September 2026; item A1 reworded October 2026. The instrument specified here was designed following supervisory feedback of September 2026 and constitutes the evaluation design for the next iteration of the design science cycle. Its execution status is stated in </w:t>
      </w:r>
      <w:hyperlink w:anchor="ch_3" w:history="1">
        <w:r>
          <w:rPr>
            <w:rStyle w:val="Hyperlink"/>
            <w:iCs/>
            <w:i/>
          </w:rPr>
          <w:t xml:space="preserve">Chapter 3</w:t>
        </w:r>
      </w:hyperlink>
      <w:r>
        <w:rPr>
          <w:iCs/>
          <w:i/>
        </w:rPr>
        <w:t xml:space="preserve">, </w:t>
      </w:r>
      <w:hyperlink w:anchor="sec_3_8" w:history="1">
        <w:r>
          <w:rPr>
            <w:rStyle w:val="Hyperlink"/>
            <w:iCs/>
            <w:i/>
          </w:rPr>
          <w:t xml:space="preserve">Section 3.8</w:t>
        </w:r>
      </w:hyperlink>
      <w:r>
        <w:rPr>
          <w:iCs/>
          <w:i/>
        </w:rPr>
        <w:t xml:space="preserve">.</w:t>
      </w:r>
      <w:r>
        <w:rPr>
          <w:iCs/>
          <w:i/>
        </w:rPr>
        <w:t xml:space="preserve"> </w:t>
      </w:r>
      <w:r>
        <w:rPr>
          <w:bCs/>
          <w:b/>
          <w:iCs/>
          <w:i/>
        </w:rPr>
        <w:t xml:space="preserve">This is a design, not a fielded instrument. Section C.1 states what is expected to change once it meets real respondents.</w:t>
      </w:r>
      <w:r>
        <w:rPr>
          <w:iCs/>
          <w:i/>
        </w:rPr>
        <w:t xml:space="preserve">)</w:t>
      </w:r>
    </w:p>
    <w:bookmarkStart w:id="137" w:name="c.1-purpose-and-status"/>
    <w:p>
      <w:pPr>
        <w:pStyle w:val="Heading2"/>
      </w:pPr>
      <w:r>
        <w:t xml:space="preserve">C.1 Purpose and status</w:t>
      </w:r>
    </w:p>
    <w:p>
      <w:pPr>
        <w:pStyle w:val="FirstParagraph"/>
      </w:pP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bookmarkStart w:id="136" w:name="X10cc7eb249a3abb40ce6f29806ce7caed2341ed"/>
    <w:p>
      <w:pPr>
        <w:pStyle w:val="Heading3"/>
      </w:pPr>
      <w:r>
        <w:t xml:space="preserve">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bookmarkEnd w:id="136"/>
    <w:bookmarkEnd w:id="137"/>
    <w:bookmarkStart w:id="138"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Perspective</w:t>
            </w:r>
          </w:p>
        </w:tc>
        <w:tc>
          <w:tcPr>
            <w:tcBorders>
              <w:bottom w:val="single" w:sz="8" w:space="0" w:color="333333"/>
            </w:tcBorders>
            <w:shd w:val="clear" w:color="auto" w:fill="E8EDF4"/>
          </w:tcPr>
          <w:p>
            <w:pPr>
              <w:pStyle w:val="Compact"/>
              <w:jc w:val="left"/>
            </w:pPr>
            <w:r>
              <w:rPr>
                <w:b/>
                <w:sz w:val="20"/>
                <w:szCs w:val="20"/>
              </w:rPr>
              <w:t xml:space="preserve">Profile sought</w:t>
            </w:r>
          </w:p>
        </w:tc>
        <w:tc>
          <w:tcPr>
            <w:tcBorders>
              <w:bottom w:val="single" w:sz="8" w:space="0" w:color="333333"/>
            </w:tcBorders>
            <w:shd w:val="clear" w:color="auto" w:fill="E8EDF4"/>
          </w:tcPr>
          <w:p>
            <w:pPr>
              <w:pStyle w:val="Compact"/>
              <w:jc w:val="left"/>
            </w:pPr>
            <w:r>
              <w:rPr>
                <w:b/>
                <w:sz w:val="20"/>
                <w:szCs w:val="20"/>
              </w:rPr>
              <w:t xml:space="preserve">Assesses</w:t>
            </w:r>
          </w:p>
        </w:tc>
      </w:tr>
      <w:tr>
        <w:trPr>
          <w:cantSplit/>
        </w:trPr>
        <w:tc>
          <w:tcPr/>
          <w:p>
            <w:pPr>
              <w:pStyle w:val="Compact"/>
              <w:jc w:val="left"/>
            </w:pPr>
            <w:r>
              <w:rPr>
                <w:sz w:val="20"/>
                <w:szCs w:val="20"/>
              </w:rPr>
              <w:t xml:space="preserve">P1, P2</w:t>
            </w:r>
          </w:p>
        </w:tc>
        <w:tc>
          <w:tcPr/>
          <w:p>
            <w:pPr>
              <w:pStyle w:val="Compact"/>
              <w:jc w:val="left"/>
            </w:pPr>
            <w:r>
              <w:rPr>
                <w:sz w:val="20"/>
                <w:szCs w:val="20"/>
              </w:rPr>
              <w:t xml:space="preserve">Data protection</w:t>
            </w:r>
          </w:p>
        </w:tc>
        <w:tc>
          <w:tcPr/>
          <w:p>
            <w:pPr>
              <w:pStyle w:val="Compact"/>
              <w:jc w:val="left"/>
            </w:pPr>
            <w:r>
              <w:rPr>
                <w:sz w:val="20"/>
                <w:szCs w:val="20"/>
              </w:rPr>
              <w:t xml:space="preserve">Data Protection Officer or privacy counsel in a Norwegian health or research institution</w:t>
            </w:r>
          </w:p>
        </w:tc>
        <w:tc>
          <w:tcPr/>
          <w:p>
            <w:pPr>
              <w:pStyle w:val="Compact"/>
              <w:jc w:val="left"/>
            </w:pPr>
            <w:r>
              <w:rPr>
                <w:sz w:val="20"/>
                <w:szCs w:val="20"/>
              </w:rPr>
              <w:t xml:space="preserve">Whether invalidation is defensible as satisfying retention; whether the surviving residue clears the anonymity threshold; the Article 68(12) scope question</w:t>
            </w:r>
          </w:p>
        </w:tc>
      </w:tr>
      <w:tr>
        <w:trPr>
          <w:cantSplit/>
        </w:trPr>
        <w:tc>
          <w:tcPr/>
          <w:p>
            <w:pPr>
              <w:pStyle w:val="Compact"/>
              <w:jc w:val="left"/>
            </w:pPr>
            <w:r>
              <w:rPr>
                <w:sz w:val="20"/>
                <w:szCs w:val="20"/>
              </w:rPr>
              <w:t xml:space="preserve">P3, P4</w:t>
            </w:r>
          </w:p>
        </w:tc>
        <w:tc>
          <w:tcPr/>
          <w:p>
            <w:pPr>
              <w:pStyle w:val="Compact"/>
              <w:jc w:val="left"/>
            </w:pPr>
            <w:r>
              <w:rPr>
                <w:sz w:val="20"/>
                <w:szCs w:val="20"/>
              </w:rPr>
              <w:t xml:space="preserve">Health IT architecture</w:t>
            </w:r>
          </w:p>
        </w:tc>
        <w:tc>
          <w:tcPr/>
          <w:p>
            <w:pPr>
              <w:pStyle w:val="Compact"/>
              <w:jc w:val="left"/>
            </w:pPr>
            <w:r>
              <w:rPr>
                <w:sz w:val="20"/>
                <w:szCs w:val="20"/>
              </w:rPr>
              <w:t xml:space="preserve">Architect or senior engineer at Norsk Helsenett or Helsedataservice with NCPeH or HDAB exposure</w:t>
            </w:r>
          </w:p>
        </w:tc>
        <w:tc>
          <w:tcPr/>
          <w:p>
            <w:pPr>
              <w:pStyle w:val="Compact"/>
              <w:jc w:val="left"/>
            </w:pPr>
            <w:r>
              <w:rPr>
                <w:sz w:val="20"/>
                <w:szCs w:val="20"/>
              </w:rPr>
              <w:t xml:space="preserve">Whether the mechanism attaches at the right boundary; interoperability consequences; effect on the OpenNCP transmission flow</w:t>
            </w:r>
          </w:p>
        </w:tc>
      </w:tr>
      <w:tr>
        <w:trPr>
          <w:cantSplit/>
        </w:trPr>
        <w:tc>
          <w:tcPr/>
          <w:p>
            <w:pPr>
              <w:pStyle w:val="Compact"/>
              <w:jc w:val="left"/>
            </w:pPr>
            <w:r>
              <w:rPr>
                <w:sz w:val="20"/>
                <w:szCs w:val="20"/>
              </w:rPr>
              <w:t xml:space="preserve">P5, P6</w:t>
            </w:r>
          </w:p>
        </w:tc>
        <w:tc>
          <w:tcPr/>
          <w:p>
            <w:pPr>
              <w:pStyle w:val="Compact"/>
              <w:jc w:val="left"/>
            </w:pPr>
            <w:r>
              <w:rPr>
                <w:sz w:val="20"/>
                <w:szCs w:val="20"/>
              </w:rPr>
              <w:t xml:space="preserve">Secure Processing Environment operation</w:t>
            </w:r>
          </w:p>
        </w:tc>
        <w:tc>
          <w:tcPr/>
          <w:p>
            <w:pPr>
              <w:pStyle w:val="Compact"/>
              <w:jc w:val="left"/>
            </w:pPr>
            <w:r>
              <w:rPr>
                <w:sz w:val="20"/>
                <w:szCs w:val="20"/>
              </w:rPr>
              <w:t xml:space="preserve">Operator or technical lead at a NORTRE node (TSD, SAFE, or HUNT Cloud)</w:t>
            </w:r>
          </w:p>
        </w:tc>
        <w:tc>
          <w:tcPr/>
          <w:p>
            <w:pPr>
              <w:pStyle w:val="Compact"/>
              <w:jc w:val="left"/>
            </w:pPr>
            <w:r>
              <w:rPr>
                <w:sz w:val="20"/>
                <w:szCs w:val="20"/>
              </w:rPr>
              <w:t xml:space="preserve">Key custody in practice; operational burden of per-record granularity; single-point-of-failure risk absent hardware security modules</w:t>
            </w:r>
          </w:p>
        </w:tc>
      </w:tr>
      <w:tr>
        <w:trPr>
          <w:cantSplit/>
        </w:trPr>
        <w:tc>
          <w:tcPr/>
          <w:p>
            <w:pPr>
              <w:pStyle w:val="Compact"/>
              <w:jc w:val="left"/>
            </w:pPr>
            <w:r>
              <w:rPr>
                <w:sz w:val="20"/>
                <w:szCs w:val="20"/>
              </w:rPr>
              <w:t xml:space="preserve">P7, P8</w:t>
            </w:r>
          </w:p>
        </w:tc>
        <w:tc>
          <w:tcPr/>
          <w:p>
            <w:pPr>
              <w:pStyle w:val="Compact"/>
              <w:jc w:val="left"/>
            </w:pPr>
            <w:r>
              <w:rPr>
                <w:sz w:val="20"/>
                <w:szCs w:val="20"/>
              </w:rPr>
              <w:t xml:space="preserve">Information logistics</w:t>
            </w:r>
          </w:p>
        </w:tc>
        <w:tc>
          <w:tcPr/>
          <w:p>
            <w:pPr>
              <w:pStyle w:val="Compact"/>
              <w:jc w:val="left"/>
            </w:pPr>
            <w:r>
              <w:rPr>
                <w:sz w:val="20"/>
                <w:szCs w:val="20"/>
              </w:rPr>
              <w:t xml:space="preserve">Academic or practitioner in logistics or supply-chain compliance</w:t>
            </w:r>
          </w:p>
        </w:tc>
        <w:tc>
          <w:tcPr/>
          <w:p>
            <w:pPr>
              <w:pStyle w:val="Compact"/>
              <w:jc w:val="left"/>
            </w:pPr>
            <w:r>
              <w:rPr>
                <w:sz w:val="20"/>
                <w:szCs w:val="20"/>
              </w:rPr>
              <w:t xml:space="preserve">Whether the customs-ledger framing holds; transferability of the tri-lateral structure to other regulated flows</w:t>
            </w:r>
          </w:p>
        </w:tc>
      </w:tr>
    </w:tbl>
    <w:p>
      <w:pPr>
        <w:pStyle w:val="BodyText"/>
        <w:spacing w:before="240" w:after="160" w:line="360" w:lineRule="auto"/>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bookmarkEnd w:id="138"/>
    <w:bookmarkStart w:id="139"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Minutes</w:t>
            </w:r>
          </w:p>
        </w:tc>
        <w:tc>
          <w:tcPr>
            <w:tcBorders>
              <w:bottom w:val="single" w:sz="8" w:space="0" w:color="333333"/>
            </w:tcBorders>
            <w:shd w:val="clear" w:color="auto" w:fill="E8EDF4"/>
          </w:tcPr>
          <w:p>
            <w:pPr>
              <w:pStyle w:val="Compact"/>
              <w:jc w:val="left"/>
            </w:pPr>
            <w:r>
              <w:rPr>
                <w:b/>
                <w:sz w:val="20"/>
                <w:szCs w:val="20"/>
              </w:rPr>
              <w:t xml:space="preserve">Segment</w:t>
            </w:r>
          </w:p>
        </w:tc>
        <w:tc>
          <w:tcPr>
            <w:tcBorders>
              <w:bottom w:val="single" w:sz="8" w:space="0" w:color="333333"/>
            </w:tcBorders>
            <w:shd w:val="clear" w:color="auto" w:fill="E8EDF4"/>
          </w:tcPr>
          <w:p>
            <w:pPr>
              <w:pStyle w:val="Compact"/>
              <w:jc w:val="left"/>
            </w:pPr>
            <w:r>
              <w:rPr>
                <w:b/>
                <w:sz w:val="20"/>
                <w:szCs w:val="20"/>
              </w:rPr>
              <w:t xml:space="preserve">Content</w:t>
            </w:r>
          </w:p>
        </w:tc>
      </w:tr>
      <w:tr>
        <w:trPr>
          <w:cantSplit/>
        </w:trPr>
        <w:tc>
          <w:tcPr/>
          <w:p>
            <w:pPr>
              <w:pStyle w:val="Compact"/>
              <w:jc w:val="left"/>
            </w:pPr>
            <w:r>
              <w:rPr>
                <w:sz w:val="20"/>
                <w:szCs w:val="20"/>
              </w:rPr>
              <w:t xml:space="preserve">0–5</w:t>
            </w:r>
          </w:p>
        </w:tc>
        <w:tc>
          <w:tcPr/>
          <w:p>
            <w:pPr>
              <w:pStyle w:val="Compact"/>
              <w:jc w:val="left"/>
            </w:pPr>
            <w:r>
              <w:rPr>
                <w:sz w:val="20"/>
                <w:szCs w:val="20"/>
              </w:rPr>
              <w:t xml:space="preserve">Framing</w:t>
            </w:r>
          </w:p>
        </w:tc>
        <w:tc>
          <w:tcPr/>
          <w:p>
            <w:pPr>
              <w:pStyle w:val="Compact"/>
              <w:jc w:val="left"/>
            </w:pPr>
            <w:r>
              <w:rPr>
                <w:sz w:val="20"/>
                <w:szCs w:val="20"/>
              </w:rPr>
              <w:t xml:space="preserve">Purpose, voluntariness, recording and anonymity arrangements, participant’s right to withdraw. No thesis conclusions stated at this point.</w:t>
            </w:r>
          </w:p>
        </w:tc>
      </w:tr>
      <w:tr>
        <w:trPr>
          <w:cantSplit/>
        </w:trPr>
        <w:tc>
          <w:tcPr/>
          <w:p>
            <w:pPr>
              <w:pStyle w:val="Compact"/>
              <w:jc w:val="left"/>
            </w:pPr>
            <w:r>
              <w:rPr>
                <w:sz w:val="20"/>
                <w:szCs w:val="20"/>
              </w:rPr>
              <w:t xml:space="preserve">5–12</w:t>
            </w:r>
          </w:p>
        </w:tc>
        <w:tc>
          <w:tcPr/>
          <w:p>
            <w:pPr>
              <w:pStyle w:val="Compact"/>
              <w:jc w:val="left"/>
            </w:pPr>
            <w:r>
              <w:rPr>
                <w:sz w:val="20"/>
                <w:szCs w:val="20"/>
              </w:rPr>
              <w:t xml:space="preserve">Problem presentation</w:t>
            </w:r>
          </w:p>
        </w:tc>
        <w:tc>
          <w:tcPr/>
          <w:p>
            <w:pPr>
              <w:pStyle w:val="Compact"/>
              <w:jc w:val="left"/>
            </w:pPr>
            <w:r>
              <w:rPr>
                <w:sz w:val="20"/>
                <w:szCs w:val="20"/>
              </w:rPr>
              <w:t xml:space="preserve">The three retention regimes and their sources, presented from the primary instruments without the thesis’s resolution. Participants are asked how their institution currently handles the conflict, before being shown any proposed answer.</w:t>
            </w:r>
          </w:p>
        </w:tc>
      </w:tr>
      <w:tr>
        <w:trPr>
          <w:cantSplit/>
        </w:trPr>
        <w:tc>
          <w:tcPr/>
          <w:p>
            <w:pPr>
              <w:pStyle w:val="Compact"/>
              <w:jc w:val="left"/>
            </w:pPr>
            <w:r>
              <w:rPr>
                <w:sz w:val="20"/>
                <w:szCs w:val="20"/>
              </w:rPr>
              <w:t xml:space="preserve">12–22</w:t>
            </w:r>
          </w:p>
        </w:tc>
        <w:tc>
          <w:tcPr/>
          <w:p>
            <w:pPr>
              <w:pStyle w:val="Compact"/>
              <w:jc w:val="left"/>
            </w:pPr>
            <w:r>
              <w:rPr>
                <w:sz w:val="20"/>
                <w:szCs w:val="20"/>
              </w:rPr>
              <w:t xml:space="preserve">Demonstration</w:t>
            </w:r>
          </w:p>
        </w:tc>
        <w:tc>
          <w:tcPr/>
          <w:p>
            <w:pPr>
              <w:pStyle w:val="Compact"/>
              <w:jc w:val="left"/>
            </w:pPr>
            <w:r>
              <w:rPr>
                <w:sz w:val="20"/>
                <w:szCs w:val="20"/>
              </w:rPr>
              <w:t xml:space="preserve">Live execution of the feasibility checker (Section C.4).</w:t>
            </w:r>
          </w:p>
        </w:tc>
      </w:tr>
      <w:tr>
        <w:trPr>
          <w:cantSplit/>
        </w:trPr>
        <w:tc>
          <w:tcPr/>
          <w:p>
            <w:pPr>
              <w:pStyle w:val="Compact"/>
              <w:jc w:val="left"/>
            </w:pPr>
            <w:r>
              <w:rPr>
                <w:sz w:val="20"/>
                <w:szCs w:val="20"/>
              </w:rPr>
              <w:t xml:space="preserve">22–35</w:t>
            </w:r>
          </w:p>
        </w:tc>
        <w:tc>
          <w:tcPr/>
          <w:p>
            <w:pPr>
              <w:pStyle w:val="Compact"/>
              <w:jc w:val="left"/>
            </w:pPr>
            <w:r>
              <w:rPr>
                <w:sz w:val="20"/>
                <w:szCs w:val="20"/>
              </w:rPr>
              <w:t xml:space="preserve">Semi-structured discussion</w:t>
            </w:r>
          </w:p>
        </w:tc>
        <w:tc>
          <w:tcPr/>
          <w:p>
            <w:pPr>
              <w:pStyle w:val="Compact"/>
              <w:jc w:val="left"/>
            </w:pPr>
            <w:r>
              <w:rPr>
                <w:sz w:val="20"/>
                <w:szCs w:val="20"/>
              </w:rPr>
              <w:t xml:space="preserve">Interview guide, Section C.5.</w:t>
            </w:r>
          </w:p>
        </w:tc>
      </w:tr>
      <w:tr>
        <w:trPr>
          <w:cantSplit/>
        </w:trPr>
        <w:tc>
          <w:tcPr/>
          <w:p>
            <w:pPr>
              <w:pStyle w:val="Compact"/>
              <w:jc w:val="left"/>
            </w:pPr>
            <w:r>
              <w:rPr>
                <w:sz w:val="20"/>
                <w:szCs w:val="20"/>
              </w:rPr>
              <w:t xml:space="preserve">35–43</w:t>
            </w:r>
          </w:p>
        </w:tc>
        <w:tc>
          <w:tcPr/>
          <w:p>
            <w:pPr>
              <w:pStyle w:val="Compact"/>
              <w:jc w:val="left"/>
            </w:pPr>
            <w:r>
              <w:rPr>
                <w:sz w:val="20"/>
                <w:szCs w:val="20"/>
              </w:rPr>
              <w:t xml:space="preserve">Closed-response instrument</w:t>
            </w:r>
          </w:p>
        </w:tc>
        <w:tc>
          <w:tcPr/>
          <w:p>
            <w:pPr>
              <w:pStyle w:val="Compact"/>
              <w:jc w:val="left"/>
            </w:pPr>
            <w:r>
              <w:rPr>
                <w:sz w:val="20"/>
                <w:szCs w:val="20"/>
              </w:rPr>
              <w:t xml:space="preserve">Questionnaire, Section C.6, completed by the participant.</w:t>
            </w:r>
          </w:p>
        </w:tc>
      </w:tr>
      <w:tr>
        <w:trPr>
          <w:cantSplit/>
        </w:trPr>
        <w:tc>
          <w:tcPr/>
          <w:p>
            <w:pPr>
              <w:pStyle w:val="Compact"/>
              <w:jc w:val="left"/>
            </w:pPr>
            <w:r>
              <w:rPr>
                <w:sz w:val="20"/>
                <w:szCs w:val="20"/>
              </w:rPr>
              <w:t xml:space="preserve">43–45</w:t>
            </w:r>
          </w:p>
        </w:tc>
        <w:tc>
          <w:tcPr/>
          <w:p>
            <w:pPr>
              <w:pStyle w:val="Compact"/>
              <w:jc w:val="left"/>
            </w:pPr>
            <w:r>
              <w:rPr>
                <w:sz w:val="20"/>
                <w:szCs w:val="20"/>
              </w:rPr>
              <w:t xml:space="preserve">Close</w:t>
            </w:r>
          </w:p>
        </w:tc>
        <w:tc>
          <w:tcPr/>
          <w:p>
            <w:pPr>
              <w:pStyle w:val="Compact"/>
              <w:jc w:val="left"/>
            </w:pPr>
            <w:r>
              <w:rPr>
                <w:sz w:val="20"/>
                <w:szCs w:val="20"/>
              </w:rPr>
              <w:t xml:space="preserve">Opportunity to add anything not asked; follow-up arrangements.</w:t>
            </w:r>
          </w:p>
        </w:tc>
      </w:tr>
    </w:tbl>
    <w:p>
      <w:pPr>
        <w:pStyle w:val="BodyText"/>
        <w:spacing w:before="240" w:after="160" w:line="360" w:lineRule="auto"/>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bookmarkEnd w:id="139"/>
    <w:bookmarkStart w:id="140"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pStyle w:val="Compact"/>
        <w:numPr>
          <w:ilvl w:val="0"/>
          <w:numId w:val="1011"/>
        </w:numPr>
      </w:pPr>
      <w:r>
        <w:rPr>
          <w:iCs/>
          <w:i/>
        </w:rPr>
        <w:t xml:space="preserve">Show the record structure.</w:t>
      </w:r>
      <w:r>
        <w:t xml:space="preserve"> </w:t>
      </w:r>
      <w:r>
        <w:t xml:space="preserve">One audit record: metadata, payload, commitment, key. Identify which parts the accountability purpose needs and which it does not.</w:t>
      </w:r>
    </w:p>
    <w:p>
      <w:pPr>
        <w:pStyle w:val="Compact"/>
        <w:numPr>
          <w:ilvl w:val="0"/>
          <w:numId w:val="1011"/>
        </w:numPr>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pStyle w:val="Compact"/>
        <w:numPr>
          <w:ilvl w:val="0"/>
          <w:numId w:val="1011"/>
        </w:numPr>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explicitly rather than glossing it.</w:t>
      </w:r>
    </w:p>
    <w:p>
      <w:pPr>
        <w:pStyle w:val="Compact"/>
        <w:numPr>
          <w:ilvl w:val="0"/>
          <w:numId w:val="1011"/>
        </w:numPr>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pStyle w:val="Compact"/>
        <w:numPr>
          <w:ilvl w:val="0"/>
          <w:numId w:val="1011"/>
        </w:numPr>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pStyle w:val="Compact"/>
        <w:numPr>
          <w:ilvl w:val="0"/>
          <w:numId w:val="1011"/>
        </w:numPr>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bookmarkEnd w:id="140"/>
    <w:bookmarkStart w:id="145"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1" w:name="current-practice-and-problem-recognition"/>
    <w:p>
      <w:pPr>
        <w:pStyle w:val="Heading3"/>
      </w:pPr>
      <w:r>
        <w:t xml:space="preserve">Current practice and problem recognition</w:t>
      </w:r>
    </w:p>
    <w:p>
      <w:pPr>
        <w:pStyle w:val="Compact"/>
        <w:numPr>
          <w:ilvl w:val="0"/>
          <w:numId w:val="1012"/>
        </w:numPr>
      </w:pPr>
      <w:r>
        <w:t xml:space="preserve">How does your institution currently handle a request to erase personal data that is also subject to an audit-retention obligation? Is there a documented position, or is it decided case by case?</w:t>
      </w:r>
    </w:p>
    <w:p>
      <w:pPr>
        <w:pStyle w:val="Compact"/>
        <w:numPr>
          <w:ilvl w:val="0"/>
          <w:numId w:val="1012"/>
        </w:numPr>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pStyle w:val="Compact"/>
        <w:numPr>
          <w:ilvl w:val="0"/>
          <w:numId w:val="1012"/>
        </w:numPr>
      </w:pPr>
      <w:r>
        <w:t xml:space="preserve">Where in your organisation would responsibility for resolving this sit?</w:t>
      </w:r>
    </w:p>
    <w:bookmarkEnd w:id="141"/>
    <w:bookmarkStart w:id="142" w:name="legal-defensibility"/>
    <w:p>
      <w:pPr>
        <w:pStyle w:val="Heading3"/>
      </w:pPr>
      <w:r>
        <w:t xml:space="preserve">Legal defensibility</w:t>
      </w:r>
    </w:p>
    <w:p>
      <w:pPr>
        <w:pStyle w:val="Compact"/>
        <w:numPr>
          <w:ilvl w:val="0"/>
          <w:numId w:val="1013"/>
        </w:numPr>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pStyle w:val="Compact"/>
        <w:numPr>
          <w:ilvl w:val="0"/>
          <w:numId w:val="1013"/>
        </w:numPr>
      </w:pPr>
      <w:r>
        <w:t xml:space="preserve">What would a supervisory authority need to see before accepting it?</w:t>
      </w:r>
    </w:p>
    <w:p>
      <w:pPr>
        <w:pStyle w:val="Compact"/>
        <w:numPr>
          <w:ilvl w:val="0"/>
          <w:numId w:val="1013"/>
        </w:numPr>
      </w:pPr>
      <w:r>
        <w:t xml:space="preserve">The surviving residue is characterised as pseudonymised rather than anonymous. Does that characterisation match your reading of the Norwegian threshold?</w:t>
      </w:r>
    </w:p>
    <w:p>
      <w:pPr>
        <w:pStyle w:val="Compact"/>
        <w:numPr>
          <w:ilvl w:val="0"/>
          <w:numId w:val="1013"/>
        </w:numPr>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2"/>
    <w:bookmarkStart w:id="143" w:name="trust-and-key-custody"/>
    <w:p>
      <w:pPr>
        <w:pStyle w:val="Heading3"/>
      </w:pPr>
      <w:r>
        <w:t xml:space="preserve">Trust and key custody</w:t>
      </w:r>
    </w:p>
    <w:p>
      <w:pPr>
        <w:pStyle w:val="Compact"/>
        <w:numPr>
          <w:ilvl w:val="0"/>
          <w:numId w:val="1014"/>
        </w:numPr>
      </w:pPr>
      <w:r>
        <w:t xml:space="preserve">The invalidation entry attests that a key was destroyed; it does not prove it. Is attestation sufficient in your operating context, and if not, what would make it sufficient?</w:t>
      </w:r>
    </w:p>
    <w:p>
      <w:pPr>
        <w:pStyle w:val="Compact"/>
        <w:numPr>
          <w:ilvl w:val="0"/>
          <w:numId w:val="1014"/>
        </w:numPr>
      </w:pPr>
      <w:r>
        <w:t xml:space="preserve">Where would key custody sit in your architecture, and what failure modes concern you most?</w:t>
      </w:r>
    </w:p>
    <w:p>
      <w:pPr>
        <w:pStyle w:val="Compact"/>
        <w:numPr>
          <w:ilvl w:val="0"/>
          <w:numId w:val="1014"/>
        </w:numPr>
      </w:pPr>
      <w:r>
        <w:t xml:space="preserve">Does per-record key granularity create a single point of failure you would be unwilling to accept without hardware-backed attestation?</w:t>
      </w:r>
    </w:p>
    <w:bookmarkEnd w:id="143"/>
    <w:bookmarkStart w:id="144" w:name="operational-viability"/>
    <w:p>
      <w:pPr>
        <w:pStyle w:val="Heading3"/>
      </w:pPr>
      <w:r>
        <w:t xml:space="preserve">Operational viability</w:t>
      </w:r>
    </w:p>
    <w:p>
      <w:pPr>
        <w:pStyle w:val="Compact"/>
        <w:numPr>
          <w:ilvl w:val="0"/>
          <w:numId w:val="1015"/>
        </w:numPr>
      </w:pPr>
      <w:r>
        <w:t xml:space="preserve">What would implementing this at your institution actually require: systems, process, people?</w:t>
      </w:r>
    </w:p>
    <w:p>
      <w:pPr>
        <w:pStyle w:val="Compact"/>
        <w:numPr>
          <w:ilvl w:val="0"/>
          <w:numId w:val="1015"/>
        </w:numPr>
      </w:pPr>
      <w:r>
        <w:t xml:space="preserve">At what record volume would the per-record key registry become a problem?</w:t>
      </w:r>
    </w:p>
    <w:p>
      <w:pPr>
        <w:pStyle w:val="Compact"/>
        <w:numPr>
          <w:ilvl w:val="0"/>
          <w:numId w:val="1015"/>
        </w:numPr>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bookmarkEnd w:id="144"/>
    <w:bookmarkEnd w:id="145"/>
    <w:bookmarkStart w:id="151"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6" w:name="dimension-1-perceived-utility"/>
    <w:p>
      <w:pPr>
        <w:pStyle w:val="Heading3"/>
      </w:pPr>
      <w:r>
        <w:t xml:space="preserve">Dimension 1: Perceived utility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U1</w:t>
            </w:r>
          </w:p>
        </w:tc>
        <w:tc>
          <w:tcPr/>
          <w:p>
            <w:pPr>
              <w:pStyle w:val="Compact"/>
              <w:jc w:val="left"/>
            </w:pPr>
            <w:r>
              <w:rPr>
                <w:iCs/>
                <w:i/>
                <w:sz w:val="20"/>
                <w:szCs w:val="20"/>
              </w:rPr>
              <w:t xml:space="preserve">The key-invalidation mechanism effectively resolves the conflict between retention floors and erasure ceilings.</w:t>
            </w:r>
          </w:p>
        </w:tc>
      </w:tr>
      <w:tr>
        <w:trPr>
          <w:cantSplit/>
        </w:trPr>
        <w:tc>
          <w:tcPr/>
          <w:p>
            <w:pPr>
              <w:pStyle w:val="Compact"/>
              <w:jc w:val="left"/>
            </w:pPr>
            <w:r>
              <w:rPr>
                <w:sz w:val="20"/>
                <w:szCs w:val="20"/>
              </w:rPr>
              <w:t xml:space="preserve">U2</w:t>
            </w:r>
          </w:p>
        </w:tc>
        <w:tc>
          <w:tcPr/>
          <w:p>
            <w:pPr>
              <w:pStyle w:val="Compact"/>
              <w:jc w:val="left"/>
            </w:pPr>
            <w:r>
              <w:rPr>
                <w:sz w:val="20"/>
                <w:szCs w:val="20"/>
              </w:rPr>
              <w:t xml:space="preserve">The problem this mechanism addresses is one my institution will face in practice.</w:t>
            </w:r>
          </w:p>
        </w:tc>
      </w:tr>
      <w:tr>
        <w:trPr>
          <w:cantSplit/>
        </w:trPr>
        <w:tc>
          <w:tcPr/>
          <w:p>
            <w:pPr>
              <w:pStyle w:val="Compact"/>
              <w:jc w:val="left"/>
            </w:pPr>
            <w:r>
              <w:rPr>
                <w:sz w:val="20"/>
                <w:szCs w:val="20"/>
              </w:rPr>
              <w:t xml:space="preserve">U3</w:t>
            </w:r>
          </w:p>
        </w:tc>
        <w:tc>
          <w:tcPr/>
          <w:p>
            <w:pPr>
              <w:pStyle w:val="Compact"/>
              <w:jc w:val="left"/>
            </w:pPr>
            <w:r>
              <w:rPr>
                <w:sz w:val="20"/>
                <w:szCs w:val="20"/>
              </w:rPr>
              <w:t xml:space="preserve">The mechanism addresses the problem more effectively than the approach my institution currently uses or would default to.</w:t>
            </w:r>
          </w:p>
        </w:tc>
      </w:tr>
      <w:tr>
        <w:trPr>
          <w:cantSplit/>
        </w:trPr>
        <w:tc>
          <w:tcPr/>
          <w:p>
            <w:pPr>
              <w:pStyle w:val="Compact"/>
              <w:jc w:val="left"/>
            </w:pPr>
            <w:r>
              <w:rPr>
                <w:sz w:val="20"/>
                <w:szCs w:val="20"/>
              </w:rPr>
              <w:t xml:space="preserve">U4</w:t>
            </w:r>
          </w:p>
        </w:tc>
        <w:tc>
          <w:tcPr/>
          <w:p>
            <w:pPr>
              <w:pStyle w:val="Compact"/>
              <w:jc w:val="left"/>
            </w:pPr>
            <w:r>
              <w:rPr>
                <w:sz w:val="20"/>
                <w:szCs w:val="20"/>
              </w:rPr>
              <w:t xml:space="preserve">The distinction between plaintext verifiability and accountability-preserving verifiability is one I had not previously considered explicitly.</w:t>
            </w:r>
          </w:p>
        </w:tc>
      </w:tr>
    </w:tbl>
    <w:bookmarkEnd w:id="146"/>
    <w:bookmarkStart w:id="147" w:name="dimension-2-regulatory-alignment"/>
    <w:p>
      <w:pPr>
        <w:pStyle w:val="Heading3"/>
      </w:pPr>
      <w:r>
        <w:t xml:space="preserve">Dimension 2: Regulatory alignment</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R1</w:t>
            </w:r>
          </w:p>
        </w:tc>
        <w:tc>
          <w:tcPr/>
          <w:p>
            <w:pPr>
              <w:pStyle w:val="Compact"/>
              <w:jc w:val="left"/>
            </w:pPr>
            <w:r>
              <w:rPr>
                <w:iCs/>
                <w:i/>
                <w:sz w:val="20"/>
                <w:szCs w:val="20"/>
              </w:rPr>
              <w:t xml:space="preserve">The residual audit log provides sufficient verification without violating GDPR Article 17 or EDPB guidelines.</w:t>
            </w:r>
          </w:p>
        </w:tc>
      </w:tr>
      <w:tr>
        <w:trPr>
          <w:cantSplit/>
        </w:trPr>
        <w:tc>
          <w:tcPr/>
          <w:p>
            <w:pPr>
              <w:pStyle w:val="Compact"/>
              <w:jc w:val="left"/>
            </w:pPr>
            <w:r>
              <w:rPr>
                <w:sz w:val="20"/>
                <w:szCs w:val="20"/>
              </w:rPr>
              <w:t xml:space="preserve">R2</w:t>
            </w:r>
          </w:p>
        </w:tc>
        <w:tc>
          <w:tcPr/>
          <w:p>
            <w:pPr>
              <w:pStyle w:val="Compact"/>
              <w:jc w:val="left"/>
            </w:pPr>
            <w:r>
              <w:rPr>
                <w:sz w:val="20"/>
                <w:szCs w:val="20"/>
              </w:rPr>
              <w:t xml:space="preserve">The surviving residue — metadata, commitment, invalidation entry — would be defensible to a supervisory authority.</w:t>
            </w:r>
          </w:p>
        </w:tc>
      </w:tr>
      <w:tr>
        <w:trPr>
          <w:cantSplit/>
        </w:trPr>
        <w:tc>
          <w:tcPr/>
          <w:p>
            <w:pPr>
              <w:pStyle w:val="Compact"/>
              <w:jc w:val="left"/>
            </w:pPr>
            <w:r>
              <w:rPr>
                <w:sz w:val="20"/>
                <w:szCs w:val="20"/>
              </w:rPr>
              <w:t xml:space="preserve">R3</w:t>
            </w:r>
          </w:p>
        </w:tc>
        <w:tc>
          <w:tcPr/>
          <w:p>
            <w:pPr>
              <w:pStyle w:val="Compact"/>
              <w:jc w:val="left"/>
            </w:pPr>
            <w:r>
              <w:rPr>
                <w:sz w:val="20"/>
                <w:szCs w:val="20"/>
              </w:rPr>
              <w:t xml:space="preserve">Article 68(12) should be read as reaching the access logs generated within a Secure Processing Environment.</w:t>
            </w:r>
          </w:p>
        </w:tc>
      </w:tr>
      <w:tr>
        <w:trPr>
          <w:cantSplit/>
        </w:trPr>
        <w:tc>
          <w:tcPr/>
          <w:p>
            <w:pPr>
              <w:pStyle w:val="Compact"/>
              <w:jc w:val="left"/>
            </w:pPr>
            <w:r>
              <w:rPr>
                <w:sz w:val="20"/>
                <w:szCs w:val="20"/>
              </w:rPr>
              <w:t xml:space="preserve">R4</w:t>
            </w:r>
          </w:p>
        </w:tc>
        <w:tc>
          <w:tcPr/>
          <w:p>
            <w:pPr>
              <w:pStyle w:val="Compact"/>
              <w:jc w:val="left"/>
            </w:pPr>
            <w:r>
              <w:rPr>
                <w:sz w:val="20"/>
                <w:szCs w:val="20"/>
              </w:rPr>
              <w:t xml:space="preserve">The mechanism’s characterisation of its residue as pseudonymised rather than anonymous is the correct characterisation.</w:t>
            </w:r>
          </w:p>
        </w:tc>
      </w:tr>
    </w:tbl>
    <w:bookmarkEnd w:id="147"/>
    <w:bookmarkStart w:id="148" w:name="dimension-3-operational-viability"/>
    <w:p>
      <w:pPr>
        <w:pStyle w:val="Heading3"/>
      </w:pPr>
      <w:r>
        <w:t xml:space="preserve">Dimension 3: Operational viability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O1</w:t>
            </w:r>
          </w:p>
        </w:tc>
        <w:tc>
          <w:tcPr/>
          <w:p>
            <w:pPr>
              <w:pStyle w:val="Compact"/>
              <w:jc w:val="left"/>
            </w:pPr>
            <w:r>
              <w:rPr>
                <w:iCs/>
                <w:i/>
                <w:sz w:val="20"/>
                <w:szCs w:val="20"/>
              </w:rPr>
              <w:t xml:space="preserve">The proposed key registry structure is practical to implement within current Norwegian health data infrastructure (SPUHiN / NORTRE).</w:t>
            </w:r>
          </w:p>
        </w:tc>
      </w:tr>
      <w:tr>
        <w:trPr>
          <w:cantSplit/>
        </w:trPr>
        <w:tc>
          <w:tcPr/>
          <w:p>
            <w:pPr>
              <w:pStyle w:val="Compact"/>
              <w:jc w:val="left"/>
            </w:pPr>
            <w:r>
              <w:rPr>
                <w:sz w:val="20"/>
                <w:szCs w:val="20"/>
              </w:rPr>
              <w:t xml:space="preserve">O2</w:t>
            </w:r>
          </w:p>
        </w:tc>
        <w:tc>
          <w:tcPr/>
          <w:p>
            <w:pPr>
              <w:pStyle w:val="Compact"/>
              <w:jc w:val="left"/>
            </w:pPr>
            <w:r>
              <w:rPr>
                <w:sz w:val="20"/>
                <w:szCs w:val="20"/>
              </w:rPr>
              <w:t xml:space="preserve">Per-record key granularity is operationally sustainable at the record volumes my institution handles.</w:t>
            </w:r>
          </w:p>
        </w:tc>
      </w:tr>
      <w:tr>
        <w:trPr>
          <w:cantSplit/>
        </w:trPr>
        <w:tc>
          <w:tcPr/>
          <w:p>
            <w:pPr>
              <w:pStyle w:val="Compact"/>
              <w:jc w:val="left"/>
            </w:pPr>
            <w:r>
              <w:rPr>
                <w:sz w:val="20"/>
                <w:szCs w:val="20"/>
              </w:rPr>
              <w:t xml:space="preserve">O3</w:t>
            </w:r>
          </w:p>
        </w:tc>
        <w:tc>
          <w:tcPr/>
          <w:p>
            <w:pPr>
              <w:pStyle w:val="Compact"/>
              <w:jc w:val="left"/>
            </w:pPr>
            <w:r>
              <w:rPr>
                <w:sz w:val="20"/>
                <w:szCs w:val="20"/>
              </w:rPr>
              <w:t xml:space="preserve">The mechanism requires nothing of the processing environment beyond what the finalised national criteria already demand.</w:t>
            </w:r>
          </w:p>
        </w:tc>
      </w:tr>
      <w:tr>
        <w:trPr>
          <w:cantSplit/>
        </w:trPr>
        <w:tc>
          <w:tcPr/>
          <w:p>
            <w:pPr>
              <w:pStyle w:val="Compact"/>
              <w:jc w:val="left"/>
            </w:pPr>
            <w:r>
              <w:rPr>
                <w:sz w:val="20"/>
                <w:szCs w:val="20"/>
              </w:rPr>
              <w:t xml:space="preserve">O4</w:t>
            </w:r>
          </w:p>
        </w:tc>
        <w:tc>
          <w:tcPr/>
          <w:p>
            <w:pPr>
              <w:pStyle w:val="Compact"/>
              <w:jc w:val="left"/>
            </w:pPr>
            <w:r>
              <w:rPr>
                <w:sz w:val="20"/>
                <w:szCs w:val="20"/>
              </w:rPr>
              <w:t xml:space="preserve">Placing the mechanism at the audit-logging boundary, rather than inside the processing environment, is the right architectural choice.</w:t>
            </w:r>
          </w:p>
        </w:tc>
      </w:tr>
    </w:tbl>
    <w:bookmarkEnd w:id="148"/>
    <w:bookmarkStart w:id="149" w:name="dimension-4-audit-integrity"/>
    <w:p>
      <w:pPr>
        <w:pStyle w:val="Heading3"/>
      </w:pPr>
      <w:r>
        <w:t xml:space="preserve">Dimension 4: Audit integrity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A1</w:t>
            </w:r>
          </w:p>
        </w:tc>
        <w:tc>
          <w:tcPr/>
          <w:p>
            <w:pPr>
              <w:pStyle w:val="Compact"/>
              <w:jc w:val="left"/>
            </w:pPr>
            <w:r>
              <w:rPr>
                <w:sz w:val="20"/>
                <w:szCs w:val="20"/>
              </w:rPr>
              <w:t xml:space="preserve">The mechanism lets an auditor verify that a record’s invalidation was logged at the required month and has not been altered since.</w:t>
            </w:r>
          </w:p>
        </w:tc>
      </w:tr>
      <w:tr>
        <w:trPr>
          <w:cantSplit/>
        </w:trPr>
        <w:tc>
          <w:tcPr/>
          <w:p>
            <w:pPr>
              <w:pStyle w:val="Compact"/>
              <w:jc w:val="left"/>
            </w:pPr>
            <w:r>
              <w:rPr>
                <w:sz w:val="20"/>
                <w:szCs w:val="20"/>
              </w:rPr>
              <w:t xml:space="preserve">A2</w:t>
            </w:r>
          </w:p>
        </w:tc>
        <w:tc>
          <w:tcPr/>
          <w:p>
            <w:pPr>
              <w:pStyle w:val="Compact"/>
              <w:jc w:val="left"/>
            </w:pPr>
            <w:r>
              <w:rPr>
                <w:sz w:val="20"/>
                <w:szCs w:val="20"/>
              </w:rPr>
              <w:t xml:space="preserve">An attested invalidation entry, without hardware-backed proof of key destruction, is sufficient for audit purposes in my context.</w:t>
            </w:r>
          </w:p>
        </w:tc>
      </w:tr>
      <w:tr>
        <w:trPr>
          <w:cantSplit/>
        </w:trPr>
        <w:tc>
          <w:tcPr/>
          <w:p>
            <w:pPr>
              <w:pStyle w:val="Compact"/>
              <w:jc w:val="left"/>
            </w:pPr>
            <w:r>
              <w:rPr>
                <w:sz w:val="20"/>
                <w:szCs w:val="20"/>
              </w:rPr>
              <w:t xml:space="preserve">A3</w:t>
            </w:r>
          </w:p>
        </w:tc>
        <w:tc>
          <w:tcPr/>
          <w:p>
            <w:pPr>
              <w:pStyle w:val="Compact"/>
              <w:jc w:val="left"/>
            </w:pPr>
            <w:r>
              <w:rPr>
                <w:sz w:val="20"/>
                <w:szCs w:val="20"/>
              </w:rPr>
              <w:t xml:space="preserve">The mechanism provides stronger audit assurance than deleting the record and logging that a deletion occurred.</w:t>
            </w:r>
          </w:p>
        </w:tc>
      </w:tr>
      <w:tr>
        <w:trPr>
          <w:cantSplit/>
        </w:trPr>
        <w:tc>
          <w:tcPr/>
          <w:p>
            <w:pPr>
              <w:pStyle w:val="Compact"/>
              <w:jc w:val="left"/>
            </w:pPr>
            <w:r>
              <w:rPr>
                <w:sz w:val="20"/>
                <w:szCs w:val="20"/>
              </w:rPr>
              <w:t xml:space="preserve">A4</w:t>
            </w:r>
          </w:p>
        </w:tc>
        <w:tc>
          <w:tcPr/>
          <w:p>
            <w:pPr>
              <w:pStyle w:val="Compact"/>
              <w:jc w:val="left"/>
            </w:pPr>
            <w:r>
              <w:rPr>
                <w:sz w:val="20"/>
                <w:szCs w:val="20"/>
              </w:rPr>
              <w:t xml:space="preserve">An external auditor could establish, from the surviving record alone, what was invalidated and on what legal ground.</w:t>
            </w:r>
          </w:p>
        </w:tc>
      </w:tr>
    </w:tbl>
    <w:bookmarkEnd w:id="149"/>
    <w:bookmarkStart w:id="150" w:name="open-items"/>
    <w:p>
      <w:pPr>
        <w:pStyle w:val="Heading3"/>
      </w:pPr>
      <w:r>
        <w:t xml:space="preserve">Open items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Prompt</w:t>
            </w:r>
          </w:p>
        </w:tc>
      </w:tr>
      <w:tr>
        <w:trPr>
          <w:cantSplit/>
        </w:trPr>
        <w:tc>
          <w:tcPr/>
          <w:p>
            <w:pPr>
              <w:pStyle w:val="Compact"/>
              <w:jc w:val="left"/>
            </w:pPr>
            <w:r>
              <w:rPr>
                <w:sz w:val="20"/>
                <w:szCs w:val="20"/>
              </w:rPr>
              <w:t xml:space="preserve">X1</w:t>
            </w:r>
          </w:p>
        </w:tc>
        <w:tc>
          <w:tcPr/>
          <w:p>
            <w:pPr>
              <w:pStyle w:val="Compact"/>
              <w:jc w:val="left"/>
            </w:pPr>
            <w:r>
              <w:rPr>
                <w:sz w:val="20"/>
                <w:szCs w:val="20"/>
              </w:rPr>
              <w:t xml:space="preserve">The single change you would most want made to the design.</w:t>
            </w:r>
          </w:p>
        </w:tc>
      </w:tr>
      <w:tr>
        <w:trPr>
          <w:cantSplit/>
        </w:trPr>
        <w:tc>
          <w:tcPr/>
          <w:p>
            <w:pPr>
              <w:pStyle w:val="Compact"/>
              <w:jc w:val="left"/>
            </w:pPr>
            <w:r>
              <w:rPr>
                <w:sz w:val="20"/>
                <w:szCs w:val="20"/>
              </w:rPr>
              <w:t xml:space="preserve">X2</w:t>
            </w:r>
          </w:p>
        </w:tc>
        <w:tc>
          <w:tcPr/>
          <w:p>
            <w:pPr>
              <w:pStyle w:val="Compact"/>
              <w:jc w:val="left"/>
            </w:pPr>
            <w:r>
              <w:rPr>
                <w:sz w:val="20"/>
                <w:szCs w:val="20"/>
              </w:rPr>
              <w:t xml:space="preserve">The assumption in the design you consider least safe.</w:t>
            </w:r>
          </w:p>
        </w:tc>
      </w:tr>
      <w:tr>
        <w:trPr>
          <w:cantSplit/>
        </w:trPr>
        <w:tc>
          <w:tcPr/>
          <w:p>
            <w:pPr>
              <w:pStyle w:val="Compact"/>
              <w:jc w:val="left"/>
            </w:pPr>
            <w:r>
              <w:rPr>
                <w:sz w:val="20"/>
                <w:szCs w:val="20"/>
              </w:rPr>
              <w:t xml:space="preserve">X3</w:t>
            </w:r>
          </w:p>
        </w:tc>
        <w:tc>
          <w:tcPr/>
          <w:p>
            <w:pPr>
              <w:pStyle w:val="Compact"/>
              <w:jc w:val="left"/>
            </w:pPr>
            <w:r>
              <w:rPr>
                <w:sz w:val="20"/>
                <w:szCs w:val="20"/>
              </w:rPr>
              <w:t xml:space="preserve">Anything the questions above did not ask about.</w:t>
            </w:r>
          </w:p>
        </w:tc>
      </w:tr>
    </w:tbl>
    <w:p>
      <w:pPr>
        <w:pStyle w:val="BodyText"/>
        <w:spacing w:before="240" w:after="160" w:line="360" w:lineRule="auto"/>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states that the invalidation entry is an attestation rather than a proof. Analysis reads the two together.</w:t>
      </w:r>
    </w:p>
    <w:bookmarkEnd w:id="150"/>
    <w:bookmarkEnd w:id="151"/>
    <w:bookmarkStart w:id="152"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bookmarkEnd w:id="152"/>
    <w:bookmarkStart w:id="153"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w:t>
      </w:r>
      <w:hyperlink w:anchor="ch_3" w:history="1">
        <w:r>
          <w:rPr>
            <w:rStyle w:val="Hyperlink"/>
          </w:rPr>
          <w:t xml:space="preserve">Chapter 3</w:t>
        </w:r>
      </w:hyperlink>
      <w:r>
        <w:t xml:space="preserve">, </w:t>
      </w:r>
      <w:hyperlink w:anchor="sec_3_9" w:history="1">
        <w:r>
          <w:rPr>
            <w:rStyle w:val="Hyperlink"/>
          </w:rPr>
          <w:t xml:space="preserve">Section 3.9</w:t>
        </w:r>
      </w:hyperlink>
      <w:r>
        <w:t xml:space="preserve">,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bookmarkEnd w:id="153"/>
    <w:bookmarkStart w:id="154"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bookmarkEnd w:id="154"/>
    <w:bookmarkEnd w:id="155"/>
    <w:sectPr>
      <w:footerReference w:type="default" r:id="rIdFtr1"/>
      <w:pgSz w:w="11906" w:h="16838"/>
      <w:pgMar w:top="1418" w:right="1418" w:bottom="1418" w:left="1418"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0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0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before="0" w:after="16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before="0" w:after="16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before="20" w:after="20" w:line="240" w:lineRule="auto"/>
      <w:jc w:val="left"/>
    </w:pPr>
    <w:rPr>
      <w:sz w:val="20"/>
      <w:szCs w:val="20"/>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120" w:line="276" w:lineRule="auto"/>
      <w:ind w:left="567" w:hanging="567"/>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pageBreakBefore/>
      <w:pBdr>
        <w:bottom w:val="single" w:sz="8" w:space="6" w:color="1F3864"/>
      </w:pBdr>
      <w:spacing w:before="0" w:after="360" w:line="240" w:lineRule="auto"/>
      <w:jc w:val="left"/>
      <w:outlineLvl w:val="0"/>
    </w:pPr>
    <w:rPr>
      <w:rFonts w:ascii="Cambria" w:hAnsi="Cambria" w:cs="Cambria"/>
      <w:b/>
      <w:bCs/>
      <w:color w:val="1F3864"/>
      <w:sz w:val="34"/>
      <w:szCs w:val="34"/>
    </w:rPr>
  </w:style>
  <w:style w:styleId="Heading2" w:type="paragraph">
    <w:name w:val="Heading 2"/>
    <w:basedOn w:val="Normal"/>
    <w:next w:val="BodyText"/>
    <w:uiPriority w:val="9"/>
    <w:unhideWhenUsed/>
    <w:qFormat/>
    <w:pPr>
      <w:keepNext/>
      <w:keepLines/>
      <w:spacing w:before="360" w:after="120" w:line="240" w:lineRule="auto"/>
      <w:jc w:val="left"/>
      <w:outlineLvl w:val="1"/>
    </w:pPr>
    <w:rPr>
      <w:rFonts w:ascii="Cambria" w:hAnsi="Cambria" w:cs="Cambria"/>
      <w:b/>
      <w:bCs/>
      <w:color w:val="1F3864"/>
      <w:sz w:val="27"/>
      <w:szCs w:val="27"/>
    </w:rPr>
  </w:style>
  <w:style w:styleId="Heading3" w:type="paragraph">
    <w:name w:val="Heading 3"/>
    <w:basedOn w:val="Normal"/>
    <w:next w:val="BodyText"/>
    <w:uiPriority w:val="9"/>
    <w:unhideWhenUsed/>
    <w:qFormat/>
    <w:pPr>
      <w:keepNext/>
      <w:keepLines/>
      <w:spacing w:before="240" w:after="80" w:line="240" w:lineRule="auto"/>
      <w:jc w:val="left"/>
      <w:outlineLvl w:val="2"/>
    </w:pPr>
    <w:rPr>
      <w:rFonts w:ascii="Cambria" w:hAnsi="Cambria" w:cs="Cambria"/>
      <w:b/>
      <w:bCs/>
      <w:color w:val="1F3864"/>
      <w:i/>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val="single" w:sz="18" w:space="8" w:color="1F3864"/>
      </w:pBdr>
      <w:shd w:val="clear" w:color="auto" w:fill="F3F5F9"/>
      <w:spacing w:before="120" w:after="200" w:line="300" w:lineRule="auto"/>
      <w:ind w:left="340" w:right="34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before="240" w:after="100" w:line="240" w:lineRule="auto"/>
      <w:jc w:val="left"/>
    </w:pPr>
    <w:rPr>
      <w:i/>
      <w:color w:val="333333"/>
      <w:sz w:val="21"/>
      <w:szCs w:val="21"/>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color w:val="24292F"/>
      <w:sz w:val="20"/>
      <w:szCs w:val="20"/>
      <w:shd w:val="clear" w:color="auto" w:fill="F0F2F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pBdr>
        <w:top w:val="single" w:sz="4" w:space="4" w:color="C9D1D9"/>
        <w:left w:val="single" w:sz="4" w:space="6" w:color="C9D1D9"/>
        <w:bottom w:val="single" w:sz="4" w:space="4" w:color="C9D1D9"/>
        <w:right w:val="single" w:sz="4" w:space="6" w:color="C9D1D9"/>
      </w:pBdr>
      <w:shd w:val="clear" w:color="auto" w:fill="F6F8FA"/>
      <w:spacing w:before="120" w:after="200" w:line="240" w:lineRule="auto"/>
      <w:ind w:left="120" w:right="120"/>
      <w:jc w:val="left"/>
    </w:pPr>
    <w:rPr>
      <w:rFonts w:ascii="Consolas" w:hAnsi="Consolas" w:cs="Consolas"/>
      <w:color w:val="24292F"/>
      <w:sz w:val="17"/>
      <w:szCs w:val="17"/>
    </w:rPr>
  </w:style>
  <w:style w:type="character" w:customStyle="1" w:styleId="KeywordTok">
    <w:name w:val="KeywordTok"/>
    <w:basedOn w:val="VerbatimChar"/>
    <w:rPr>
      <w:color w:val="CF222E"/>
    </w:rPr>
  </w:style>
  <w:style w:type="character" w:customStyle="1" w:styleId="DataTypeTok">
    <w:name w:val="DataTypeTok"/>
    <w:basedOn w:val="VerbatimChar"/>
    <w:rPr>
      <w:color w:val="902000"/>
    </w:rPr>
  </w:style>
  <w:style w:type="character" w:customStyle="1" w:styleId="DecValTok">
    <w:name w:val="DecValTok"/>
    <w:basedOn w:val="VerbatimChar"/>
    <w:rPr>
      <w:color w:val="0550AE"/>
    </w:rPr>
  </w:style>
  <w:style w:type="character" w:customStyle="1" w:styleId="BaseNTok">
    <w:name w:val="BaseNTok"/>
    <w:basedOn w:val="VerbatimChar"/>
    <w:rPr>
      <w:color w:val="0550AE"/>
    </w:rPr>
  </w:style>
  <w:style w:type="character" w:customStyle="1" w:styleId="FloatTok">
    <w:name w:val="FloatTok"/>
    <w:basedOn w:val="VerbatimChar"/>
    <w:rPr>
      <w:color w:val="0550AE"/>
    </w:rPr>
  </w:style>
  <w:style w:type="character" w:customStyle="1" w:styleId="ConstantTok">
    <w:name w:val="ConstantTok"/>
    <w:basedOn w:val="VerbatimChar"/>
    <w:rPr>
      <w:color w:val="0550AE"/>
    </w:rPr>
  </w:style>
  <w:style w:type="character" w:customStyle="1" w:styleId="CharTok">
    <w:name w:val="CharTok"/>
    <w:basedOn w:val="VerbatimChar"/>
    <w:rPr>
      <w:color w:val="0A3069"/>
    </w:rPr>
  </w:style>
  <w:style w:type="character" w:customStyle="1" w:styleId="SpecialCharTok">
    <w:name w:val="SpecialCharTok"/>
    <w:basedOn w:val="VerbatimChar"/>
    <w:rPr>
      <w:color w:val="0550AE"/>
    </w:rPr>
  </w:style>
  <w:style w:type="character" w:customStyle="1" w:styleId="StringTok">
    <w:name w:val="StringTok"/>
    <w:basedOn w:val="VerbatimChar"/>
    <w:rPr>
      <w:color w:val="0A3069"/>
    </w:rPr>
  </w:style>
  <w:style w:type="character" w:customStyle="1" w:styleId="VerbatimStringTok">
    <w:name w:val="VerbatimStringTok"/>
    <w:basedOn w:val="VerbatimChar"/>
    <w:rPr>
      <w:color w:val="0A3069"/>
    </w:rPr>
  </w:style>
  <w:style w:type="character" w:customStyle="1" w:styleId="SpecialStringTok">
    <w:name w:val="SpecialStringTok"/>
    <w:basedOn w:val="VerbatimChar"/>
    <w:rPr>
      <w:color w:val="0A3069"/>
    </w:rPr>
  </w:style>
  <w:style w:type="character" w:customStyle="1" w:styleId="ImportTok">
    <w:name w:val="ImportTok"/>
    <w:basedOn w:val="VerbatimChar"/>
    <w:rPr>
      <w:color w:val="CF222E"/>
    </w:rPr>
  </w:style>
  <w:style w:type="character" w:customStyle="1" w:styleId="CommentTok">
    <w:name w:val="CommentTok"/>
    <w:basedOn w:val="VerbatimChar"/>
    <w:rPr>
      <w:color w:val="6E7781"/>
      <w:i/>
    </w:rPr>
  </w:style>
  <w:style w:type="character" w:customStyle="1" w:styleId="DocumentationTok">
    <w:name w:val="DocumentationTok"/>
    <w:basedOn w:val="VerbatimChar"/>
    <w:rPr>
      <w:color w:val="6E778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E7781"/>
      <w:i/>
    </w:rPr>
  </w:style>
  <w:style w:type="character" w:customStyle="1" w:styleId="OtherTok">
    <w:name w:val="OtherTok"/>
    <w:basedOn w:val="VerbatimChar"/>
    <w:rPr>
      <w:color w:val="24292F"/>
    </w:rPr>
  </w:style>
  <w:style w:type="character" w:customStyle="1" w:styleId="FunctionTok">
    <w:name w:val="FunctionTok"/>
    <w:basedOn w:val="VerbatimChar"/>
    <w:rPr>
      <w:color w:val="8250DF"/>
    </w:rPr>
  </w:style>
  <w:style w:type="character" w:customStyle="1" w:styleId="VariableTok">
    <w:name w:val="VariableTok"/>
    <w:basedOn w:val="VerbatimChar"/>
    <w:rPr>
      <w:color w:val="953800"/>
    </w:rPr>
  </w:style>
  <w:style w:type="character" w:customStyle="1" w:styleId="ControlFlowTok">
    <w:name w:val="ControlFlowTok"/>
    <w:basedOn w:val="VerbatimChar"/>
    <w:rPr>
      <w:color w:val="CF222E"/>
    </w:rPr>
  </w:style>
  <w:style w:type="character" w:customStyle="1" w:styleId="OperatorTok">
    <w:name w:val="OperatorTok"/>
    <w:basedOn w:val="VerbatimChar"/>
    <w:rPr>
      <w:color w:val="24292F"/>
    </w:rPr>
  </w:style>
  <w:style w:type="character" w:customStyle="1" w:styleId="BuiltInTok">
    <w:name w:val="BuiltInTok"/>
    <w:basedOn w:val="VerbatimChar"/>
    <w:rPr>
      <w:color w:val="8250DF"/>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0550AE"/>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CF222E"/>
    </w:rPr>
  </w:style>
  <w:style w:type="character" w:customStyle="1" w:styleId="ErrorTok">
    <w:name w:val="ErrorTok"/>
    <w:basedOn w:val="VerbatimChar"/>
    <w:rPr>
      <w:color w:val="CF222E"/>
    </w:rPr>
  </w:style>
  <w:style w:type="character" w:customStyle="1" w:styleId="NormalTok">
    <w:name w:val="NormalTok"/>
    <w:basedOn w:val="VerbatimChar"/>
    <w:rPr>
      <w:color w:val="24292F"/>
    </w:rPr>
  </w:style>
  <w:style w:type="paragraph" w:styleId="TOC1">
    <w:name w:val="toc 1"/>
    <w:pPr>
      <w:tabs>
        <w:tab w:val="right" w:leader="dot" w:pos="9060"/>
      </w:tabs>
      <w:spacing w:before="160" w:after="40" w:line="240" w:lineRule="auto"/>
    </w:pPr>
    <w:rPr>
      <w:b/>
      <w:sz w:val="22"/>
      <w:szCs w:val="22"/>
    </w:rPr>
  </w:style>
  <w:style w:type="paragraph" w:styleId="TOC2">
    <w:name w:val="toc 2"/>
    <w:pPr>
      <w:tabs>
        <w:tab w:val="right" w:leader="dot" w:pos="9060"/>
      </w:tabs>
      <w:spacing w:before="0" w:after="30" w:line="240" w:lineRule="auto"/>
      <w:ind w:left="440"/>
    </w:pPr>
    <w:rPr>
      <w:sz w:val="22"/>
      <w:szCs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2026-10-03T22:37:22Z</dcterms:created>
  <dcterms:modified xsi:type="dcterms:W3CDTF">2026-10-03T22:37:22Z</dcterms:modified>
</cp:coreProperties>
</file>

<file path=docProps/custom.xml><?xml version="1.0" encoding="utf-8"?>
<Properties xmlns="http://schemas.openxmlformats.org/officeDocument/2006/custom-properties" xmlns:vt="http://schemas.openxmlformats.org/officeDocument/2006/docPropsVTypes"/>
</file>