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56C24" w14:textId="77777777" w:rsidR="00243855" w:rsidRPr="00243855" w:rsidRDefault="00243855" w:rsidP="00F37D42">
      <w:pPr>
        <w:ind w:left="1440" w:firstLine="720"/>
        <w:rPr>
          <w:b/>
          <w:bCs/>
          <w:sz w:val="24"/>
          <w:szCs w:val="24"/>
        </w:rPr>
      </w:pPr>
      <w:r w:rsidRPr="00243855">
        <w:rPr>
          <w:b/>
          <w:bCs/>
          <w:sz w:val="24"/>
          <w:szCs w:val="24"/>
        </w:rPr>
        <w:t>Global Sports Salary Analysis</w:t>
      </w:r>
    </w:p>
    <w:p w14:paraId="64B25BBF" w14:textId="3BC3FC23" w:rsidR="00243855" w:rsidRPr="00243855" w:rsidRDefault="00243855" w:rsidP="00243855">
      <w:r w:rsidRPr="00243855">
        <w:rPr>
          <w:b/>
          <w:bCs/>
        </w:rPr>
        <w:t>Data Source:</w:t>
      </w:r>
      <w:r w:rsidRPr="00243855">
        <w:t xml:space="preserve"> </w:t>
      </w:r>
      <w:hyperlink r:id="rId5" w:history="1">
        <w:r w:rsidRPr="00243855">
          <w:rPr>
            <w:rStyle w:val="Hyperlink"/>
          </w:rPr>
          <w:t>Top teams Payroll List (Global Sport Finances)</w:t>
        </w:r>
      </w:hyperlink>
    </w:p>
    <w:p w14:paraId="297690D8" w14:textId="77777777" w:rsidR="00243855" w:rsidRPr="00243855" w:rsidRDefault="00243855" w:rsidP="00243855">
      <w:r w:rsidRPr="00243855">
        <w:rPr>
          <w:b/>
          <w:bCs/>
        </w:rPr>
        <w:t>Tableau Dashboard Overview:</w:t>
      </w:r>
    </w:p>
    <w:p w14:paraId="449F7BDF" w14:textId="77777777" w:rsidR="00243855" w:rsidRPr="00243855" w:rsidRDefault="00243855" w:rsidP="00243855">
      <w:r w:rsidRPr="00243855">
        <w:t>This dashboard provides a visual representation of the total payroll for teams across various sports leagues, ranked based on their previous year's performance.</w:t>
      </w:r>
    </w:p>
    <w:p w14:paraId="355FE5D7" w14:textId="77777777" w:rsidR="00243855" w:rsidRPr="00243855" w:rsidRDefault="00243855" w:rsidP="00243855">
      <w:r w:rsidRPr="00243855">
        <w:rPr>
          <w:b/>
          <w:bCs/>
        </w:rPr>
        <w:t>Key Metrics:</w:t>
      </w:r>
    </w:p>
    <w:p w14:paraId="3B013C0D" w14:textId="77777777" w:rsidR="00243855" w:rsidRPr="00243855" w:rsidRDefault="00243855" w:rsidP="00243855">
      <w:pPr>
        <w:numPr>
          <w:ilvl w:val="0"/>
          <w:numId w:val="5"/>
        </w:numPr>
      </w:pPr>
      <w:r w:rsidRPr="00243855">
        <w:rPr>
          <w:b/>
          <w:bCs/>
        </w:rPr>
        <w:t>Sum of Total Payroll:</w:t>
      </w:r>
      <w:r w:rsidRPr="00243855">
        <w:t xml:space="preserve"> Displays the total payroll for each team.</w:t>
      </w:r>
    </w:p>
    <w:p w14:paraId="39699B7C" w14:textId="77777777" w:rsidR="00243855" w:rsidRDefault="00243855" w:rsidP="00243855">
      <w:pPr>
        <w:numPr>
          <w:ilvl w:val="0"/>
          <w:numId w:val="5"/>
        </w:numPr>
      </w:pPr>
      <w:r w:rsidRPr="00243855">
        <w:rPr>
          <w:b/>
          <w:bCs/>
        </w:rPr>
        <w:t>Last Year's Rank:</w:t>
      </w:r>
      <w:r w:rsidRPr="00243855">
        <w:t xml:space="preserve"> Categorizes teams based on their ranking in the previous year.</w:t>
      </w:r>
    </w:p>
    <w:p w14:paraId="1856127B" w14:textId="77777777" w:rsidR="00F37D42" w:rsidRPr="00243855" w:rsidRDefault="00F37D42" w:rsidP="00F37D42">
      <w:pPr>
        <w:ind w:left="720"/>
      </w:pPr>
    </w:p>
    <w:p w14:paraId="237EB8F1" w14:textId="77777777" w:rsidR="00243855" w:rsidRPr="00243855" w:rsidRDefault="00243855" w:rsidP="00243855">
      <w:r w:rsidRPr="00243855">
        <w:rPr>
          <w:b/>
          <w:bCs/>
        </w:rPr>
        <w:t>Visualizations:</w:t>
      </w:r>
    </w:p>
    <w:p w14:paraId="4F89C7AC" w14:textId="77777777" w:rsidR="00243855" w:rsidRPr="00243855" w:rsidRDefault="00243855" w:rsidP="00243855">
      <w:pPr>
        <w:numPr>
          <w:ilvl w:val="0"/>
          <w:numId w:val="6"/>
        </w:numPr>
      </w:pPr>
      <w:r w:rsidRPr="00243855">
        <w:rPr>
          <w:b/>
          <w:bCs/>
        </w:rPr>
        <w:t>Bar Chart:</w:t>
      </w:r>
      <w:r w:rsidRPr="00243855">
        <w:t xml:space="preserve"> A bar chart represents the sum of total payroll for each team, grouped by league and last year's rank. This visualization allows for easy comparison of salary distributions across different sports and performance levels.</w:t>
      </w:r>
    </w:p>
    <w:p w14:paraId="73BDEE51" w14:textId="77777777" w:rsidR="00243855" w:rsidRPr="00243855" w:rsidRDefault="00243855" w:rsidP="00243855">
      <w:r w:rsidRPr="00243855">
        <w:rPr>
          <w:b/>
          <w:bCs/>
        </w:rPr>
        <w:t>Insights:</w:t>
      </w:r>
    </w:p>
    <w:p w14:paraId="586C9BA6" w14:textId="77777777" w:rsidR="00243855" w:rsidRPr="00243855" w:rsidRDefault="00243855" w:rsidP="00243855">
      <w:pPr>
        <w:numPr>
          <w:ilvl w:val="0"/>
          <w:numId w:val="7"/>
        </w:numPr>
      </w:pPr>
      <w:r w:rsidRPr="00243855">
        <w:rPr>
          <w:b/>
          <w:bCs/>
        </w:rPr>
        <w:t>Salary Disparity:</w:t>
      </w:r>
      <w:r w:rsidRPr="00243855">
        <w:t xml:space="preserve"> The bar chart reveals significant disparities in total payroll across different sports leagues. For example, teams in the NFL and MLB tend to have higher payrolls compared to those in the NBA and NHL.</w:t>
      </w:r>
    </w:p>
    <w:p w14:paraId="599C23D1" w14:textId="77777777" w:rsidR="00243855" w:rsidRPr="00243855" w:rsidRDefault="00243855" w:rsidP="00243855">
      <w:pPr>
        <w:numPr>
          <w:ilvl w:val="0"/>
          <w:numId w:val="7"/>
        </w:numPr>
      </w:pPr>
      <w:r w:rsidRPr="00243855">
        <w:rPr>
          <w:b/>
          <w:bCs/>
        </w:rPr>
        <w:t>Correlation Between Rank and Salary:</w:t>
      </w:r>
      <w:r w:rsidRPr="00243855">
        <w:t xml:space="preserve"> There appears to be a general correlation between higher-ranked teams and larger total payrolls, suggesting that teams with greater success tend to invest more in player salaries.</w:t>
      </w:r>
    </w:p>
    <w:p w14:paraId="5616F412" w14:textId="77777777" w:rsidR="00243855" w:rsidRPr="00243855" w:rsidRDefault="00243855" w:rsidP="00243855">
      <w:pPr>
        <w:numPr>
          <w:ilvl w:val="0"/>
          <w:numId w:val="7"/>
        </w:numPr>
      </w:pPr>
      <w:r w:rsidRPr="00243855">
        <w:rPr>
          <w:b/>
          <w:bCs/>
        </w:rPr>
        <w:t>League-Specific Trends:</w:t>
      </w:r>
      <w:r w:rsidRPr="00243855">
        <w:t xml:space="preserve"> The dashboard can be used to identify specific leagues with the highest or lowest average salaries. For instance, the NFL might have the highest average salaries, while leagues like the NHL or NBA could have more balanced salary distributions.</w:t>
      </w:r>
    </w:p>
    <w:p w14:paraId="499E4D00" w14:textId="77777777" w:rsidR="00243855" w:rsidRPr="00243855" w:rsidRDefault="00243855" w:rsidP="00243855">
      <w:r w:rsidRPr="00243855">
        <w:rPr>
          <w:b/>
          <w:bCs/>
        </w:rPr>
        <w:t>Recommendations:</w:t>
      </w:r>
    </w:p>
    <w:p w14:paraId="58FCD982" w14:textId="77777777" w:rsidR="00243855" w:rsidRPr="00243855" w:rsidRDefault="00243855" w:rsidP="00243855">
      <w:pPr>
        <w:numPr>
          <w:ilvl w:val="0"/>
          <w:numId w:val="8"/>
        </w:numPr>
      </w:pPr>
      <w:r w:rsidRPr="00243855">
        <w:rPr>
          <w:b/>
          <w:bCs/>
        </w:rPr>
        <w:t>NFL and MLB:</w:t>
      </w:r>
      <w:r w:rsidRPr="00243855">
        <w:t xml:space="preserve"> Given the higher payrolls in these leagues, teams might consider strategies to optimize their spending to maintain competitiveness while managing costs.</w:t>
      </w:r>
    </w:p>
    <w:p w14:paraId="77312844" w14:textId="77777777" w:rsidR="00243855" w:rsidRPr="00243855" w:rsidRDefault="00243855" w:rsidP="00243855">
      <w:pPr>
        <w:numPr>
          <w:ilvl w:val="0"/>
          <w:numId w:val="8"/>
        </w:numPr>
      </w:pPr>
      <w:r w:rsidRPr="00243855">
        <w:rPr>
          <w:b/>
          <w:bCs/>
        </w:rPr>
        <w:t>NBA and NHL:</w:t>
      </w:r>
      <w:r w:rsidRPr="00243855">
        <w:t xml:space="preserve"> Teams in these leagues could explore ways to increase revenue streams or negotiate more favorable contracts to compete with higher-paying leagues.</w:t>
      </w:r>
    </w:p>
    <w:p w14:paraId="33E2A2F4" w14:textId="77777777" w:rsidR="00243855" w:rsidRPr="00243855" w:rsidRDefault="00243855" w:rsidP="00243855">
      <w:pPr>
        <w:numPr>
          <w:ilvl w:val="0"/>
          <w:numId w:val="8"/>
        </w:numPr>
      </w:pPr>
      <w:r w:rsidRPr="00243855">
        <w:rPr>
          <w:b/>
          <w:bCs/>
        </w:rPr>
        <w:t>Emerging Leagues:</w:t>
      </w:r>
      <w:r w:rsidRPr="00243855">
        <w:t xml:space="preserve"> Leagues with lower average salaries might focus on attracting talent through other incentives like player development opportunities or long-term contracts.</w:t>
      </w:r>
    </w:p>
    <w:p w14:paraId="18923400" w14:textId="77777777" w:rsidR="00243855" w:rsidRPr="00243855" w:rsidRDefault="00243855" w:rsidP="00243855">
      <w:pPr>
        <w:numPr>
          <w:ilvl w:val="0"/>
          <w:numId w:val="8"/>
        </w:numPr>
      </w:pPr>
      <w:r w:rsidRPr="00243855">
        <w:rPr>
          <w:b/>
          <w:bCs/>
        </w:rPr>
        <w:t>Data-Driven Decision Making:</w:t>
      </w:r>
      <w:r w:rsidRPr="00243855">
        <w:t xml:space="preserve"> Teams should continue to leverage data analytics to identify trends, assess player value, and make informed decisions regarding salary allocation.</w:t>
      </w:r>
    </w:p>
    <w:p w14:paraId="37108647" w14:textId="77777777" w:rsidR="007F2CC7" w:rsidRDefault="007F2CC7" w:rsidP="00243855">
      <w:pPr>
        <w:rPr>
          <w:b/>
          <w:bCs/>
        </w:rPr>
      </w:pPr>
    </w:p>
    <w:p w14:paraId="54B31F19" w14:textId="77777777" w:rsidR="007F2CC7" w:rsidRDefault="007F2CC7" w:rsidP="00243855">
      <w:pPr>
        <w:rPr>
          <w:b/>
          <w:bCs/>
        </w:rPr>
      </w:pPr>
    </w:p>
    <w:p w14:paraId="3BE190CF" w14:textId="0FFC14B5" w:rsidR="00243855" w:rsidRPr="00243855" w:rsidRDefault="00243855" w:rsidP="00243855">
      <w:r w:rsidRPr="00243855">
        <w:rPr>
          <w:b/>
          <w:bCs/>
        </w:rPr>
        <w:t>Conclusion:</w:t>
      </w:r>
    </w:p>
    <w:p w14:paraId="577D2080" w14:textId="77777777" w:rsidR="00243855" w:rsidRDefault="00243855" w:rsidP="00243855">
      <w:r w:rsidRPr="00243855">
        <w:t>This Tableau dashboard offers valuable insights into the financial landscape of professional sports leagues. By understanding salary disparities and trends, teams can make more informed decisions regarding player acquisition, contract negotiations, and overall financial management.</w:t>
      </w:r>
    </w:p>
    <w:p w14:paraId="26BFA3C5" w14:textId="77777777" w:rsidR="00243855" w:rsidRDefault="00243855" w:rsidP="00243855"/>
    <w:p w14:paraId="5E6D079A" w14:textId="77777777" w:rsidR="00F37D42" w:rsidRDefault="00F37D42" w:rsidP="00243855"/>
    <w:p w14:paraId="1F369BBB" w14:textId="77777777" w:rsidR="00243855" w:rsidRPr="00400E33" w:rsidRDefault="00243855" w:rsidP="00243855">
      <w:r w:rsidRPr="00400E33">
        <w:rPr>
          <w:b/>
          <w:bCs/>
          <w:u w:val="single"/>
        </w:rPr>
        <w:t>Description of “Top Teams Payroll Analysis</w:t>
      </w:r>
    </w:p>
    <w:p w14:paraId="0D0127F5" w14:textId="77777777" w:rsidR="00243855" w:rsidRPr="00400E33" w:rsidRDefault="00243855" w:rsidP="00243855">
      <w:r w:rsidRPr="00400E33">
        <w:t>Sum of Total Payroll for each Last Year's Rank broken down by Team, League.</w:t>
      </w:r>
    </w:p>
    <w:p w14:paraId="00669F60" w14:textId="77777777" w:rsidR="00243855" w:rsidRPr="00400E33" w:rsidRDefault="00243855" w:rsidP="00243855">
      <w:r w:rsidRPr="00400E33">
        <w:rPr>
          <w:b/>
          <w:bCs/>
          <w:u w:val="single"/>
        </w:rPr>
        <w:t>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2"/>
      </w:tblGrid>
      <w:tr w:rsidR="00243855" w:rsidRPr="00400E33" w14:paraId="2CCF5305" w14:textId="77777777" w:rsidTr="00D60D1B">
        <w:trPr>
          <w:tblCellSpacing w:w="15" w:type="dxa"/>
        </w:trPr>
        <w:tc>
          <w:tcPr>
            <w:tcW w:w="0" w:type="auto"/>
            <w:tcMar>
              <w:top w:w="15" w:type="dxa"/>
              <w:left w:w="15" w:type="dxa"/>
              <w:bottom w:w="15" w:type="dxa"/>
              <w:right w:w="60" w:type="dxa"/>
            </w:tcMar>
            <w:vAlign w:val="center"/>
            <w:hideMark/>
          </w:tcPr>
          <w:p w14:paraId="7BFCD048" w14:textId="77777777" w:rsidR="00243855" w:rsidRPr="00400E33" w:rsidRDefault="00243855" w:rsidP="00D60D1B">
            <w:r w:rsidRPr="00400E33">
              <w:t>The mark type is Bar (Automatic).</w:t>
            </w:r>
          </w:p>
        </w:tc>
      </w:tr>
      <w:tr w:rsidR="00243855" w:rsidRPr="00400E33" w14:paraId="1C32A8DE" w14:textId="77777777" w:rsidTr="00D60D1B">
        <w:trPr>
          <w:tblCellSpacing w:w="15" w:type="dxa"/>
        </w:trPr>
        <w:tc>
          <w:tcPr>
            <w:tcW w:w="0" w:type="auto"/>
            <w:tcMar>
              <w:top w:w="15" w:type="dxa"/>
              <w:left w:w="15" w:type="dxa"/>
              <w:bottom w:w="15" w:type="dxa"/>
              <w:right w:w="60" w:type="dxa"/>
            </w:tcMar>
            <w:vAlign w:val="center"/>
            <w:hideMark/>
          </w:tcPr>
          <w:p w14:paraId="28B0A83B" w14:textId="77777777" w:rsidR="00243855" w:rsidRPr="00400E33" w:rsidRDefault="00243855" w:rsidP="00D60D1B">
            <w:r w:rsidRPr="00400E33">
              <w:t>The marks are labelled automatically.</w:t>
            </w:r>
          </w:p>
        </w:tc>
      </w:tr>
      <w:tr w:rsidR="00243855" w:rsidRPr="00400E33" w14:paraId="2F6E1CC8" w14:textId="77777777" w:rsidTr="00D60D1B">
        <w:trPr>
          <w:tblCellSpacing w:w="15" w:type="dxa"/>
        </w:trPr>
        <w:tc>
          <w:tcPr>
            <w:tcW w:w="0" w:type="auto"/>
            <w:tcMar>
              <w:top w:w="15" w:type="dxa"/>
              <w:left w:w="15" w:type="dxa"/>
              <w:bottom w:w="15" w:type="dxa"/>
              <w:right w:w="60" w:type="dxa"/>
            </w:tcMar>
            <w:vAlign w:val="center"/>
            <w:hideMark/>
          </w:tcPr>
          <w:p w14:paraId="5E85006C" w14:textId="77777777" w:rsidR="00243855" w:rsidRPr="00400E33" w:rsidRDefault="00243855" w:rsidP="00D60D1B">
            <w:r w:rsidRPr="00400E33">
              <w:t>Stacked marks is on.</w:t>
            </w:r>
          </w:p>
        </w:tc>
      </w:tr>
    </w:tbl>
    <w:p w14:paraId="2E52ED90" w14:textId="77777777" w:rsidR="00243855" w:rsidRPr="00400E33" w:rsidRDefault="00243855" w:rsidP="00243855">
      <w:r w:rsidRPr="00400E33">
        <w:rPr>
          <w:b/>
          <w:bCs/>
          <w:u w:val="single"/>
        </w:rPr>
        <w:t>Shelves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3"/>
        <w:gridCol w:w="2857"/>
      </w:tblGrid>
      <w:tr w:rsidR="00243855" w:rsidRPr="00400E33" w14:paraId="61ED9E41" w14:textId="77777777" w:rsidTr="00D60D1B">
        <w:trPr>
          <w:tblCellSpacing w:w="15" w:type="dxa"/>
        </w:trPr>
        <w:tc>
          <w:tcPr>
            <w:tcW w:w="0" w:type="auto"/>
            <w:tcMar>
              <w:top w:w="15" w:type="dxa"/>
              <w:left w:w="15" w:type="dxa"/>
              <w:bottom w:w="15" w:type="dxa"/>
              <w:right w:w="60" w:type="dxa"/>
            </w:tcMar>
            <w:vAlign w:val="center"/>
            <w:hideMark/>
          </w:tcPr>
          <w:p w14:paraId="3E707D09" w14:textId="77777777" w:rsidR="00243855" w:rsidRPr="00400E33" w:rsidRDefault="00243855" w:rsidP="00D60D1B">
            <w:r w:rsidRPr="00400E33">
              <w:rPr>
                <w:b/>
                <w:bCs/>
              </w:rPr>
              <w:t>Rows:</w:t>
            </w:r>
          </w:p>
        </w:tc>
        <w:tc>
          <w:tcPr>
            <w:tcW w:w="0" w:type="auto"/>
            <w:tcMar>
              <w:top w:w="15" w:type="dxa"/>
              <w:left w:w="15" w:type="dxa"/>
              <w:bottom w:w="15" w:type="dxa"/>
              <w:right w:w="60" w:type="dxa"/>
            </w:tcMar>
            <w:vAlign w:val="center"/>
            <w:hideMark/>
          </w:tcPr>
          <w:p w14:paraId="7C79A64C" w14:textId="77777777" w:rsidR="00243855" w:rsidRPr="00400E33" w:rsidRDefault="00243855" w:rsidP="00D60D1B">
            <w:r w:rsidRPr="00400E33">
              <w:t>Team, League, Last Year's Rank</w:t>
            </w:r>
          </w:p>
        </w:tc>
      </w:tr>
      <w:tr w:rsidR="00243855" w:rsidRPr="00400E33" w14:paraId="40EB43AC" w14:textId="77777777" w:rsidTr="00D60D1B">
        <w:trPr>
          <w:tblCellSpacing w:w="15" w:type="dxa"/>
        </w:trPr>
        <w:tc>
          <w:tcPr>
            <w:tcW w:w="0" w:type="auto"/>
            <w:tcMar>
              <w:top w:w="15" w:type="dxa"/>
              <w:left w:w="15" w:type="dxa"/>
              <w:bottom w:w="15" w:type="dxa"/>
              <w:right w:w="60" w:type="dxa"/>
            </w:tcMar>
            <w:vAlign w:val="center"/>
            <w:hideMark/>
          </w:tcPr>
          <w:p w14:paraId="73DD0C23" w14:textId="77777777" w:rsidR="00243855" w:rsidRPr="00400E33" w:rsidRDefault="00243855" w:rsidP="00D60D1B">
            <w:r w:rsidRPr="00400E33">
              <w:rPr>
                <w:b/>
                <w:bCs/>
              </w:rPr>
              <w:t>Columns:</w:t>
            </w:r>
          </w:p>
        </w:tc>
        <w:tc>
          <w:tcPr>
            <w:tcW w:w="0" w:type="auto"/>
            <w:tcMar>
              <w:top w:w="15" w:type="dxa"/>
              <w:left w:w="15" w:type="dxa"/>
              <w:bottom w:w="15" w:type="dxa"/>
              <w:right w:w="60" w:type="dxa"/>
            </w:tcMar>
            <w:vAlign w:val="center"/>
            <w:hideMark/>
          </w:tcPr>
          <w:p w14:paraId="02278378" w14:textId="77777777" w:rsidR="00243855" w:rsidRPr="00400E33" w:rsidRDefault="00243855" w:rsidP="00D60D1B">
            <w:r w:rsidRPr="00400E33">
              <w:t>Total Payroll</w:t>
            </w:r>
          </w:p>
        </w:tc>
      </w:tr>
    </w:tbl>
    <w:p w14:paraId="1C8FF65B" w14:textId="77777777" w:rsidR="00243855" w:rsidRPr="00400E33" w:rsidRDefault="00243855" w:rsidP="00243855">
      <w:r w:rsidRPr="00400E33">
        <w:rPr>
          <w:b/>
          <w:bCs/>
          <w:u w:val="single"/>
        </w:rPr>
        <w:t>Dimensions</w:t>
      </w:r>
    </w:p>
    <w:p w14:paraId="59EAB582" w14:textId="77777777" w:rsidR="00243855" w:rsidRPr="00400E33" w:rsidRDefault="00243855" w:rsidP="00243855">
      <w:pPr>
        <w:numPr>
          <w:ilvl w:val="0"/>
          <w:numId w:val="1"/>
        </w:numPr>
      </w:pPr>
      <w:r w:rsidRPr="00400E33">
        <w:rPr>
          <w:b/>
          <w:bCs/>
        </w:rPr>
        <w:t>Last Year's Rank</w:t>
      </w:r>
      <w:r w:rsidRPr="00400E33">
        <w:t xml:space="preserve"> has 267 members on this sheet</w:t>
      </w:r>
    </w:p>
    <w:p w14:paraId="1C421BC3" w14:textId="77777777" w:rsidR="00243855" w:rsidRPr="00400E33" w:rsidRDefault="00243855" w:rsidP="00243855">
      <w:r w:rsidRPr="00400E33">
        <w:t>Members: 123; 154; 192; 236; 74; ...</w:t>
      </w:r>
    </w:p>
    <w:p w14:paraId="2F2FD205" w14:textId="77777777" w:rsidR="00243855" w:rsidRPr="00400E33" w:rsidRDefault="00243855" w:rsidP="00243855">
      <w:pPr>
        <w:numPr>
          <w:ilvl w:val="0"/>
          <w:numId w:val="2"/>
        </w:numPr>
      </w:pPr>
      <w:r w:rsidRPr="00400E33">
        <w:rPr>
          <w:b/>
          <w:bCs/>
        </w:rPr>
        <w:t>Team, League</w:t>
      </w:r>
      <w:r w:rsidRPr="00400E33">
        <w:t xml:space="preserve"> has 294 members on this sheet</w:t>
      </w:r>
    </w:p>
    <w:p w14:paraId="5898DCE9" w14:textId="77777777" w:rsidR="00243855" w:rsidRPr="00400E33" w:rsidRDefault="00243855" w:rsidP="00243855">
      <w:r w:rsidRPr="00400E33">
        <w:t>Members: Calgary Flames, NHL; Florida Panthers, NHL; Geelong, AFL; Houston Texans, NFL; Parma, Serie A; ...</w:t>
      </w:r>
    </w:p>
    <w:p w14:paraId="7B5FC157" w14:textId="77777777" w:rsidR="00243855" w:rsidRPr="00400E33" w:rsidRDefault="00243855" w:rsidP="00243855">
      <w:r w:rsidRPr="00400E33">
        <w:rPr>
          <w:b/>
          <w:bCs/>
          <w:u w:val="single"/>
        </w:rPr>
        <w:t>Measures</w:t>
      </w:r>
    </w:p>
    <w:p w14:paraId="2389199F" w14:textId="77777777" w:rsidR="00243855" w:rsidRPr="00400E33" w:rsidRDefault="00243855" w:rsidP="00243855">
      <w:pPr>
        <w:numPr>
          <w:ilvl w:val="0"/>
          <w:numId w:val="3"/>
        </w:numPr>
      </w:pPr>
      <w:r w:rsidRPr="00400E33">
        <w:rPr>
          <w:b/>
          <w:bCs/>
        </w:rPr>
        <w:t>Sum of Total Payroll</w:t>
      </w:r>
      <w:r w:rsidRPr="00400E33">
        <w:t xml:space="preserve"> ranges from 1,440,000 to 241,128,402 on this sheet.</w:t>
      </w:r>
    </w:p>
    <w:p w14:paraId="5DA8BBB5" w14:textId="77777777" w:rsidR="00243855" w:rsidRPr="00400E33" w:rsidRDefault="00243855" w:rsidP="00243855">
      <w:r w:rsidRPr="00400E33">
        <w:t>1 logical table used to determine value: Top teams Payroll List</w:t>
      </w:r>
    </w:p>
    <w:p w14:paraId="2D35EB84" w14:textId="77777777" w:rsidR="00243855" w:rsidRPr="00400E33" w:rsidRDefault="00243855" w:rsidP="00243855">
      <w:r w:rsidRPr="00400E33">
        <w:rPr>
          <w:b/>
          <w:bCs/>
          <w:u w:val="single"/>
        </w:rPr>
        <w:t>Data Source Details</w:t>
      </w:r>
    </w:p>
    <w:tbl>
      <w:tblPr>
        <w:tblW w:w="6132" w:type="dxa"/>
        <w:tblCellSpacing w:w="15" w:type="dxa"/>
        <w:tblCellMar>
          <w:top w:w="15" w:type="dxa"/>
          <w:left w:w="15" w:type="dxa"/>
          <w:bottom w:w="15" w:type="dxa"/>
          <w:right w:w="15" w:type="dxa"/>
        </w:tblCellMar>
        <w:tblLook w:val="04A0" w:firstRow="1" w:lastRow="0" w:firstColumn="1" w:lastColumn="0" w:noHBand="0" w:noVBand="1"/>
      </w:tblPr>
      <w:tblGrid>
        <w:gridCol w:w="1438"/>
        <w:gridCol w:w="4694"/>
      </w:tblGrid>
      <w:tr w:rsidR="00243855" w:rsidRPr="00400E33" w14:paraId="2BD9BE7A" w14:textId="77777777" w:rsidTr="00D60D1B">
        <w:trPr>
          <w:trHeight w:val="372"/>
          <w:tblCellSpacing w:w="15" w:type="dxa"/>
        </w:trPr>
        <w:tc>
          <w:tcPr>
            <w:tcW w:w="0" w:type="auto"/>
            <w:tcMar>
              <w:top w:w="15" w:type="dxa"/>
              <w:left w:w="15" w:type="dxa"/>
              <w:bottom w:w="15" w:type="dxa"/>
              <w:right w:w="60" w:type="dxa"/>
            </w:tcMar>
            <w:vAlign w:val="center"/>
            <w:hideMark/>
          </w:tcPr>
          <w:p w14:paraId="0898FBDA" w14:textId="77777777" w:rsidR="00243855" w:rsidRPr="00400E33" w:rsidRDefault="00243855" w:rsidP="00D60D1B">
            <w:r w:rsidRPr="00400E33">
              <w:rPr>
                <w:b/>
                <w:bCs/>
              </w:rPr>
              <w:t>Data Source:</w:t>
            </w:r>
          </w:p>
        </w:tc>
        <w:tc>
          <w:tcPr>
            <w:tcW w:w="0" w:type="auto"/>
            <w:tcMar>
              <w:top w:w="15" w:type="dxa"/>
              <w:left w:w="15" w:type="dxa"/>
              <w:bottom w:w="15" w:type="dxa"/>
              <w:right w:w="60" w:type="dxa"/>
            </w:tcMar>
            <w:vAlign w:val="center"/>
            <w:hideMark/>
          </w:tcPr>
          <w:p w14:paraId="700285F3" w14:textId="77777777" w:rsidR="00243855" w:rsidRPr="00400E33" w:rsidRDefault="00243855" w:rsidP="00D60D1B">
            <w:r w:rsidRPr="00400E33">
              <w:t>Top teams Payroll List (Global Sport Finances)</w:t>
            </w:r>
          </w:p>
        </w:tc>
      </w:tr>
      <w:tr w:rsidR="00243855" w:rsidRPr="00400E33" w14:paraId="0879EF02" w14:textId="77777777" w:rsidTr="00D60D1B">
        <w:trPr>
          <w:trHeight w:val="372"/>
          <w:tblCellSpacing w:w="15" w:type="dxa"/>
        </w:trPr>
        <w:tc>
          <w:tcPr>
            <w:tcW w:w="0" w:type="auto"/>
            <w:tcMar>
              <w:top w:w="15" w:type="dxa"/>
              <w:left w:w="15" w:type="dxa"/>
              <w:bottom w:w="15" w:type="dxa"/>
              <w:right w:w="60" w:type="dxa"/>
            </w:tcMar>
            <w:vAlign w:val="center"/>
            <w:hideMark/>
          </w:tcPr>
          <w:p w14:paraId="5B6D2A42" w14:textId="77777777" w:rsidR="00243855" w:rsidRPr="00400E33" w:rsidRDefault="00243855" w:rsidP="00D60D1B">
            <w:r w:rsidRPr="00400E33">
              <w:rPr>
                <w:b/>
                <w:bCs/>
              </w:rPr>
              <w:t>Type:</w:t>
            </w:r>
          </w:p>
        </w:tc>
        <w:tc>
          <w:tcPr>
            <w:tcW w:w="0" w:type="auto"/>
            <w:tcMar>
              <w:top w:w="15" w:type="dxa"/>
              <w:left w:w="15" w:type="dxa"/>
              <w:bottom w:w="15" w:type="dxa"/>
              <w:right w:w="60" w:type="dxa"/>
            </w:tcMar>
            <w:vAlign w:val="center"/>
            <w:hideMark/>
          </w:tcPr>
          <w:p w14:paraId="05FAFAF3" w14:textId="77777777" w:rsidR="00243855" w:rsidRPr="00400E33" w:rsidRDefault="00243855" w:rsidP="00D60D1B">
            <w:r w:rsidRPr="00400E33">
              <w:t>Hyper</w:t>
            </w:r>
          </w:p>
        </w:tc>
      </w:tr>
      <w:tr w:rsidR="00243855" w:rsidRPr="00400E33" w14:paraId="4AF59057" w14:textId="77777777" w:rsidTr="00D60D1B">
        <w:trPr>
          <w:trHeight w:val="361"/>
          <w:tblCellSpacing w:w="15" w:type="dxa"/>
        </w:trPr>
        <w:tc>
          <w:tcPr>
            <w:tcW w:w="0" w:type="auto"/>
            <w:tcMar>
              <w:top w:w="15" w:type="dxa"/>
              <w:left w:w="15" w:type="dxa"/>
              <w:bottom w:w="15" w:type="dxa"/>
              <w:right w:w="60" w:type="dxa"/>
            </w:tcMar>
            <w:vAlign w:val="center"/>
            <w:hideMark/>
          </w:tcPr>
          <w:p w14:paraId="48D2D214" w14:textId="77777777" w:rsidR="00243855" w:rsidRPr="00400E33" w:rsidRDefault="00243855" w:rsidP="00D60D1B">
            <w:r w:rsidRPr="00400E33">
              <w:rPr>
                <w:b/>
                <w:bCs/>
              </w:rPr>
              <w:lastRenderedPageBreak/>
              <w:t>Version:</w:t>
            </w:r>
          </w:p>
        </w:tc>
        <w:tc>
          <w:tcPr>
            <w:tcW w:w="0" w:type="auto"/>
            <w:tcMar>
              <w:top w:w="15" w:type="dxa"/>
              <w:left w:w="15" w:type="dxa"/>
              <w:bottom w:w="15" w:type="dxa"/>
              <w:right w:w="60" w:type="dxa"/>
            </w:tcMar>
            <w:vAlign w:val="center"/>
            <w:hideMark/>
          </w:tcPr>
          <w:p w14:paraId="5AD22580" w14:textId="77777777" w:rsidR="00243855" w:rsidRPr="00400E33" w:rsidRDefault="00243855" w:rsidP="00D60D1B">
            <w:r w:rsidRPr="00400E33">
              <w:t>2</w:t>
            </w:r>
          </w:p>
        </w:tc>
      </w:tr>
      <w:tr w:rsidR="00243855" w:rsidRPr="00400E33" w14:paraId="1EFDC08D" w14:textId="77777777" w:rsidTr="00D60D1B">
        <w:trPr>
          <w:trHeight w:val="372"/>
          <w:tblCellSpacing w:w="15" w:type="dxa"/>
        </w:trPr>
        <w:tc>
          <w:tcPr>
            <w:tcW w:w="0" w:type="auto"/>
            <w:tcMar>
              <w:top w:w="15" w:type="dxa"/>
              <w:left w:w="15" w:type="dxa"/>
              <w:bottom w:w="15" w:type="dxa"/>
              <w:right w:w="60" w:type="dxa"/>
            </w:tcMar>
            <w:vAlign w:val="center"/>
            <w:hideMark/>
          </w:tcPr>
          <w:p w14:paraId="49AF4893" w14:textId="77777777" w:rsidR="00243855" w:rsidRPr="00400E33" w:rsidRDefault="00243855" w:rsidP="00D60D1B">
            <w:r w:rsidRPr="00400E33">
              <w:rPr>
                <w:b/>
                <w:bCs/>
              </w:rPr>
              <w:t>Database:</w:t>
            </w:r>
          </w:p>
        </w:tc>
        <w:tc>
          <w:tcPr>
            <w:tcW w:w="0" w:type="auto"/>
            <w:tcMar>
              <w:top w:w="15" w:type="dxa"/>
              <w:left w:w="15" w:type="dxa"/>
              <w:bottom w:w="15" w:type="dxa"/>
              <w:right w:w="60" w:type="dxa"/>
            </w:tcMar>
            <w:vAlign w:val="center"/>
            <w:hideMark/>
          </w:tcPr>
          <w:p w14:paraId="6480099D" w14:textId="77777777" w:rsidR="00243855" w:rsidRPr="00400E33" w:rsidRDefault="00243855" w:rsidP="00D60D1B">
            <w:r w:rsidRPr="00400E33">
              <w:t>9eb9435b-4a02-4cc9-bbf5-50a4605479cd</w:t>
            </w:r>
          </w:p>
        </w:tc>
      </w:tr>
      <w:tr w:rsidR="00243855" w:rsidRPr="00400E33" w14:paraId="68780128" w14:textId="77777777" w:rsidTr="00D60D1B">
        <w:trPr>
          <w:trHeight w:val="372"/>
          <w:tblCellSpacing w:w="15" w:type="dxa"/>
        </w:trPr>
        <w:tc>
          <w:tcPr>
            <w:tcW w:w="0" w:type="auto"/>
            <w:tcMar>
              <w:top w:w="15" w:type="dxa"/>
              <w:left w:w="15" w:type="dxa"/>
              <w:bottom w:w="15" w:type="dxa"/>
              <w:right w:w="60" w:type="dxa"/>
            </w:tcMar>
            <w:vAlign w:val="center"/>
            <w:hideMark/>
          </w:tcPr>
          <w:p w14:paraId="07D0A603" w14:textId="77777777" w:rsidR="00243855" w:rsidRPr="00400E33" w:rsidRDefault="00243855" w:rsidP="00D60D1B">
            <w:r w:rsidRPr="00400E33">
              <w:rPr>
                <w:b/>
                <w:bCs/>
              </w:rPr>
              <w:t>Table:</w:t>
            </w:r>
          </w:p>
        </w:tc>
        <w:tc>
          <w:tcPr>
            <w:tcW w:w="0" w:type="auto"/>
            <w:tcMar>
              <w:top w:w="15" w:type="dxa"/>
              <w:left w:w="15" w:type="dxa"/>
              <w:bottom w:w="15" w:type="dxa"/>
              <w:right w:w="60" w:type="dxa"/>
            </w:tcMar>
            <w:vAlign w:val="center"/>
            <w:hideMark/>
          </w:tcPr>
          <w:p w14:paraId="6A7D6AD3" w14:textId="77777777" w:rsidR="00243855" w:rsidRPr="00400E33" w:rsidRDefault="00243855" w:rsidP="00D60D1B">
            <w:r w:rsidRPr="00400E33">
              <w:t>Extract (</w:t>
            </w:r>
            <w:proofErr w:type="spellStart"/>
            <w:r w:rsidRPr="00400E33">
              <w:t>Extract.Extract</w:t>
            </w:r>
            <w:proofErr w:type="spellEnd"/>
            <w:r w:rsidRPr="00400E33">
              <w:t>)</w:t>
            </w:r>
          </w:p>
        </w:tc>
      </w:tr>
    </w:tbl>
    <w:p w14:paraId="5ED159EF" w14:textId="77777777" w:rsidR="00243855" w:rsidRPr="00400E33" w:rsidRDefault="00243855" w:rsidP="00243855">
      <w:r w:rsidRPr="00400E33">
        <w:t>1 Logical table:</w:t>
      </w:r>
    </w:p>
    <w:p w14:paraId="20741013" w14:textId="77777777" w:rsidR="00243855" w:rsidRPr="00400E33" w:rsidRDefault="00243855" w:rsidP="00243855">
      <w:pPr>
        <w:numPr>
          <w:ilvl w:val="0"/>
          <w:numId w:val="4"/>
        </w:numPr>
      </w:pPr>
      <w:r w:rsidRPr="00400E33">
        <w:t>Top teams Payroll List</w:t>
      </w:r>
    </w:p>
    <w:p w14:paraId="010CC541" w14:textId="77777777" w:rsidR="00243855" w:rsidRDefault="00243855"/>
    <w:p w14:paraId="6B2D4A89" w14:textId="029EC028" w:rsidR="00400E33" w:rsidRDefault="00400E33"/>
    <w:p w14:paraId="43766714" w14:textId="77777777" w:rsidR="00400E33" w:rsidRDefault="00400E33"/>
    <w:p w14:paraId="06A2BF1F" w14:textId="77777777" w:rsidR="00400E33" w:rsidRDefault="00400E33"/>
    <w:sectPr w:rsidR="00400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B4AFF"/>
    <w:multiLevelType w:val="multilevel"/>
    <w:tmpl w:val="B8D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836A1"/>
    <w:multiLevelType w:val="multilevel"/>
    <w:tmpl w:val="1A88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1060B"/>
    <w:multiLevelType w:val="multilevel"/>
    <w:tmpl w:val="FE90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5102A"/>
    <w:multiLevelType w:val="multilevel"/>
    <w:tmpl w:val="7D48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910A3"/>
    <w:multiLevelType w:val="multilevel"/>
    <w:tmpl w:val="F14A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E81BE4"/>
    <w:multiLevelType w:val="multilevel"/>
    <w:tmpl w:val="75A8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283BBC"/>
    <w:multiLevelType w:val="multilevel"/>
    <w:tmpl w:val="BDD4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F0F74"/>
    <w:multiLevelType w:val="multilevel"/>
    <w:tmpl w:val="34D4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437252">
    <w:abstractNumId w:val="4"/>
  </w:num>
  <w:num w:numId="2" w16cid:durableId="1515263705">
    <w:abstractNumId w:val="0"/>
  </w:num>
  <w:num w:numId="3" w16cid:durableId="278491755">
    <w:abstractNumId w:val="5"/>
  </w:num>
  <w:num w:numId="4" w16cid:durableId="1237519124">
    <w:abstractNumId w:val="7"/>
  </w:num>
  <w:num w:numId="5" w16cid:durableId="313488498">
    <w:abstractNumId w:val="1"/>
  </w:num>
  <w:num w:numId="6" w16cid:durableId="343750767">
    <w:abstractNumId w:val="6"/>
  </w:num>
  <w:num w:numId="7" w16cid:durableId="525364599">
    <w:abstractNumId w:val="2"/>
  </w:num>
  <w:num w:numId="8" w16cid:durableId="576866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E33"/>
    <w:rsid w:val="00243855"/>
    <w:rsid w:val="002946E7"/>
    <w:rsid w:val="00400E33"/>
    <w:rsid w:val="004D0E4F"/>
    <w:rsid w:val="007F2CC7"/>
    <w:rsid w:val="00F37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C304"/>
  <w15:chartTrackingRefBased/>
  <w15:docId w15:val="{3DB5EA5C-ED96-4F9C-949A-626B49C8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E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0E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0E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0E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0E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0E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E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E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E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E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0E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0E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0E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0E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0E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E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E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E33"/>
    <w:rPr>
      <w:rFonts w:eastAsiaTheme="majorEastAsia" w:cstheme="majorBidi"/>
      <w:color w:val="272727" w:themeColor="text1" w:themeTint="D8"/>
    </w:rPr>
  </w:style>
  <w:style w:type="paragraph" w:styleId="Title">
    <w:name w:val="Title"/>
    <w:basedOn w:val="Normal"/>
    <w:next w:val="Normal"/>
    <w:link w:val="TitleChar"/>
    <w:uiPriority w:val="10"/>
    <w:qFormat/>
    <w:rsid w:val="00400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E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E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E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E33"/>
    <w:pPr>
      <w:spacing w:before="160"/>
      <w:jc w:val="center"/>
    </w:pPr>
    <w:rPr>
      <w:i/>
      <w:iCs/>
      <w:color w:val="404040" w:themeColor="text1" w:themeTint="BF"/>
    </w:rPr>
  </w:style>
  <w:style w:type="character" w:customStyle="1" w:styleId="QuoteChar">
    <w:name w:val="Quote Char"/>
    <w:basedOn w:val="DefaultParagraphFont"/>
    <w:link w:val="Quote"/>
    <w:uiPriority w:val="29"/>
    <w:rsid w:val="00400E33"/>
    <w:rPr>
      <w:i/>
      <w:iCs/>
      <w:color w:val="404040" w:themeColor="text1" w:themeTint="BF"/>
    </w:rPr>
  </w:style>
  <w:style w:type="paragraph" w:styleId="ListParagraph">
    <w:name w:val="List Paragraph"/>
    <w:basedOn w:val="Normal"/>
    <w:uiPriority w:val="34"/>
    <w:qFormat/>
    <w:rsid w:val="00400E33"/>
    <w:pPr>
      <w:ind w:left="720"/>
      <w:contextualSpacing/>
    </w:pPr>
  </w:style>
  <w:style w:type="character" w:styleId="IntenseEmphasis">
    <w:name w:val="Intense Emphasis"/>
    <w:basedOn w:val="DefaultParagraphFont"/>
    <w:uiPriority w:val="21"/>
    <w:qFormat/>
    <w:rsid w:val="00400E33"/>
    <w:rPr>
      <w:i/>
      <w:iCs/>
      <w:color w:val="2F5496" w:themeColor="accent1" w:themeShade="BF"/>
    </w:rPr>
  </w:style>
  <w:style w:type="paragraph" w:styleId="IntenseQuote">
    <w:name w:val="Intense Quote"/>
    <w:basedOn w:val="Normal"/>
    <w:next w:val="Normal"/>
    <w:link w:val="IntenseQuoteChar"/>
    <w:uiPriority w:val="30"/>
    <w:qFormat/>
    <w:rsid w:val="00400E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0E33"/>
    <w:rPr>
      <w:i/>
      <w:iCs/>
      <w:color w:val="2F5496" w:themeColor="accent1" w:themeShade="BF"/>
    </w:rPr>
  </w:style>
  <w:style w:type="character" w:styleId="IntenseReference">
    <w:name w:val="Intense Reference"/>
    <w:basedOn w:val="DefaultParagraphFont"/>
    <w:uiPriority w:val="32"/>
    <w:qFormat/>
    <w:rsid w:val="00400E33"/>
    <w:rPr>
      <w:b/>
      <w:bCs/>
      <w:smallCaps/>
      <w:color w:val="2F5496" w:themeColor="accent1" w:themeShade="BF"/>
      <w:spacing w:val="5"/>
    </w:rPr>
  </w:style>
  <w:style w:type="character" w:styleId="Hyperlink">
    <w:name w:val="Hyperlink"/>
    <w:basedOn w:val="DefaultParagraphFont"/>
    <w:uiPriority w:val="99"/>
    <w:unhideWhenUsed/>
    <w:rsid w:val="00F37D42"/>
    <w:rPr>
      <w:color w:val="0563C1" w:themeColor="hyperlink"/>
      <w:u w:val="single"/>
    </w:rPr>
  </w:style>
  <w:style w:type="character" w:styleId="UnresolvedMention">
    <w:name w:val="Unresolved Mention"/>
    <w:basedOn w:val="DefaultParagraphFont"/>
    <w:uiPriority w:val="99"/>
    <w:semiHidden/>
    <w:unhideWhenUsed/>
    <w:rsid w:val="00F37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410776">
      <w:bodyDiv w:val="1"/>
      <w:marLeft w:val="0"/>
      <w:marRight w:val="0"/>
      <w:marTop w:val="0"/>
      <w:marBottom w:val="0"/>
      <w:divBdr>
        <w:top w:val="none" w:sz="0" w:space="0" w:color="auto"/>
        <w:left w:val="none" w:sz="0" w:space="0" w:color="auto"/>
        <w:bottom w:val="none" w:sz="0" w:space="0" w:color="auto"/>
        <w:right w:val="none" w:sz="0" w:space="0" w:color="auto"/>
      </w:divBdr>
    </w:div>
    <w:div w:id="568224571">
      <w:bodyDiv w:val="1"/>
      <w:marLeft w:val="0"/>
      <w:marRight w:val="0"/>
      <w:marTop w:val="0"/>
      <w:marBottom w:val="0"/>
      <w:divBdr>
        <w:top w:val="none" w:sz="0" w:space="0" w:color="auto"/>
        <w:left w:val="none" w:sz="0" w:space="0" w:color="auto"/>
        <w:bottom w:val="none" w:sz="0" w:space="0" w:color="auto"/>
        <w:right w:val="none" w:sz="0" w:space="0" w:color="auto"/>
      </w:divBdr>
      <w:divsChild>
        <w:div w:id="1417168788">
          <w:marLeft w:val="105"/>
          <w:marRight w:val="0"/>
          <w:marTop w:val="0"/>
          <w:marBottom w:val="0"/>
          <w:divBdr>
            <w:top w:val="none" w:sz="0" w:space="0" w:color="auto"/>
            <w:left w:val="none" w:sz="0" w:space="0" w:color="auto"/>
            <w:bottom w:val="none" w:sz="0" w:space="0" w:color="auto"/>
            <w:right w:val="none" w:sz="0" w:space="0" w:color="auto"/>
          </w:divBdr>
        </w:div>
        <w:div w:id="1168403220">
          <w:marLeft w:val="105"/>
          <w:marRight w:val="0"/>
          <w:marTop w:val="0"/>
          <w:marBottom w:val="0"/>
          <w:divBdr>
            <w:top w:val="none" w:sz="0" w:space="0" w:color="auto"/>
            <w:left w:val="none" w:sz="0" w:space="0" w:color="auto"/>
            <w:bottom w:val="none" w:sz="0" w:space="0" w:color="auto"/>
            <w:right w:val="none" w:sz="0" w:space="0" w:color="auto"/>
          </w:divBdr>
        </w:div>
        <w:div w:id="1140615610">
          <w:marLeft w:val="360"/>
          <w:marRight w:val="0"/>
          <w:marTop w:val="0"/>
          <w:marBottom w:val="0"/>
          <w:divBdr>
            <w:top w:val="none" w:sz="0" w:space="0" w:color="auto"/>
            <w:left w:val="none" w:sz="0" w:space="0" w:color="auto"/>
            <w:bottom w:val="none" w:sz="0" w:space="0" w:color="auto"/>
            <w:right w:val="none" w:sz="0" w:space="0" w:color="auto"/>
          </w:divBdr>
        </w:div>
        <w:div w:id="267351037">
          <w:marLeft w:val="360"/>
          <w:marRight w:val="0"/>
          <w:marTop w:val="0"/>
          <w:marBottom w:val="0"/>
          <w:divBdr>
            <w:top w:val="none" w:sz="0" w:space="0" w:color="auto"/>
            <w:left w:val="none" w:sz="0" w:space="0" w:color="auto"/>
            <w:bottom w:val="none" w:sz="0" w:space="0" w:color="auto"/>
            <w:right w:val="none" w:sz="0" w:space="0" w:color="auto"/>
          </w:divBdr>
        </w:div>
        <w:div w:id="1830442135">
          <w:marLeft w:val="360"/>
          <w:marRight w:val="0"/>
          <w:marTop w:val="0"/>
          <w:marBottom w:val="0"/>
          <w:divBdr>
            <w:top w:val="none" w:sz="0" w:space="0" w:color="auto"/>
            <w:left w:val="none" w:sz="0" w:space="0" w:color="auto"/>
            <w:bottom w:val="none" w:sz="0" w:space="0" w:color="auto"/>
            <w:right w:val="none" w:sz="0" w:space="0" w:color="auto"/>
          </w:divBdr>
        </w:div>
        <w:div w:id="1043402892">
          <w:marLeft w:val="105"/>
          <w:marRight w:val="0"/>
          <w:marTop w:val="0"/>
          <w:marBottom w:val="0"/>
          <w:divBdr>
            <w:top w:val="none" w:sz="0" w:space="0" w:color="auto"/>
            <w:left w:val="none" w:sz="0" w:space="0" w:color="auto"/>
            <w:bottom w:val="none" w:sz="0" w:space="0" w:color="auto"/>
            <w:right w:val="none" w:sz="0" w:space="0" w:color="auto"/>
          </w:divBdr>
        </w:div>
        <w:div w:id="1345010803">
          <w:marLeft w:val="105"/>
          <w:marRight w:val="0"/>
          <w:marTop w:val="0"/>
          <w:marBottom w:val="0"/>
          <w:divBdr>
            <w:top w:val="none" w:sz="0" w:space="0" w:color="auto"/>
            <w:left w:val="none" w:sz="0" w:space="0" w:color="auto"/>
            <w:bottom w:val="none" w:sz="0" w:space="0" w:color="auto"/>
            <w:right w:val="none" w:sz="0" w:space="0" w:color="auto"/>
          </w:divBdr>
        </w:div>
        <w:div w:id="1662386404">
          <w:marLeft w:val="105"/>
          <w:marRight w:val="0"/>
          <w:marTop w:val="0"/>
          <w:marBottom w:val="0"/>
          <w:divBdr>
            <w:top w:val="none" w:sz="0" w:space="0" w:color="auto"/>
            <w:left w:val="none" w:sz="0" w:space="0" w:color="auto"/>
            <w:bottom w:val="none" w:sz="0" w:space="0" w:color="auto"/>
            <w:right w:val="none" w:sz="0" w:space="0" w:color="auto"/>
          </w:divBdr>
        </w:div>
      </w:divsChild>
    </w:div>
    <w:div w:id="702561486">
      <w:bodyDiv w:val="1"/>
      <w:marLeft w:val="0"/>
      <w:marRight w:val="0"/>
      <w:marTop w:val="0"/>
      <w:marBottom w:val="0"/>
      <w:divBdr>
        <w:top w:val="none" w:sz="0" w:space="0" w:color="auto"/>
        <w:left w:val="none" w:sz="0" w:space="0" w:color="auto"/>
        <w:bottom w:val="none" w:sz="0" w:space="0" w:color="auto"/>
        <w:right w:val="none" w:sz="0" w:space="0" w:color="auto"/>
      </w:divBdr>
    </w:div>
    <w:div w:id="1231847172">
      <w:bodyDiv w:val="1"/>
      <w:marLeft w:val="0"/>
      <w:marRight w:val="0"/>
      <w:marTop w:val="0"/>
      <w:marBottom w:val="0"/>
      <w:divBdr>
        <w:top w:val="none" w:sz="0" w:space="0" w:color="auto"/>
        <w:left w:val="none" w:sz="0" w:space="0" w:color="auto"/>
        <w:bottom w:val="none" w:sz="0" w:space="0" w:color="auto"/>
        <w:right w:val="none" w:sz="0" w:space="0" w:color="auto"/>
      </w:divBdr>
      <w:divsChild>
        <w:div w:id="171189480">
          <w:marLeft w:val="105"/>
          <w:marRight w:val="0"/>
          <w:marTop w:val="0"/>
          <w:marBottom w:val="0"/>
          <w:divBdr>
            <w:top w:val="none" w:sz="0" w:space="0" w:color="auto"/>
            <w:left w:val="none" w:sz="0" w:space="0" w:color="auto"/>
            <w:bottom w:val="none" w:sz="0" w:space="0" w:color="auto"/>
            <w:right w:val="none" w:sz="0" w:space="0" w:color="auto"/>
          </w:divBdr>
        </w:div>
        <w:div w:id="881328864">
          <w:marLeft w:val="105"/>
          <w:marRight w:val="0"/>
          <w:marTop w:val="0"/>
          <w:marBottom w:val="0"/>
          <w:divBdr>
            <w:top w:val="none" w:sz="0" w:space="0" w:color="auto"/>
            <w:left w:val="none" w:sz="0" w:space="0" w:color="auto"/>
            <w:bottom w:val="none" w:sz="0" w:space="0" w:color="auto"/>
            <w:right w:val="none" w:sz="0" w:space="0" w:color="auto"/>
          </w:divBdr>
        </w:div>
        <w:div w:id="898516944">
          <w:marLeft w:val="360"/>
          <w:marRight w:val="0"/>
          <w:marTop w:val="0"/>
          <w:marBottom w:val="0"/>
          <w:divBdr>
            <w:top w:val="none" w:sz="0" w:space="0" w:color="auto"/>
            <w:left w:val="none" w:sz="0" w:space="0" w:color="auto"/>
            <w:bottom w:val="none" w:sz="0" w:space="0" w:color="auto"/>
            <w:right w:val="none" w:sz="0" w:space="0" w:color="auto"/>
          </w:divBdr>
        </w:div>
        <w:div w:id="1254164119">
          <w:marLeft w:val="360"/>
          <w:marRight w:val="0"/>
          <w:marTop w:val="0"/>
          <w:marBottom w:val="0"/>
          <w:divBdr>
            <w:top w:val="none" w:sz="0" w:space="0" w:color="auto"/>
            <w:left w:val="none" w:sz="0" w:space="0" w:color="auto"/>
            <w:bottom w:val="none" w:sz="0" w:space="0" w:color="auto"/>
            <w:right w:val="none" w:sz="0" w:space="0" w:color="auto"/>
          </w:divBdr>
        </w:div>
        <w:div w:id="1264845706">
          <w:marLeft w:val="360"/>
          <w:marRight w:val="0"/>
          <w:marTop w:val="0"/>
          <w:marBottom w:val="0"/>
          <w:divBdr>
            <w:top w:val="none" w:sz="0" w:space="0" w:color="auto"/>
            <w:left w:val="none" w:sz="0" w:space="0" w:color="auto"/>
            <w:bottom w:val="none" w:sz="0" w:space="0" w:color="auto"/>
            <w:right w:val="none" w:sz="0" w:space="0" w:color="auto"/>
          </w:divBdr>
        </w:div>
        <w:div w:id="945767996">
          <w:marLeft w:val="105"/>
          <w:marRight w:val="0"/>
          <w:marTop w:val="0"/>
          <w:marBottom w:val="0"/>
          <w:divBdr>
            <w:top w:val="none" w:sz="0" w:space="0" w:color="auto"/>
            <w:left w:val="none" w:sz="0" w:space="0" w:color="auto"/>
            <w:bottom w:val="none" w:sz="0" w:space="0" w:color="auto"/>
            <w:right w:val="none" w:sz="0" w:space="0" w:color="auto"/>
          </w:divBdr>
        </w:div>
        <w:div w:id="1991665394">
          <w:marLeft w:val="105"/>
          <w:marRight w:val="0"/>
          <w:marTop w:val="0"/>
          <w:marBottom w:val="0"/>
          <w:divBdr>
            <w:top w:val="none" w:sz="0" w:space="0" w:color="auto"/>
            <w:left w:val="none" w:sz="0" w:space="0" w:color="auto"/>
            <w:bottom w:val="none" w:sz="0" w:space="0" w:color="auto"/>
            <w:right w:val="none" w:sz="0" w:space="0" w:color="auto"/>
          </w:divBdr>
        </w:div>
        <w:div w:id="920985621">
          <w:marLeft w:val="10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spn.com/espn/story/_/id/10709445/sportingintelligence-global-salary-survey-espn-magaz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dentsu International</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Ayobonike Onigbanjo</dc:creator>
  <cp:keywords/>
  <dc:description/>
  <cp:lastModifiedBy>Ayobonike Onigbanjo</cp:lastModifiedBy>
  <cp:revision>2</cp:revision>
  <dcterms:created xsi:type="dcterms:W3CDTF">2024-10-07T18:15:00Z</dcterms:created>
  <dcterms:modified xsi:type="dcterms:W3CDTF">2024-10-07T19:51:00Z</dcterms:modified>
</cp:coreProperties>
</file>