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42"/>
          <w:sz w:val="36"/>
        </w:rPr>
        <w:t>HUB ASTORYA — DOCUMENTATION COMPLÈTE</w:t>
      </w:r>
    </w:p>
    <w:p>
      <w:r>
        <w:rPr>
          <w:b/>
        </w:rPr>
        <w:t>Version</w:t>
      </w:r>
      <w:r>
        <w:t xml:space="preserve"> : 2026.06</w:t>
      </w:r>
    </w:p>
    <w:p>
      <w:r>
        <w:rPr>
          <w:b/>
        </w:rPr>
        <w:t>Éditeur</w:t>
      </w:r>
      <w:r>
        <w:t xml:space="preserve"> : ASTORYA SGI — 9 rue du Petit Châtelier, 44300 Nantes</w:t>
      </w:r>
    </w:p>
    <w:p>
      <w:r>
        <w:rPr>
          <w:b/>
        </w:rPr>
        <w:t>SIRET</w:t>
      </w:r>
      <w:r>
        <w:t xml:space="preserve"> : 523 625 804 00027 · </w:t>
      </w:r>
      <w:r>
        <w:rPr>
          <w:b/>
        </w:rPr>
        <w:t>APE</w:t>
      </w:r>
      <w:r>
        <w:t xml:space="preserve"> : 6202A · </w:t>
      </w:r>
      <w:r>
        <w:rPr>
          <w:b/>
        </w:rPr>
        <w:t>TVA</w:t>
      </w:r>
      <w:r>
        <w:t xml:space="preserve"> : FR68523625804</w:t>
      </w:r>
    </w:p>
    <w:p>
      <w:r>
        <w:rPr>
          <w:b/>
        </w:rPr>
        <w:t>URL production</w:t>
      </w:r>
      <w:r>
        <w:t xml:space="preserve"> : https://msp.astorya.fr/</w:t>
      </w:r>
    </w:p>
    <w:p>
      <w:r>
        <w:rPr>
          <w:b/>
        </w:rPr>
        <w:t>Contact</w:t>
      </w:r>
      <w:r>
        <w:t xml:space="preserve"> : contact@astorya.fr · 02 85 52 13 96</w:t>
      </w:r>
    </w:p>
    <w:p>
      <w:pPr>
        <w:spacing w:before="80"/>
        <w:pBdr>
          <w:bottom w:val="single" w:sz="6" w:color="C0C7D2"/>
        </w:pBdr>
      </w:pPr>
    </w:p>
    <w:p>
      <w:pPr>
        <w:pStyle w:val="Heading2"/>
      </w:pPr>
      <w:r>
        <w:rPr>
          <w:color w:val="1F2942"/>
          <w:sz w:val="28"/>
        </w:rPr>
        <w:t>SOMMAIRE DÉTAILLÉ</w:t>
      </w:r>
    </w:p>
    <w:p>
      <w:r>
        <w:rPr>
          <w:b/>
        </w:rPr>
        <w:t>Partie I — Présentation et architecture</w:t>
      </w:r>
    </w:p>
    <w:p>
      <w:r>
        <w:t>1. Présentation générale et positionnement</w:t>
      </w:r>
    </w:p>
    <w:p>
      <w:r>
        <w:t>2. Modèle économique et licensing</w:t>
      </w:r>
    </w:p>
    <w:p>
      <w:r>
        <w:t>3. Architecture technique détaillée</w:t>
      </w:r>
    </w:p>
    <w:p>
      <w:r>
        <w:t>4. Sécurité, RGPD et conformité</w:t>
      </w:r>
    </w:p>
    <w:p>
      <w:r>
        <w:t>5. Authentification et gestion des rôles</w:t>
      </w:r>
    </w:p>
    <w:p>
      <w:r>
        <w:t>6. Hébergement, sauvegardes et réversibilité</w:t>
      </w:r>
    </w:p>
    <w:p>
      <w:r>
        <w:rPr>
          <w:b/>
        </w:rPr>
        <w:t>Partie II — Modules métier</w:t>
      </w:r>
    </w:p>
    <w:p>
      <w:r>
        <w:t>7. Page d'accueil et navigation</w:t>
      </w:r>
    </w:p>
    <w:p>
      <w:r>
        <w:t>8. CRM — Pipeline commercial</w:t>
      </w:r>
    </w:p>
    <w:p>
      <w:r>
        <w:t>9. Gestion des prospects et clients</w:t>
      </w:r>
    </w:p>
    <w:p>
      <w:r>
        <w:t>10. Workflow d'opportunité SPANCO</w:t>
      </w:r>
    </w:p>
    <w:p>
      <w:r>
        <w:t>11. Gestion commerciale (Devis → Commande → BL → Facture)</w:t>
      </w:r>
    </w:p>
    <w:p>
      <w:r>
        <w:t>12. Contrats et signature électronique</w:t>
      </w:r>
    </w:p>
    <w:p>
      <w:r>
        <w:t>13. Planning commercial</w:t>
      </w:r>
    </w:p>
    <w:p>
      <w:r>
        <w:t>14. Tickets et hotline 3CX</w:t>
      </w:r>
    </w:p>
    <w:p>
      <w:r>
        <w:t>15. Projets et livrables</w:t>
      </w:r>
    </w:p>
    <w:p>
      <w:r>
        <w:t>16. Temps et activités</w:t>
      </w:r>
    </w:p>
    <w:p>
      <w:r>
        <w:t>17. Stock et catalogue produits</w:t>
      </w:r>
    </w:p>
    <w:p>
      <w:r>
        <w:t>18. Comptabilité et trésorerie</w:t>
      </w:r>
    </w:p>
    <w:p>
      <w:r>
        <w:t>19. Marketing et intelligence concurrentielle</w:t>
      </w:r>
    </w:p>
    <w:p>
      <w:r>
        <w:t>20. Ressources humaines</w:t>
      </w:r>
    </w:p>
    <w:p>
      <w:r>
        <w:t>21. Reporting et tableaux de bord</w:t>
      </w:r>
    </w:p>
    <w:p>
      <w:r>
        <w:rPr>
          <w:b/>
        </w:rPr>
        <w:t>Partie III — Administration et exploitation</w:t>
      </w:r>
    </w:p>
    <w:p>
      <w:r>
        <w:t>22. Administration utilisateurs et permissions</w:t>
      </w:r>
    </w:p>
    <w:p>
      <w:r>
        <w:t>23. Paramétrage avancé</w:t>
      </w:r>
    </w:p>
    <w:p>
      <w:r>
        <w:t>24. Intégrations externes (SIRENE, Pappers, BODACC, 3CX, Outlook, Teams)</w:t>
      </w:r>
    </w:p>
    <w:p>
      <w:r>
        <w:t>25. Maintenance et évolutions</w:t>
      </w:r>
    </w:p>
    <w:p>
      <w:r>
        <w:t>26. Support et SLA contractuels</w:t>
      </w:r>
    </w:p>
    <w:p>
      <w:r>
        <w:rPr>
          <w:b/>
        </w:rPr>
        <w:t>Partie IV — Annexes</w:t>
      </w:r>
    </w:p>
    <w:p>
      <w:r>
        <w:t>27. Glossaire métier</w:t>
      </w:r>
    </w:p>
    <w:p>
      <w:r>
        <w:t>28. Grille tarifaire détaillée</w:t>
      </w:r>
    </w:p>
    <w:p>
      <w:r>
        <w:t>29. Procédures opérationnelles</w:t>
      </w:r>
    </w:p>
    <w:p>
      <w:r>
        <w:t>30. FAQ utilisateurs</w:t>
      </w:r>
    </w:p>
    <w:p>
      <w:r>
        <w:t>31. Index des routes et raccourcis clavier</w:t>
      </w:r>
    </w:p>
    <w:p>
      <w:pPr>
        <w:spacing w:before="80"/>
        <w:pBdr>
          <w:bottom w:val="single" w:sz="6" w:color="C0C7D2"/>
        </w:pBdr>
      </w:pPr>
    </w:p>
    <w:p>
      <w:pPr>
        <w:pStyle w:val="Heading1"/>
      </w:pPr>
      <w:r>
        <w:rPr>
          <w:color w:val="1F2942"/>
          <w:sz w:val="36"/>
        </w:rPr>
        <w:t>PARTIE I — PRÉSENTATION ET ARCHITECTURE</w:t>
      </w:r>
    </w:p>
    <w:p>
      <w:pPr>
        <w:pStyle w:val="Heading2"/>
      </w:pPr>
      <w:r>
        <w:rPr>
          <w:color w:val="1F2942"/>
          <w:sz w:val="28"/>
        </w:rPr>
        <w:t>1. PRÉSENTATION GÉNÉRALE ET POSITIONNEMENT</w:t>
      </w:r>
    </w:p>
    <w:p>
      <w:pPr>
        <w:pStyle w:val="Heading3"/>
      </w:pPr>
      <w:r>
        <w:rPr>
          <w:color w:val="3730A3"/>
          <w:sz w:val="24"/>
        </w:rPr>
        <w:t>1.1 Qu'est-ce que le Hub Astorya ?</w:t>
      </w:r>
    </w:p>
    <w:p>
      <w:r>
        <w:rPr>
          <w:b/>
        </w:rPr>
        <w:t>Hub Astorya</w:t>
      </w:r>
      <w:r>
        <w:t xml:space="preserve"> est une suite logicielle CRM/ERP web complète, conçue par ASTORYA SGI pour gérer l'intégralité du cycle commercial et opérationnel d'une PME de services informatiques. Né de l'expérience terrain d'ASTORYA, le Hub couvre la prospection, la qualification, la négociation, la contractualisation, la facturation, la gestion de projet, le support technique et le pilotage par indicateurs.</w:t>
      </w:r>
    </w:p>
    <w:p>
      <w:pPr>
        <w:pStyle w:val="Heading3"/>
      </w:pPr>
      <w:r>
        <w:rPr>
          <w:color w:val="3730A3"/>
          <w:sz w:val="24"/>
        </w:rPr>
        <w:t>1.2 Pour qui ?</w:t>
      </w:r>
    </w:p>
    <w:p>
      <w:r>
        <w:t>Le Hub Astorya s'adresse principalement à :</w:t>
      </w:r>
    </w:p>
    <w:p>
      <w:pPr>
        <w:pStyle w:val="ListBullet"/>
      </w:pPr>
      <w:r>
        <w:rPr>
          <w:b/>
        </w:rPr>
        <w:t>PME du secteur IT</w:t>
      </w:r>
      <w:r>
        <w:t xml:space="preserve"> (infogérance, hébergement, télécoms, intégration)</w:t>
      </w:r>
    </w:p>
    <w:p>
      <w:pPr>
        <w:pStyle w:val="ListBullet"/>
      </w:pPr>
      <w:r>
        <w:rPr>
          <w:b/>
        </w:rPr>
        <w:t>Cabinets de conseil en transformation digitale</w:t>
      </w:r>
    </w:p>
    <w:p>
      <w:pPr>
        <w:pStyle w:val="ListBullet"/>
      </w:pPr>
      <w:r>
        <w:rPr>
          <w:b/>
        </w:rPr>
        <w:t>Éditeurs et intégrateurs de solutions métier</w:t>
      </w:r>
    </w:p>
    <w:p>
      <w:pPr>
        <w:pStyle w:val="ListBullet"/>
      </w:pPr>
      <w:r>
        <w:rPr>
          <w:b/>
        </w:rPr>
        <w:t>MSP (Managed Service Providers)</w:t>
      </w:r>
      <w:r>
        <w:t xml:space="preserve"> européens</w:t>
      </w:r>
    </w:p>
    <w:p>
      <w:pPr>
        <w:pStyle w:val="ListBullet"/>
      </w:pPr>
      <w:r>
        <w:rPr>
          <w:b/>
        </w:rPr>
        <w:t>Entreprises de services aux entreprises</w:t>
      </w:r>
      <w:r>
        <w:t xml:space="preserve"> (BtoB) ayant un cycle de vente long et un suivi de projet structuré</w:t>
      </w:r>
    </w:p>
    <w:p>
      <w:r>
        <w:t>L'outil est utilisé quotidiennement par cinq types d'utilisateurs :</w:t>
      </w:r>
    </w:p>
    <w:p>
      <w:pPr>
        <w:pStyle w:val="ListBullet"/>
      </w:pPr>
      <w:r>
        <w:rPr>
          <w:b/>
        </w:rPr>
        <w:t>Dirigeants et managers</w:t>
      </w:r>
      <w:r>
        <w:t xml:space="preserve"> : vue 360° du business, KPI temps réel, tableaux de pilotage</w:t>
      </w:r>
    </w:p>
    <w:p>
      <w:pPr>
        <w:pStyle w:val="ListBullet"/>
      </w:pPr>
      <w:r>
        <w:rPr>
          <w:b/>
        </w:rPr>
        <w:t>Commerciaux</w:t>
      </w:r>
      <w:r>
        <w:t xml:space="preserve"> : pipeline, prospection, devis, contrats, signatures</w:t>
      </w:r>
    </w:p>
    <w:p>
      <w:pPr>
        <w:pStyle w:val="ListBullet"/>
      </w:pPr>
      <w:r>
        <w:rPr>
          <w:b/>
        </w:rPr>
        <w:t>Techniciens et support</w:t>
      </w:r>
      <w:r>
        <w:t xml:space="preserve"> : tickets, interventions, hotline 3CX, note interne projet</w:t>
      </w:r>
    </w:p>
    <w:p>
      <w:pPr>
        <w:pStyle w:val="ListBullet"/>
      </w:pPr>
      <w:r>
        <w:rPr>
          <w:b/>
        </w:rPr>
        <w:t>Comptables</w:t>
      </w:r>
      <w:r>
        <w:t xml:space="preserve"> : facturation, encaissements, relances, exports comptables</w:t>
      </w:r>
    </w:p>
    <w:p>
      <w:pPr>
        <w:pStyle w:val="ListBullet"/>
      </w:pPr>
      <w:r>
        <w:rPr>
          <w:b/>
        </w:rPr>
        <w:t>Administrateurs IT</w:t>
      </w:r>
      <w:r>
        <w:t xml:space="preserve"> : utilisateurs, droits, catalogue, paramètres, sauvegardes</w:t>
      </w:r>
    </w:p>
    <w:p>
      <w:pPr>
        <w:pStyle w:val="Heading3"/>
      </w:pPr>
      <w:r>
        <w:rPr>
          <w:color w:val="3730A3"/>
          <w:sz w:val="24"/>
        </w:rPr>
        <w:t>1.3 Vision produit</w:t>
      </w:r>
    </w:p>
    <w:p>
      <w:r>
        <w:t xml:space="preserve">Le Hub Astorya est pensé comme </w:t>
      </w:r>
      <w:r>
        <w:rPr>
          <w:b/>
        </w:rPr>
        <w:t>l'outil unique</w:t>
      </w:r>
      <w:r>
        <w:t xml:space="preserve"> qui élimine la dispersion entre 5–10 logiciels disparates (Salesforce, Sage, Trello, Zendesk, etc.). Il vise la simplicité radicale : interface unifiée, navigation fluide, pas de plug-in à installer, pas de mise à jour bloquante, accès web universel.</w:t>
      </w:r>
    </w:p>
    <w:p>
      <w:r>
        <w:t>La doctrine éditoriale repose sur :</w:t>
      </w:r>
    </w:p>
    <w:p>
      <w:pPr>
        <w:pStyle w:val="ListBullet"/>
      </w:pPr>
      <w:r>
        <w:rPr>
          <w:b/>
        </w:rPr>
        <w:t>Sentence case strict</w:t>
      </w:r>
      <w:r>
        <w:t xml:space="preserve"> sur tous les libellés (premier mot en majuscule, le reste en minuscule)</w:t>
      </w:r>
    </w:p>
    <w:p>
      <w:pPr>
        <w:pStyle w:val="ListBullet"/>
      </w:pPr>
      <w:r>
        <w:rPr>
          <w:b/>
        </w:rPr>
        <w:t>Couleurs sémantiques</w:t>
      </w:r>
      <w:r>
        <w:t xml:space="preserve"> : violet (décision/intelligence), bleu (action commerciale), vert (succès), orange (urgence), rouge (alerte/perte)</w:t>
      </w:r>
    </w:p>
    <w:p>
      <w:pPr>
        <w:pStyle w:val="ListBullet"/>
      </w:pPr>
      <w:r>
        <w:rPr>
          <w:b/>
        </w:rPr>
        <w:t>Workflow visuel</w:t>
      </w:r>
      <w:r>
        <w:t xml:space="preserve"> par pilules colorées rectangulaires (style ERP éditeurs majeurs)</w:t>
      </w:r>
    </w:p>
    <w:p>
      <w:pPr>
        <w:pStyle w:val="ListBullet"/>
      </w:pPr>
      <w:r>
        <w:rPr>
          <w:b/>
        </w:rPr>
        <w:t>Fluidité</w:t>
      </w:r>
      <w:r>
        <w:t xml:space="preserve"> : 90 % des actions accessibles en deux clics maximum depuis l'accueil</w:t>
      </w:r>
    </w:p>
    <w:p>
      <w:pPr>
        <w:pStyle w:val="Heading3"/>
      </w:pPr>
      <w:r>
        <w:rPr>
          <w:color w:val="3730A3"/>
          <w:sz w:val="24"/>
        </w:rPr>
        <w:t>1.4 Différenciation concurrentielle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F"/>
          </w:tcPr>
          <w:p>
            <w:r>
              <w:rPr>
                <w:b/>
                <w:color w:val="1F2942"/>
                <w:sz w:val="18"/>
              </w:rPr>
              <w:t>Critère</w:t>
            </w:r>
          </w:p>
        </w:tc>
        <w:tc>
          <w:tcPr>
            <w:tcW w:type="dxa" w:w="1994"/>
            <w:shd w:val="clear" w:color="auto" w:fill="EEF2FF"/>
          </w:tcPr>
          <w:p>
            <w:r>
              <w:rPr>
                <w:b/>
                <w:color w:val="1F2942"/>
                <w:sz w:val="18"/>
              </w:rPr>
              <w:t>Hub Astorya</w:t>
            </w:r>
          </w:p>
        </w:tc>
        <w:tc>
          <w:tcPr>
            <w:tcW w:type="dxa" w:w="1994"/>
            <w:shd w:val="clear" w:color="auto" w:fill="EEF2FF"/>
          </w:tcPr>
          <w:p>
            <w:r>
              <w:rPr>
                <w:b/>
                <w:color w:val="1F2942"/>
                <w:sz w:val="18"/>
              </w:rPr>
              <w:t>Salesforce</w:t>
            </w:r>
          </w:p>
        </w:tc>
        <w:tc>
          <w:tcPr>
            <w:tcW w:type="dxa" w:w="1994"/>
            <w:shd w:val="clear" w:color="auto" w:fill="EEF2FF"/>
          </w:tcPr>
          <w:p>
            <w:r>
              <w:rPr>
                <w:b/>
                <w:color w:val="1F2942"/>
                <w:sz w:val="18"/>
              </w:rPr>
              <w:t>Sage</w:t>
            </w:r>
          </w:p>
        </w:tc>
        <w:tc>
          <w:tcPr>
            <w:tcW w:type="dxa" w:w="1994"/>
            <w:shd w:val="clear" w:color="auto" w:fill="EEF2FF"/>
          </w:tcPr>
          <w:p>
            <w:r>
              <w:rPr>
                <w:b/>
                <w:color w:val="1F2942"/>
                <w:sz w:val="18"/>
              </w:rPr>
              <w:t>Pega</w:t>
            </w:r>
          </w:p>
        </w:tc>
      </w:tr>
      <w:tr>
        <w:tc>
          <w:tcPr>
            <w:tcW w:type="dxa" w:w="1994"/>
          </w:tcPr>
          <w:p>
            <w:r>
              <w:rPr>
                <w:sz w:val="18"/>
              </w:rPr>
              <w:t>Logiciel gratuit</w:t>
            </w:r>
          </w:p>
        </w:tc>
        <w:tc>
          <w:tcPr>
            <w:tcW w:type="dxa" w:w="1994"/>
          </w:tcPr>
          <w:p>
            <w:r>
              <w:rPr>
                <w:sz w:val="18"/>
              </w:rPr>
              <w:t>✓</w:t>
            </w:r>
          </w:p>
        </w:tc>
        <w:tc>
          <w:tcPr>
            <w:tcW w:type="dxa" w:w="1994"/>
          </w:tcPr>
          <w:p>
            <w:r>
              <w:rPr>
                <w:sz w:val="18"/>
              </w:rPr>
              <w:t>× (licence/mois)</w:t>
            </w:r>
          </w:p>
        </w:tc>
        <w:tc>
          <w:tcPr>
            <w:tcW w:type="dxa" w:w="1994"/>
          </w:tcPr>
          <w:p>
            <w:r>
              <w:rPr>
                <w:sz w:val="18"/>
              </w:rPr>
              <w:t>× (licence)</w:t>
            </w:r>
          </w:p>
        </w:tc>
        <w:tc>
          <w:tcPr>
            <w:tcW w:type="dxa" w:w="1994"/>
          </w:tcPr>
          <w:p>
            <w:r>
              <w:rPr>
                <w:sz w:val="18"/>
              </w:rPr>
              <w:t>× (licence)</w:t>
            </w:r>
          </w:p>
        </w:tc>
      </w:tr>
      <w:tr>
        <w:tc>
          <w:tcPr>
            <w:tcW w:type="dxa" w:w="1994"/>
          </w:tcPr>
          <w:p>
            <w:r>
              <w:rPr>
                <w:sz w:val="18"/>
              </w:rPr>
              <w:t>Hébergement EU souverain</w:t>
            </w:r>
          </w:p>
        </w:tc>
        <w:tc>
          <w:tcPr>
            <w:tcW w:type="dxa" w:w="1994"/>
          </w:tcPr>
          <w:p>
            <w:r>
              <w:rPr>
                <w:sz w:val="18"/>
              </w:rPr>
              <w:t>✓</w:t>
            </w:r>
          </w:p>
        </w:tc>
        <w:tc>
          <w:tcPr>
            <w:tcW w:type="dxa" w:w="1994"/>
          </w:tcPr>
          <w:p>
            <w:r>
              <w:rPr>
                <w:sz w:val="18"/>
              </w:rPr>
              <w:t>× (US)</w:t>
            </w:r>
          </w:p>
        </w:tc>
        <w:tc>
          <w:tcPr>
            <w:tcW w:type="dxa" w:w="1994"/>
          </w:tcPr>
          <w:p>
            <w:r>
              <w:rPr>
                <w:sz w:val="18"/>
              </w:rPr>
              <w:t>Partiel</w:t>
            </w:r>
          </w:p>
        </w:tc>
        <w:tc>
          <w:tcPr>
            <w:tcW w:type="dxa" w:w="1994"/>
          </w:tcPr>
          <w:p>
            <w:r>
              <w:rPr>
                <w:sz w:val="18"/>
              </w:rPr>
              <w:t>×</w:t>
            </w:r>
          </w:p>
        </w:tc>
      </w:tr>
      <w:tr>
        <w:tc>
          <w:tcPr>
            <w:tcW w:type="dxa" w:w="1994"/>
          </w:tcPr>
          <w:p>
            <w:r>
              <w:rPr>
                <w:sz w:val="18"/>
              </w:rPr>
              <w:t>Conformité RGPD article 20</w:t>
            </w:r>
          </w:p>
        </w:tc>
        <w:tc>
          <w:tcPr>
            <w:tcW w:type="dxa" w:w="1994"/>
          </w:tcPr>
          <w:p>
            <w:r>
              <w:rPr>
                <w:sz w:val="18"/>
              </w:rPr>
              <w:t>✓</w:t>
            </w:r>
          </w:p>
        </w:tc>
        <w:tc>
          <w:tcPr>
            <w:tcW w:type="dxa" w:w="1994"/>
          </w:tcPr>
          <w:p>
            <w:r>
              <w:rPr>
                <w:sz w:val="18"/>
              </w:rPr>
              <w:t>Limité</w:t>
            </w:r>
          </w:p>
        </w:tc>
        <w:tc>
          <w:tcPr>
            <w:tcW w:type="dxa" w:w="1994"/>
          </w:tcPr>
          <w:p>
            <w:r>
              <w:rPr>
                <w:sz w:val="18"/>
              </w:rPr>
              <w:t>Limité</w:t>
            </w:r>
          </w:p>
        </w:tc>
        <w:tc>
          <w:tcPr>
            <w:tcW w:type="dxa" w:w="1994"/>
          </w:tcPr>
          <w:p>
            <w:r>
              <w:rPr>
                <w:sz w:val="18"/>
              </w:rPr>
              <w:t>Limité</w:t>
            </w:r>
          </w:p>
        </w:tc>
      </w:tr>
      <w:tr>
        <w:tc>
          <w:tcPr>
            <w:tcW w:type="dxa" w:w="1994"/>
          </w:tcPr>
          <w:p>
            <w:r>
              <w:rPr>
                <w:sz w:val="18"/>
              </w:rPr>
              <w:t>Sauvegarde air-gap incluse</w:t>
            </w:r>
          </w:p>
        </w:tc>
        <w:tc>
          <w:tcPr>
            <w:tcW w:type="dxa" w:w="1994"/>
          </w:tcPr>
          <w:p>
            <w:r>
              <w:rPr>
                <w:sz w:val="18"/>
              </w:rPr>
              <w:t>✓</w:t>
            </w:r>
          </w:p>
        </w:tc>
        <w:tc>
          <w:tcPr>
            <w:tcW w:type="dxa" w:w="1994"/>
          </w:tcPr>
          <w:p>
            <w:r>
              <w:rPr>
                <w:sz w:val="18"/>
              </w:rPr>
              <w:t>×</w:t>
            </w:r>
          </w:p>
        </w:tc>
        <w:tc>
          <w:tcPr>
            <w:tcW w:type="dxa" w:w="1994"/>
          </w:tcPr>
          <w:p>
            <w:r>
              <w:rPr>
                <w:sz w:val="18"/>
              </w:rPr>
              <w:t>×</w:t>
            </w:r>
          </w:p>
        </w:tc>
        <w:tc>
          <w:tcPr>
            <w:tcW w:type="dxa" w:w="1994"/>
          </w:tcPr>
          <w:p>
            <w:r>
              <w:rPr>
                <w:sz w:val="18"/>
              </w:rPr>
              <w:t>×</w:t>
            </w:r>
          </w:p>
        </w:tc>
      </w:tr>
      <w:tr>
        <w:tc>
          <w:tcPr>
            <w:tcW w:type="dxa" w:w="1994"/>
          </w:tcPr>
          <w:p>
            <w:r>
              <w:rPr>
                <w:sz w:val="18"/>
              </w:rPr>
              <w:t>Code source ouvert au client</w:t>
            </w:r>
          </w:p>
        </w:tc>
        <w:tc>
          <w:tcPr>
            <w:tcW w:type="dxa" w:w="1994"/>
          </w:tcPr>
          <w:p>
            <w:r>
              <w:rPr>
                <w:sz w:val="18"/>
              </w:rPr>
              <w:t>Optionnel</w:t>
            </w:r>
          </w:p>
        </w:tc>
        <w:tc>
          <w:tcPr>
            <w:tcW w:type="dxa" w:w="1994"/>
          </w:tcPr>
          <w:p>
            <w:r>
              <w:rPr>
                <w:sz w:val="18"/>
              </w:rPr>
              <w:t>×</w:t>
            </w:r>
          </w:p>
        </w:tc>
        <w:tc>
          <w:tcPr>
            <w:tcW w:type="dxa" w:w="1994"/>
          </w:tcPr>
          <w:p>
            <w:r>
              <w:rPr>
                <w:sz w:val="18"/>
              </w:rPr>
              <w:t>×</w:t>
            </w:r>
          </w:p>
        </w:tc>
        <w:tc>
          <w:tcPr>
            <w:tcW w:type="dxa" w:w="1994"/>
          </w:tcPr>
          <w:p>
            <w:r>
              <w:rPr>
                <w:sz w:val="18"/>
              </w:rPr>
              <w:t>×</w:t>
            </w:r>
          </w:p>
        </w:tc>
      </w:tr>
      <w:tr>
        <w:tc>
          <w:tcPr>
            <w:tcW w:type="dxa" w:w="1994"/>
          </w:tcPr>
          <w:p>
            <w:r>
              <w:rPr>
                <w:sz w:val="18"/>
              </w:rPr>
              <w:t>Modèle TPE/PME 1–50 postes</w:t>
            </w:r>
          </w:p>
        </w:tc>
        <w:tc>
          <w:tcPr>
            <w:tcW w:type="dxa" w:w="1994"/>
          </w:tcPr>
          <w:p>
            <w:r>
              <w:rPr>
                <w:sz w:val="18"/>
              </w:rPr>
              <w:t>✓</w:t>
            </w:r>
          </w:p>
        </w:tc>
        <w:tc>
          <w:tcPr>
            <w:tcW w:type="dxa" w:w="1994"/>
          </w:tcPr>
          <w:p>
            <w:r>
              <w:rPr>
                <w:sz w:val="18"/>
              </w:rPr>
              <w:t>×</w:t>
            </w:r>
          </w:p>
        </w:tc>
        <w:tc>
          <w:tcPr>
            <w:tcW w:type="dxa" w:w="1994"/>
          </w:tcPr>
          <w:p>
            <w:r>
              <w:rPr>
                <w:sz w:val="18"/>
              </w:rPr>
              <w:t>✓</w:t>
            </w:r>
          </w:p>
        </w:tc>
        <w:tc>
          <w:tcPr>
            <w:tcW w:type="dxa" w:w="1994"/>
          </w:tcPr>
          <w:p>
            <w:r>
              <w:rPr>
                <w:sz w:val="18"/>
              </w:rPr>
              <w:t>×</w:t>
            </w:r>
          </w:p>
        </w:tc>
      </w:tr>
      <w:tr>
        <w:tc>
          <w:tcPr>
            <w:tcW w:type="dxa" w:w="1994"/>
          </w:tcPr>
          <w:p>
            <w:r>
              <w:rPr>
                <w:sz w:val="18"/>
              </w:rPr>
              <w:t>Intégration native 3CX</w:t>
            </w:r>
          </w:p>
        </w:tc>
        <w:tc>
          <w:tcPr>
            <w:tcW w:type="dxa" w:w="1994"/>
          </w:tcPr>
          <w:p>
            <w:r>
              <w:rPr>
                <w:sz w:val="18"/>
              </w:rPr>
              <w:t>✓</w:t>
            </w:r>
          </w:p>
        </w:tc>
        <w:tc>
          <w:tcPr>
            <w:tcW w:type="dxa" w:w="1994"/>
          </w:tcPr>
          <w:p>
            <w:r>
              <w:rPr>
                <w:sz w:val="18"/>
              </w:rPr>
              <w:t>Plugin tiers</w:t>
            </w:r>
          </w:p>
        </w:tc>
        <w:tc>
          <w:tcPr>
            <w:tcW w:type="dxa" w:w="1994"/>
          </w:tcPr>
          <w:p>
            <w:r>
              <w:rPr>
                <w:sz w:val="18"/>
              </w:rPr>
              <w:t>×</w:t>
            </w:r>
          </w:p>
        </w:tc>
        <w:tc>
          <w:tcPr>
            <w:tcW w:type="dxa" w:w="1994"/>
          </w:tcPr>
          <w:p>
            <w:r>
              <w:rPr>
                <w:sz w:val="18"/>
              </w:rPr>
              <w:t>×</w:t>
            </w:r>
          </w:p>
        </w:tc>
      </w:tr>
    </w:tbl>
    <w:p/>
    <w:p>
      <w:pPr>
        <w:spacing w:before="80"/>
        <w:pBdr>
          <w:bottom w:val="single" w:sz="6" w:color="C0C7D2"/>
        </w:pBdr>
      </w:pPr>
    </w:p>
    <w:p>
      <w:pPr>
        <w:pStyle w:val="Heading2"/>
      </w:pPr>
      <w:r>
        <w:rPr>
          <w:color w:val="1F2942"/>
          <w:sz w:val="28"/>
        </w:rPr>
        <w:t>2. MODÈLE ÉCONOMIQUE ET LICENSING</w:t>
      </w:r>
    </w:p>
    <w:p>
      <w:pPr>
        <w:pStyle w:val="Heading3"/>
      </w:pPr>
      <w:r>
        <w:rPr>
          <w:color w:val="3730A3"/>
          <w:sz w:val="24"/>
        </w:rPr>
        <w:t>2.1 Principe de mise à disposition gratuite</w:t>
      </w:r>
    </w:p>
    <w:p>
      <w:r>
        <w:t xml:space="preserve">Le </w:t>
      </w:r>
      <w:r>
        <w:rPr>
          <w:b/>
        </w:rPr>
        <w:t>logiciel Hub Astorya</w:t>
      </w:r>
      <w:r>
        <w:t xml:space="preserve"> est mis à disposition gratuitement par ASTORYA SGI à ses clients sous forme de licence d'usage non-exclusive, non-transmissible, à durée indéterminée. Le code source reste la propriété intellectuelle exclusive d'ASTORYA SGI.</w:t>
      </w:r>
    </w:p>
    <w:p>
      <w:r>
        <w:t xml:space="preserve">Cette mise à disposition gratuite est encadrée par le </w:t>
      </w:r>
      <w:r>
        <w:rPr>
          <w:b/>
        </w:rPr>
        <w:t>Contrat de mise à disposition Hub Astorya</w:t>
      </w:r>
      <w:r>
        <w:t xml:space="preserve"> (18 articles + 5 annexes), garantissant à ASTORYA :</w:t>
      </w:r>
    </w:p>
    <w:p>
      <w:pPr>
        <w:pStyle w:val="ListBullet"/>
      </w:pPr>
      <w:r>
        <w:t>L'exclusivité de l'hébergement et de l'exploitation</w:t>
      </w:r>
    </w:p>
    <w:p>
      <w:pPr>
        <w:pStyle w:val="ListBullet"/>
      </w:pPr>
      <w:r>
        <w:t>L'interdiction de toute modification du code par le Client ou un tiers (art. 10 bis)</w:t>
      </w:r>
    </w:p>
    <w:p>
      <w:pPr>
        <w:pStyle w:val="ListBullet"/>
      </w:pPr>
      <w:r>
        <w:t>L'obligation de souscription d'une assurance cyber (art. 8 bis)</w:t>
      </w:r>
    </w:p>
    <w:p>
      <w:pPr>
        <w:pStyle w:val="ListBullet"/>
      </w:pPr>
      <w:r>
        <w:t>La sauvegarde air-gap mensuelle non-refusable (art. 8 bis)</w:t>
      </w:r>
    </w:p>
    <w:p>
      <w:pPr>
        <w:pStyle w:val="Heading3"/>
      </w:pPr>
      <w:r>
        <w:rPr>
          <w:color w:val="3730A3"/>
          <w:sz w:val="24"/>
        </w:rPr>
        <w:t>2.2 Contrat de Services (modèle économique)</w:t>
      </w:r>
    </w:p>
    <w:p>
      <w:r>
        <w:t xml:space="preserve">L'exploitation, l'hébergement et la maintenance du Hub sont facturés via un </w:t>
      </w:r>
      <w:r>
        <w:rPr>
          <w:b/>
        </w:rPr>
        <w:t>Contrat de Services</w:t>
      </w:r>
      <w:r>
        <w:t xml:space="preserve"> distinct (16 articles + 5 annexes). Ce contrat couvre :</w:t>
      </w:r>
    </w:p>
    <w:p>
      <w:pPr>
        <w:pStyle w:val="ListBullet"/>
      </w:pPr>
      <w:r>
        <w:rPr>
          <w:b/>
        </w:rPr>
        <w:t>Hébergement</w:t>
      </w:r>
      <w:r>
        <w:t xml:space="preserve"> : serveurs, BDD, CDN, certificats SSL/TLS</w:t>
      </w:r>
    </w:p>
    <w:p>
      <w:pPr>
        <w:pStyle w:val="ListBullet"/>
      </w:pPr>
      <w:r>
        <w:rPr>
          <w:b/>
        </w:rPr>
        <w:t>Maintenance corrective</w:t>
      </w:r>
      <w:r>
        <w:t xml:space="preserve"> : correction des bugs sans surcoût</w:t>
      </w:r>
    </w:p>
    <w:p>
      <w:pPr>
        <w:pStyle w:val="ListBullet"/>
      </w:pPr>
      <w:r>
        <w:rPr>
          <w:b/>
        </w:rPr>
        <w:t>Maintenance évolutive</w:t>
      </w:r>
      <w:r>
        <w:t xml:space="preserve"> : nouvelles versions du produit</w:t>
      </w:r>
    </w:p>
    <w:p>
      <w:pPr>
        <w:pStyle w:val="ListBullet"/>
      </w:pPr>
      <w:r>
        <w:rPr>
          <w:b/>
        </w:rPr>
        <w:t>Sauvegardes</w:t>
      </w:r>
      <w:r>
        <w:t xml:space="preserve"> : automatiques quotidiennes + air-gap mensuel</w:t>
      </w:r>
    </w:p>
    <w:p>
      <w:pPr>
        <w:pStyle w:val="ListBullet"/>
      </w:pPr>
      <w:r>
        <w:rPr>
          <w:b/>
        </w:rPr>
        <w:t>Support utilisateurs</w:t>
      </w:r>
      <w:r>
        <w:t xml:space="preserve"> : hotline, tickets, formation</w:t>
      </w:r>
    </w:p>
    <w:p>
      <w:pPr>
        <w:pStyle w:val="ListBullet"/>
      </w:pPr>
      <w:r>
        <w:rPr>
          <w:b/>
        </w:rPr>
        <w:t>TMA (Tierce Maintenance Applicative)</w:t>
      </w:r>
      <w:r>
        <w:t xml:space="preserve"> : développements spécifiques sur devis</w:t>
      </w:r>
    </w:p>
    <w:p>
      <w:pPr>
        <w:pStyle w:val="Heading3"/>
      </w:pPr>
      <w:r>
        <w:rPr>
          <w:color w:val="3730A3"/>
          <w:sz w:val="24"/>
        </w:rPr>
        <w:t>2.3 Grille tarifaire (formules standard)</w:t>
      </w:r>
    </w:p>
    <w:p>
      <w:r>
        <w:t>#### Formule Essentiel — 49 à 89 € HT / mois</w:t>
      </w:r>
    </w:p>
    <w:p>
      <w:r>
        <w:t>Pour TPE 1–10 utilisateurs avec besoins commerciaux simples.</w:t>
      </w:r>
    </w:p>
    <w:p>
      <w:pPr>
        <w:pStyle w:val="ListBullet"/>
      </w:pPr>
      <w:r>
        <w:t>Hébergement mutualisé EU (Vercel + Supabase shared)</w:t>
      </w:r>
    </w:p>
    <w:p>
      <w:pPr>
        <w:pStyle w:val="ListBullet"/>
      </w:pPr>
      <w:r>
        <w:t>Sauvegardes quotidiennes (rétention 7 jours)</w:t>
      </w:r>
    </w:p>
    <w:p>
      <w:pPr>
        <w:pStyle w:val="ListBullet"/>
      </w:pPr>
      <w:r>
        <w:t>Support email J+2 ouvré</w:t>
      </w:r>
    </w:p>
    <w:p>
      <w:pPr>
        <w:pStyle w:val="ListBullet"/>
      </w:pPr>
      <w:r>
        <w:t>1 sauvegarde air-gap / trimestre</w:t>
      </w:r>
    </w:p>
    <w:p>
      <w:pPr>
        <w:pStyle w:val="ListBullet"/>
      </w:pPr>
      <w:r>
        <w:t>SLA disponibilité 99,5 %</w:t>
      </w:r>
    </w:p>
    <w:p>
      <w:pPr>
        <w:pStyle w:val="ListBullet"/>
      </w:pPr>
      <w:r>
        <w:t>Mises à jour gratuites</w:t>
      </w:r>
    </w:p>
    <w:p>
      <w:r>
        <w:t>#### Formule Business — 129 à 199 € HT / mois</w:t>
      </w:r>
    </w:p>
    <w:p>
      <w:r>
        <w:t>Pour PME 10–30 utilisateurs avec workflow projet structuré.</w:t>
      </w:r>
    </w:p>
    <w:p>
      <w:pPr>
        <w:pStyle w:val="ListBullet"/>
      </w:pPr>
      <w:r>
        <w:t>Hébergement dédié EU</w:t>
      </w:r>
    </w:p>
    <w:p>
      <w:pPr>
        <w:pStyle w:val="ListBullet"/>
      </w:pPr>
      <w:r>
        <w:t>Sauvegardes quotidiennes (rétention 30 jours) + point-in-time recovery 7 j</w:t>
      </w:r>
    </w:p>
    <w:p>
      <w:pPr>
        <w:pStyle w:val="ListBullet"/>
      </w:pPr>
      <w:r>
        <w:t>Support hotline ouvré + email J+1</w:t>
      </w:r>
    </w:p>
    <w:p>
      <w:pPr>
        <w:pStyle w:val="ListBullet"/>
      </w:pPr>
      <w:r>
        <w:t>1 sauvegarde air-gap / mois</w:t>
      </w:r>
    </w:p>
    <w:p>
      <w:pPr>
        <w:pStyle w:val="ListBullet"/>
      </w:pPr>
      <w:r>
        <w:t>SLA disponibilité 99,7 %</w:t>
      </w:r>
    </w:p>
    <w:p>
      <w:pPr>
        <w:pStyle w:val="ListBullet"/>
      </w:pPr>
      <w:r>
        <w:t>2h de TMA incluse par mois</w:t>
      </w:r>
    </w:p>
    <w:p>
      <w:pPr>
        <w:pStyle w:val="ListBullet"/>
      </w:pPr>
      <w:r>
        <w:t>Formation utilisateur (1 session / an)</w:t>
      </w:r>
    </w:p>
    <w:p>
      <w:r>
        <w:t>#### Formule Premium — 290 à 450 € HT / mois</w:t>
      </w:r>
    </w:p>
    <w:p>
      <w:r>
        <w:t>Pour PME 30+ utilisateurs avec exigences cyber et continuité élevées.</w:t>
      </w:r>
    </w:p>
    <w:p>
      <w:pPr>
        <w:pStyle w:val="ListBullet"/>
      </w:pPr>
      <w:r>
        <w:t>Hébergement dédié EU + DR (Disaster Recovery)</w:t>
      </w:r>
    </w:p>
    <w:p>
      <w:pPr>
        <w:pStyle w:val="ListBullet"/>
      </w:pPr>
      <w:r>
        <w:t>Sauvegardes horaires + point-in-time recovery 30 j</w:t>
      </w:r>
    </w:p>
    <w:p>
      <w:pPr>
        <w:pStyle w:val="ListBullet"/>
      </w:pPr>
      <w:r>
        <w:t>Support hotline 24/5 + astreinte critique</w:t>
      </w:r>
    </w:p>
    <w:p>
      <w:pPr>
        <w:pStyle w:val="ListBullet"/>
      </w:pPr>
      <w:r>
        <w:t>2 sauvegardes air-gap / mois (2 sites distincts)</w:t>
      </w:r>
    </w:p>
    <w:p>
      <w:pPr>
        <w:pStyle w:val="ListBullet"/>
      </w:pPr>
      <w:r>
        <w:t>SLA disponibilité 99,9 %</w:t>
      </w:r>
    </w:p>
    <w:p>
      <w:pPr>
        <w:pStyle w:val="ListBullet"/>
      </w:pPr>
      <w:r>
        <w:t>5h de TMA incluse par mois</w:t>
      </w:r>
    </w:p>
    <w:p>
      <w:pPr>
        <w:pStyle w:val="ListBullet"/>
      </w:pPr>
      <w:r>
        <w:t>Audits sécurité trimestriels</w:t>
      </w:r>
    </w:p>
    <w:p>
      <w:pPr>
        <w:pStyle w:val="ListBullet"/>
      </w:pPr>
      <w:r>
        <w:t>Formation utilisateur (4 sessions / an)</w:t>
      </w:r>
    </w:p>
    <w:p>
      <w:pPr>
        <w:pStyle w:val="Heading3"/>
      </w:pPr>
      <w:r>
        <w:rPr>
          <w:color w:val="3730A3"/>
          <w:sz w:val="24"/>
        </w:rPr>
        <w:t>2.4 Restauration après incident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Niveau</w:t>
            </w:r>
          </w:p>
        </w:tc>
        <w:tc>
          <w:tcPr>
            <w:tcW w:type="dxa" w:w="3324"/>
            <w:shd w:val="clear" w:color="auto" w:fill="EEF2FF"/>
          </w:tcPr>
          <w:p>
            <w:r>
              <w:rPr>
                <w:b/>
                <w:color w:val="1F2942"/>
                <w:sz w:val="18"/>
              </w:rPr>
              <w:t>Description</w:t>
            </w:r>
          </w:p>
        </w:tc>
        <w:tc>
          <w:tcPr>
            <w:tcW w:type="dxa" w:w="3324"/>
            <w:shd w:val="clear" w:color="auto" w:fill="EEF2FF"/>
          </w:tcPr>
          <w:p>
            <w:r>
              <w:rPr>
                <w:b/>
                <w:color w:val="1F2942"/>
                <w:sz w:val="18"/>
              </w:rPr>
              <w:t>Tarif HT</w:t>
            </w:r>
          </w:p>
        </w:tc>
      </w:tr>
      <w:tr>
        <w:tc>
          <w:tcPr>
            <w:tcW w:type="dxa" w:w="3324"/>
          </w:tcPr>
          <w:p>
            <w:r>
              <w:rPr>
                <w:sz w:val="18"/>
              </w:rPr>
              <w:t>Simple</w:t>
            </w:r>
          </w:p>
        </w:tc>
        <w:tc>
          <w:tcPr>
            <w:tcW w:type="dxa" w:w="3324"/>
          </w:tcPr>
          <w:p>
            <w:r>
              <w:rPr>
                <w:sz w:val="18"/>
              </w:rPr>
              <w:t>Restauration PITR ≤ 2h</w:t>
            </w:r>
          </w:p>
        </w:tc>
        <w:tc>
          <w:tcPr>
            <w:tcW w:type="dxa" w:w="3324"/>
          </w:tcPr>
          <w:p>
            <w:r>
              <w:rPr>
                <w:sz w:val="18"/>
              </w:rPr>
              <w:t>690 €</w:t>
            </w:r>
          </w:p>
        </w:tc>
      </w:tr>
      <w:tr>
        <w:tc>
          <w:tcPr>
            <w:tcW w:type="dxa" w:w="3324"/>
          </w:tcPr>
          <w:p>
            <w:r>
              <w:rPr>
                <w:sz w:val="18"/>
              </w:rPr>
              <w:t>Avec données</w:t>
            </w:r>
          </w:p>
        </w:tc>
        <w:tc>
          <w:tcPr>
            <w:tcW w:type="dxa" w:w="3324"/>
          </w:tcPr>
          <w:p>
            <w:r>
              <w:rPr>
                <w:sz w:val="18"/>
              </w:rPr>
              <w:t>Restauration depuis snapshot + recette</w:t>
            </w:r>
          </w:p>
        </w:tc>
        <w:tc>
          <w:tcPr>
            <w:tcW w:type="dxa" w:w="3324"/>
          </w:tcPr>
          <w:p>
            <w:r>
              <w:rPr>
                <w:sz w:val="18"/>
              </w:rPr>
              <w:t>1 200 €</w:t>
            </w:r>
          </w:p>
        </w:tc>
      </w:tr>
      <w:tr>
        <w:tc>
          <w:tcPr>
            <w:tcW w:type="dxa" w:w="3324"/>
          </w:tcPr>
          <w:p>
            <w:r>
              <w:rPr>
                <w:sz w:val="18"/>
              </w:rPr>
              <w:t>Catastrophe</w:t>
            </w:r>
          </w:p>
        </w:tc>
        <w:tc>
          <w:tcPr>
            <w:tcW w:type="dxa" w:w="3324"/>
          </w:tcPr>
          <w:p>
            <w:r>
              <w:rPr>
                <w:sz w:val="18"/>
              </w:rPr>
              <w:t>Restauration air-gap + reconstruction infra</w:t>
            </w:r>
          </w:p>
        </w:tc>
        <w:tc>
          <w:tcPr>
            <w:tcW w:type="dxa" w:w="3324"/>
          </w:tcPr>
          <w:p>
            <w:r>
              <w:rPr>
                <w:sz w:val="18"/>
              </w:rPr>
              <w:t>1 500 € + temps technicien</w:t>
            </w:r>
          </w:p>
        </w:tc>
      </w:tr>
    </w:tbl>
    <w:p/>
    <w:p>
      <w:pPr>
        <w:pStyle w:val="Heading3"/>
      </w:pPr>
      <w:r>
        <w:rPr>
          <w:color w:val="3730A3"/>
          <w:sz w:val="24"/>
        </w:rPr>
        <w:t>2.5 TMA et développements spécifiques</w:t>
      </w:r>
    </w:p>
    <w:p>
      <w:r>
        <w:t>Devis sur étude. Tarif jour technicien senior : 750 € HT. Tarif architecte : 1 200 € HT.</w:t>
      </w:r>
    </w:p>
    <w:p>
      <w:pPr>
        <w:spacing w:before="80"/>
        <w:pBdr>
          <w:bottom w:val="single" w:sz="6" w:color="C0C7D2"/>
        </w:pBdr>
      </w:pPr>
    </w:p>
    <w:p>
      <w:pPr>
        <w:pStyle w:val="Heading2"/>
      </w:pPr>
      <w:r>
        <w:rPr>
          <w:color w:val="1F2942"/>
          <w:sz w:val="28"/>
        </w:rPr>
        <w:t>3. ARCHITECTURE TECHNIQUE DÉTAILLÉE</w:t>
      </w:r>
    </w:p>
    <w:p>
      <w:pPr>
        <w:pStyle w:val="Heading3"/>
      </w:pPr>
      <w:r>
        <w:rPr>
          <w:color w:val="3730A3"/>
          <w:sz w:val="24"/>
        </w:rPr>
        <w:t>3.1 Stack applicative</w:t>
      </w:r>
    </w:p>
    <w:p>
      <w:r>
        <w:t>#### Front-end</w:t>
      </w:r>
    </w:p>
    <w:p>
      <w:pPr>
        <w:pStyle w:val="ListBullet"/>
      </w:pPr>
      <w:r>
        <w:rPr>
          <w:b/>
        </w:rPr>
        <w:t>React 18.3.1</w:t>
      </w:r>
      <w:r>
        <w:t xml:space="preserve"> (UMD via unpkg, pas de bundler) — chargement direct dans le navigateur</w:t>
      </w:r>
    </w:p>
    <w:p>
      <w:pPr>
        <w:pStyle w:val="ListBullet"/>
      </w:pPr>
      <w:r>
        <w:rPr>
          <w:b/>
        </w:rPr>
        <w:t>JSX pré-compilé</w:t>
      </w:r>
      <w:r>
        <w:t xml:space="preserve"> par Babel hors-ligne via script Node.js (</w:t>
      </w:r>
      <w:r>
        <w:rPr>
          <w:rFonts w:ascii="Consolas" w:hAnsi="Consolas"/>
          <w:sz w:val="18"/>
        </w:rPr>
        <w:t>tools/build.js</w:t>
      </w:r>
      <w:r>
        <w:t>)</w:t>
      </w:r>
    </w:p>
    <w:p>
      <w:pPr>
        <w:pStyle w:val="ListBullet"/>
      </w:pPr>
      <w:r>
        <w:rPr>
          <w:b/>
        </w:rPr>
        <w:t>Distribution</w:t>
      </w:r>
      <w:r>
        <w:t xml:space="preserve"> : fichiers </w:t>
      </w:r>
      <w:r>
        <w:rPr>
          <w:rFonts w:ascii="Consolas" w:hAnsi="Consolas"/>
          <w:sz w:val="18"/>
        </w:rPr>
        <w:t>.js</w:t>
      </w:r>
      <w:r>
        <w:t xml:space="preserve"> produits dans </w:t>
      </w:r>
      <w:r>
        <w:rPr>
          <w:rFonts w:ascii="Consolas" w:hAnsi="Consolas"/>
          <w:sz w:val="18"/>
        </w:rPr>
        <w:t>/dist/components/*.js</w:t>
      </w:r>
      <w:r>
        <w:t xml:space="preserve">, chargés en </w:t>
      </w:r>
      <w:r>
        <w:rPr>
          <w:rFonts w:ascii="Consolas" w:hAnsi="Consolas"/>
          <w:sz w:val="18"/>
        </w:rPr>
        <w:t>&lt;script defer&gt;</w:t>
      </w:r>
      <w:r>
        <w:t xml:space="preserve"> depuis les HTML statiques</w:t>
      </w:r>
    </w:p>
    <w:p>
      <w:pPr>
        <w:pStyle w:val="ListBullet"/>
      </w:pPr>
      <w:r>
        <w:rPr>
          <w:b/>
        </w:rPr>
        <w:t>CSS</w:t>
      </w:r>
      <w:r>
        <w:t xml:space="preserve"> : feuille </w:t>
      </w:r>
      <w:r>
        <w:rPr>
          <w:rFonts w:ascii="Consolas" w:hAnsi="Consolas"/>
          <w:sz w:val="18"/>
        </w:rPr>
        <w:t>responsive.css</w:t>
      </w:r>
      <w:r>
        <w:t xml:space="preserve"> partagée, complétée par styles inline JSX par composant</w:t>
      </w:r>
    </w:p>
    <w:p>
      <w:pPr>
        <w:pStyle w:val="ListBullet"/>
      </w:pPr>
      <w:r>
        <w:rPr>
          <w:b/>
        </w:rPr>
        <w:t>Police</w:t>
      </w:r>
      <w:r>
        <w:t xml:space="preserve"> : Inter (Google Fonts), poids 400/500/600/700/800</w:t>
      </w:r>
    </w:p>
    <w:p>
      <w:r>
        <w:t>#### Back-end</w:t>
      </w:r>
    </w:p>
    <w:p>
      <w:pPr>
        <w:pStyle w:val="ListBullet"/>
      </w:pPr>
      <w:r>
        <w:rPr>
          <w:b/>
        </w:rPr>
        <w:t>Supabase</w:t>
      </w:r>
      <w:r>
        <w:t xml:space="preserve"> (Postgres 15 + PostgREST + Realtime + Auth + Storage)</w:t>
      </w:r>
    </w:p>
    <w:p>
      <w:pPr>
        <w:pStyle w:val="ListBullet"/>
      </w:pPr>
      <w:r>
        <w:rPr>
          <w:b/>
        </w:rPr>
        <w:t>Row-Level Security (RLS)</w:t>
      </w:r>
      <w:r>
        <w:t xml:space="preserve"> activée sur toutes les tables sensibles</w:t>
      </w:r>
    </w:p>
    <w:p>
      <w:pPr>
        <w:pStyle w:val="ListBullet"/>
      </w:pPr>
      <w:r>
        <w:rPr>
          <w:b/>
        </w:rPr>
        <w:t>Edge Functions</w:t>
      </w:r>
      <w:r>
        <w:t xml:space="preserve"> Supabase pour les opérations sensibles (purge, exports)</w:t>
      </w:r>
    </w:p>
    <w:p>
      <w:pPr>
        <w:pStyle w:val="ListBullet"/>
      </w:pPr>
      <w:r>
        <w:rPr>
          <w:b/>
        </w:rPr>
        <w:t>Stockage objets</w:t>
      </w:r>
      <w:r>
        <w:t xml:space="preserve"> : Supabase Storage (PDF templates, exports ZIP, plaquettes)</w:t>
      </w:r>
    </w:p>
    <w:p>
      <w:r>
        <w:t>#### Hébergement et distribution</w:t>
      </w:r>
    </w:p>
    <w:p>
      <w:pPr>
        <w:pStyle w:val="ListBullet"/>
      </w:pPr>
      <w:r>
        <w:rPr>
          <w:b/>
        </w:rPr>
        <w:t>Vercel</w:t>
      </w:r>
      <w:r>
        <w:t xml:space="preserve"> : front statique + Edge CDN (≤ 50ms latence Europe)</w:t>
      </w:r>
    </w:p>
    <w:p>
      <w:pPr>
        <w:pStyle w:val="ListBullet"/>
      </w:pPr>
      <w:r>
        <w:rPr>
          <w:b/>
        </w:rPr>
        <w:t>Supabase EU-West-3</w:t>
      </w:r>
      <w:r>
        <w:t xml:space="preserve"> (Paris) ou EU-West-1 (Irlande) selon la formule</w:t>
      </w:r>
    </w:p>
    <w:p>
      <w:pPr>
        <w:pStyle w:val="ListBullet"/>
      </w:pPr>
      <w:r>
        <w:rPr>
          <w:b/>
        </w:rPr>
        <w:t>Déploiement</w:t>
      </w:r>
      <w:r>
        <w:t xml:space="preserve"> : Git push sur </w:t>
      </w:r>
      <w:r>
        <w:rPr>
          <w:rFonts w:ascii="Consolas" w:hAnsi="Consolas"/>
          <w:sz w:val="18"/>
        </w:rPr>
        <w:t>main</w:t>
      </w:r>
      <w:r>
        <w:t xml:space="preserve"> → déploiement Vercel automatique</w:t>
      </w:r>
    </w:p>
    <w:p>
      <w:pPr>
        <w:pStyle w:val="ListBullet"/>
      </w:pPr>
      <w:r>
        <w:rPr>
          <w:b/>
        </w:rPr>
        <w:t>Cache-busting</w:t>
      </w:r>
      <w:r>
        <w:t xml:space="preserve"> : </w:t>
      </w:r>
      <w:r>
        <w:rPr>
          <w:rFonts w:ascii="Consolas" w:hAnsi="Consolas"/>
          <w:sz w:val="18"/>
        </w:rPr>
        <w:t>?v=YYYYMMDDHHMM</w:t>
      </w:r>
      <w:r>
        <w:t xml:space="preserve"> sur tous les assets statiques</w:t>
      </w:r>
    </w:p>
    <w:p>
      <w:r>
        <w:t>#### Génération PDF</w:t>
      </w:r>
    </w:p>
    <w:p>
      <w:pPr>
        <w:pStyle w:val="ListBullet"/>
      </w:pPr>
      <w:r>
        <w:rPr>
          <w:b/>
        </w:rPr>
        <w:t>pdfmake</w:t>
      </w:r>
      <w:r>
        <w:t xml:space="preserve"> (UMD CDN cdnjs) avec polices Roboto embarquées</w:t>
      </w:r>
    </w:p>
    <w:p>
      <w:pPr>
        <w:pStyle w:val="ListBullet"/>
      </w:pPr>
      <w:r>
        <w:t xml:space="preserve">Modules dédiés : </w:t>
      </w:r>
      <w:r>
        <w:rPr>
          <w:rFonts w:ascii="Consolas" w:hAnsi="Consolas"/>
          <w:sz w:val="18"/>
        </w:rPr>
        <w:t>commercial-pdf.js</w:t>
      </w:r>
      <w:r>
        <w:t xml:space="preserve"> (devis/factures), </w:t>
      </w:r>
      <w:r>
        <w:rPr>
          <w:rFonts w:ascii="Consolas" w:hAnsi="Consolas"/>
          <w:sz w:val="18"/>
        </w:rPr>
        <w:t>contract-pdf.js</w:t>
      </w:r>
      <w:r>
        <w:t xml:space="preserve"> (contrats)</w:t>
      </w:r>
    </w:p>
    <w:p>
      <w:pPr>
        <w:pStyle w:val="ListBullet"/>
      </w:pPr>
      <w:r>
        <w:t xml:space="preserve">SVG logos via </w:t>
      </w:r>
      <w:r>
        <w:rPr>
          <w:rFonts w:ascii="Consolas" w:hAnsi="Consolas"/>
          <w:sz w:val="18"/>
        </w:rPr>
        <w:t>astorya-assets.js</w:t>
      </w:r>
    </w:p>
    <w:p>
      <w:pPr>
        <w:pStyle w:val="Heading3"/>
      </w:pPr>
      <w:r>
        <w:rPr>
          <w:color w:val="3730A3"/>
          <w:sz w:val="24"/>
        </w:rPr>
        <w:t>3.2 APIs externes intégrées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API</w:t>
            </w:r>
          </w:p>
        </w:tc>
        <w:tc>
          <w:tcPr>
            <w:tcW w:type="dxa" w:w="2493"/>
            <w:shd w:val="clear" w:color="auto" w:fill="EEF2FF"/>
          </w:tcPr>
          <w:p>
            <w:r>
              <w:rPr>
                <w:b/>
                <w:color w:val="1F2942"/>
                <w:sz w:val="18"/>
              </w:rPr>
              <w:t>Usage</w:t>
            </w:r>
          </w:p>
        </w:tc>
        <w:tc>
          <w:tcPr>
            <w:tcW w:type="dxa" w:w="2493"/>
            <w:shd w:val="clear" w:color="auto" w:fill="EEF2FF"/>
          </w:tcPr>
          <w:p>
            <w:r>
              <w:rPr>
                <w:b/>
                <w:color w:val="1F2942"/>
                <w:sz w:val="18"/>
              </w:rPr>
              <w:t>Authentification</w:t>
            </w:r>
          </w:p>
        </w:tc>
        <w:tc>
          <w:tcPr>
            <w:tcW w:type="dxa" w:w="2493"/>
            <w:shd w:val="clear" w:color="auto" w:fill="EEF2FF"/>
          </w:tcPr>
          <w:p>
            <w:r>
              <w:rPr>
                <w:b/>
                <w:color w:val="1F2942"/>
                <w:sz w:val="18"/>
              </w:rPr>
              <w:t>Quota</w:t>
            </w:r>
          </w:p>
        </w:tc>
      </w:tr>
      <w:tr>
        <w:tc>
          <w:tcPr>
            <w:tcW w:type="dxa" w:w="2493"/>
          </w:tcPr>
          <w:p>
            <w:r>
              <w:rPr>
                <w:rFonts w:ascii="Consolas" w:hAnsi="Consolas"/>
                <w:sz w:val="18"/>
              </w:rPr>
              <w:t>recherche-entreprises.api.gouv.fr</w:t>
            </w:r>
          </w:p>
        </w:tc>
        <w:tc>
          <w:tcPr>
            <w:tcW w:type="dxa" w:w="2493"/>
          </w:tcPr>
          <w:p>
            <w:r>
              <w:rPr>
                <w:sz w:val="18"/>
              </w:rPr>
              <w:t>SIRENE + dirigeants INPI</w:t>
            </w:r>
          </w:p>
        </w:tc>
        <w:tc>
          <w:tcPr>
            <w:tcW w:type="dxa" w:w="2493"/>
          </w:tcPr>
          <w:p>
            <w:r>
              <w:rPr>
                <w:sz w:val="18"/>
              </w:rPr>
              <w:t>Aucune (gratuit)</w:t>
            </w:r>
          </w:p>
        </w:tc>
        <w:tc>
          <w:tcPr>
            <w:tcW w:type="dxa" w:w="2493"/>
          </w:tcPr>
          <w:p>
            <w:r>
              <w:rPr>
                <w:sz w:val="18"/>
              </w:rPr>
              <w:t>7 req/sec</w:t>
            </w:r>
          </w:p>
        </w:tc>
      </w:tr>
      <w:tr>
        <w:tc>
          <w:tcPr>
            <w:tcW w:type="dxa" w:w="2493"/>
          </w:tcPr>
          <w:p>
            <w:r>
              <w:rPr>
                <w:rFonts w:ascii="Consolas" w:hAnsi="Consolas"/>
                <w:sz w:val="18"/>
              </w:rPr>
              <w:t>bodacc-datadila.opendatasoft.com</w:t>
            </w:r>
          </w:p>
        </w:tc>
        <w:tc>
          <w:tcPr>
            <w:tcW w:type="dxa" w:w="2493"/>
          </w:tcPr>
          <w:p>
            <w:r>
              <w:rPr>
                <w:sz w:val="18"/>
              </w:rPr>
              <w:t>Procédures collectives</w:t>
            </w:r>
          </w:p>
        </w:tc>
        <w:tc>
          <w:tcPr>
            <w:tcW w:type="dxa" w:w="2493"/>
          </w:tcPr>
          <w:p>
            <w:r>
              <w:rPr>
                <w:sz w:val="18"/>
              </w:rPr>
              <w:t>Aucune (gratuit)</w:t>
            </w:r>
          </w:p>
        </w:tc>
        <w:tc>
          <w:tcPr>
            <w:tcW w:type="dxa" w:w="2493"/>
          </w:tcPr>
          <w:p>
            <w:r>
              <w:rPr>
                <w:sz w:val="18"/>
              </w:rPr>
              <w:t>5 req/sec</w:t>
            </w:r>
          </w:p>
        </w:tc>
      </w:tr>
      <w:tr>
        <w:tc>
          <w:tcPr>
            <w:tcW w:type="dxa" w:w="2493"/>
          </w:tcPr>
          <w:p>
            <w:r>
              <w:rPr>
                <w:rFonts w:ascii="Consolas" w:hAnsi="Consolas"/>
                <w:sz w:val="18"/>
              </w:rPr>
              <w:t>api.pappers.fr/v2</w:t>
            </w:r>
          </w:p>
        </w:tc>
        <w:tc>
          <w:tcPr>
            <w:tcW w:type="dxa" w:w="2493"/>
          </w:tcPr>
          <w:p>
            <w:r>
              <w:rPr>
                <w:sz w:val="18"/>
              </w:rPr>
              <w:t>Données entreprise enrichies</w:t>
            </w:r>
          </w:p>
        </w:tc>
        <w:tc>
          <w:tcPr>
            <w:tcW w:type="dxa" w:w="2493"/>
          </w:tcPr>
          <w:p>
            <w:r>
              <w:rPr>
                <w:sz w:val="18"/>
              </w:rPr>
              <w:t>Token (proxy serveur)</w:t>
            </w:r>
          </w:p>
        </w:tc>
        <w:tc>
          <w:tcPr>
            <w:tcW w:type="dxa" w:w="2493"/>
          </w:tcPr>
          <w:p>
            <w:r>
              <w:rPr>
                <w:sz w:val="18"/>
              </w:rPr>
              <w:t>1k/mois</w:t>
            </w:r>
          </w:p>
        </w:tc>
      </w:tr>
      <w:tr>
        <w:tc>
          <w:tcPr>
            <w:tcW w:type="dxa" w:w="2493"/>
          </w:tcPr>
          <w:p>
            <w:r>
              <w:rPr>
                <w:rFonts w:ascii="Consolas" w:hAnsi="Consolas"/>
                <w:sz w:val="18"/>
              </w:rPr>
              <w:t>3CX Web Client</w:t>
            </w:r>
          </w:p>
        </w:tc>
        <w:tc>
          <w:tcPr>
            <w:tcW w:type="dxa" w:w="2493"/>
          </w:tcPr>
          <w:p>
            <w:r>
              <w:rPr>
                <w:sz w:val="18"/>
              </w:rPr>
              <w:t>Téléphonie (dial direct)</w:t>
            </w:r>
          </w:p>
        </w:tc>
        <w:tc>
          <w:tcPr>
            <w:tcW w:type="dxa" w:w="2493"/>
          </w:tcPr>
          <w:p>
            <w:r>
              <w:rPr>
                <w:sz w:val="18"/>
              </w:rPr>
              <w:t>Session locale 3CX</w:t>
            </w:r>
          </w:p>
        </w:tc>
        <w:tc>
          <w:tcPr>
            <w:tcW w:type="dxa" w:w="2493"/>
          </w:tcPr>
          <w:p>
            <w:r>
              <w:rPr>
                <w:sz w:val="18"/>
              </w:rPr>
              <w:t>n/a</w:t>
            </w:r>
          </w:p>
        </w:tc>
      </w:tr>
      <w:tr>
        <w:tc>
          <w:tcPr>
            <w:tcW w:type="dxa" w:w="2493"/>
          </w:tcPr>
          <w:p>
            <w:r>
              <w:rPr>
                <w:rFonts w:ascii="Consolas" w:hAnsi="Consolas"/>
                <w:sz w:val="18"/>
              </w:rPr>
              <w:t>outlook.office.com/owa</w:t>
            </w:r>
          </w:p>
        </w:tc>
        <w:tc>
          <w:tcPr>
            <w:tcW w:type="dxa" w:w="2493"/>
          </w:tcPr>
          <w:p>
            <w:r>
              <w:rPr>
                <w:sz w:val="18"/>
              </w:rPr>
              <w:t>Compose mail (deep-link)</w:t>
            </w:r>
          </w:p>
        </w:tc>
        <w:tc>
          <w:tcPr>
            <w:tcW w:type="dxa" w:w="2493"/>
          </w:tcPr>
          <w:p>
            <w:r>
              <w:rPr>
                <w:sz w:val="18"/>
              </w:rPr>
              <w:t>Compte O365 utilisateur</w:t>
            </w:r>
          </w:p>
        </w:tc>
        <w:tc>
          <w:tcPr>
            <w:tcW w:type="dxa" w:w="2493"/>
          </w:tcPr>
          <w:p>
            <w:r>
              <w:rPr>
                <w:sz w:val="18"/>
              </w:rPr>
              <w:t>n/a</w:t>
            </w:r>
          </w:p>
        </w:tc>
      </w:tr>
      <w:tr>
        <w:tc>
          <w:tcPr>
            <w:tcW w:type="dxa" w:w="2493"/>
          </w:tcPr>
          <w:p>
            <w:r>
              <w:rPr>
                <w:rFonts w:ascii="Consolas" w:hAnsi="Consolas"/>
                <w:sz w:val="18"/>
              </w:rPr>
              <w:t>outlook.office.com/calendar</w:t>
            </w:r>
          </w:p>
        </w:tc>
        <w:tc>
          <w:tcPr>
            <w:tcW w:type="dxa" w:w="2493"/>
          </w:tcPr>
          <w:p>
            <w:r>
              <w:rPr>
                <w:sz w:val="18"/>
              </w:rPr>
              <w:t>Création RDV</w:t>
            </w:r>
          </w:p>
        </w:tc>
        <w:tc>
          <w:tcPr>
            <w:tcW w:type="dxa" w:w="2493"/>
          </w:tcPr>
          <w:p>
            <w:r>
              <w:rPr>
                <w:sz w:val="18"/>
              </w:rPr>
              <w:t>Compte O365 utilisateur</w:t>
            </w:r>
          </w:p>
        </w:tc>
        <w:tc>
          <w:tcPr>
            <w:tcW w:type="dxa" w:w="2493"/>
          </w:tcPr>
          <w:p>
            <w:r>
              <w:rPr>
                <w:sz w:val="18"/>
              </w:rPr>
              <w:t>n/a</w:t>
            </w:r>
          </w:p>
        </w:tc>
      </w:tr>
      <w:tr>
        <w:tc>
          <w:tcPr>
            <w:tcW w:type="dxa" w:w="2493"/>
          </w:tcPr>
          <w:p>
            <w:r>
              <w:rPr>
                <w:rFonts w:ascii="Consolas" w:hAnsi="Consolas"/>
                <w:sz w:val="18"/>
              </w:rPr>
              <w:t>Teams webhook</w:t>
            </w:r>
          </w:p>
        </w:tc>
        <w:tc>
          <w:tcPr>
            <w:tcW w:type="dxa" w:w="2493"/>
          </w:tcPr>
          <w:p>
            <w:r>
              <w:rPr>
                <w:sz w:val="18"/>
              </w:rPr>
              <w:t>Notifications canal</w:t>
            </w:r>
          </w:p>
        </w:tc>
        <w:tc>
          <w:tcPr>
            <w:tcW w:type="dxa" w:w="2493"/>
          </w:tcPr>
          <w:p>
            <w:r>
              <w:rPr>
                <w:sz w:val="18"/>
              </w:rPr>
              <w:t>Webhook URL configurée</w:t>
            </w:r>
          </w:p>
        </w:tc>
        <w:tc>
          <w:tcPr>
            <w:tcW w:type="dxa" w:w="2493"/>
          </w:tcPr>
          <w:p>
            <w:r>
              <w:rPr>
                <w:sz w:val="18"/>
              </w:rPr>
              <w:t>n/a</w:t>
            </w:r>
          </w:p>
        </w:tc>
      </w:tr>
    </w:tbl>
    <w:p/>
    <w:p>
      <w:pPr>
        <w:pStyle w:val="Heading3"/>
      </w:pPr>
      <w:r>
        <w:rPr>
          <w:color w:val="3730A3"/>
          <w:sz w:val="24"/>
        </w:rPr>
        <w:t>3.3 Modélisation des données (principales tables)</w:t>
      </w:r>
    </w:p>
    <w:p>
      <w:r>
        <w:t xml:space="preserve">#### Table </w:t>
      </w:r>
      <w:r>
        <w:rPr>
          <w:rFonts w:ascii="Consolas" w:hAnsi="Consolas"/>
          <w:sz w:val="18"/>
        </w:rPr>
        <w:t>clients</w:t>
      </w:r>
    </w:p>
    <w:p>
      <w:r>
        <w:t xml:space="preserve">Stocke prospects et clients confirmés. Statut dans </w:t>
      </w:r>
      <w:r>
        <w:rPr>
          <w:rFonts w:ascii="Consolas" w:hAnsi="Consolas"/>
          <w:sz w:val="18"/>
        </w:rPr>
        <w:t>data.statut</w:t>
      </w:r>
      <w:r>
        <w:t xml:space="preserve"> (</w:t>
      </w:r>
      <w:r>
        <w:rPr>
          <w:rFonts w:ascii="Consolas" w:hAnsi="Consolas"/>
          <w:sz w:val="18"/>
        </w:rPr>
        <w:t>prospect</w:t>
      </w:r>
      <w:r>
        <w:t xml:space="preserve">, </w:t>
      </w:r>
      <w:r>
        <w:rPr>
          <w:rFonts w:ascii="Consolas" w:hAnsi="Consolas"/>
          <w:sz w:val="18"/>
        </w:rPr>
        <w:t>client</w:t>
      </w:r>
      <w:r>
        <w:t xml:space="preserve">, </w:t>
      </w:r>
      <w:r>
        <w:rPr>
          <w:rFonts w:ascii="Consolas" w:hAnsi="Consolas"/>
          <w:sz w:val="18"/>
        </w:rPr>
        <w:t>archive</w:t>
      </w:r>
      <w:r>
        <w:t>).</w:t>
      </w:r>
    </w:p>
    <w:p>
      <w:pPr>
        <w:pStyle w:val="ListBullet"/>
      </w:pPr>
      <w:r>
        <w:rPr>
          <w:rFonts w:ascii="Consolas" w:hAnsi="Consolas"/>
          <w:sz w:val="18"/>
        </w:rPr>
        <w:t>id</w:t>
      </w:r>
      <w:r>
        <w:t xml:space="preserve">, </w:t>
      </w:r>
      <w:r>
        <w:rPr>
          <w:rFonts w:ascii="Consolas" w:hAnsi="Consolas"/>
          <w:sz w:val="18"/>
        </w:rPr>
        <w:t>raison_sociale</w:t>
      </w:r>
      <w:r>
        <w:t xml:space="preserve">, </w:t>
      </w:r>
      <w:r>
        <w:rPr>
          <w:rFonts w:ascii="Consolas" w:hAnsi="Consolas"/>
          <w:sz w:val="18"/>
        </w:rPr>
        <w:t>siren</w:t>
      </w:r>
      <w:r>
        <w:t xml:space="preserve">, </w:t>
      </w:r>
      <w:r>
        <w:rPr>
          <w:rFonts w:ascii="Consolas" w:hAnsi="Consolas"/>
          <w:sz w:val="18"/>
        </w:rPr>
        <w:t>siret</w:t>
      </w:r>
      <w:r>
        <w:t xml:space="preserve">, </w:t>
      </w:r>
      <w:r>
        <w:rPr>
          <w:rFonts w:ascii="Consolas" w:hAnsi="Consolas"/>
          <w:sz w:val="18"/>
        </w:rPr>
        <w:t>naf</w:t>
      </w:r>
      <w:r>
        <w:t xml:space="preserve">, </w:t>
      </w:r>
      <w:r>
        <w:rPr>
          <w:rFonts w:ascii="Consolas" w:hAnsi="Consolas"/>
          <w:sz w:val="18"/>
        </w:rPr>
        <w:t>tva_intracom</w:t>
      </w:r>
    </w:p>
    <w:p>
      <w:pPr>
        <w:pStyle w:val="ListBullet"/>
      </w:pPr>
      <w:r>
        <w:rPr>
          <w:rFonts w:ascii="Consolas" w:hAnsi="Consolas"/>
          <w:sz w:val="18"/>
        </w:rPr>
        <w:t>address</w:t>
      </w:r>
      <w:r>
        <w:t xml:space="preserve">, </w:t>
      </w:r>
      <w:r>
        <w:rPr>
          <w:rFonts w:ascii="Consolas" w:hAnsi="Consolas"/>
          <w:sz w:val="18"/>
        </w:rPr>
        <w:t>cp</w:t>
      </w:r>
      <w:r>
        <w:t xml:space="preserve">, </w:t>
      </w:r>
      <w:r>
        <w:rPr>
          <w:rFonts w:ascii="Consolas" w:hAnsi="Consolas"/>
          <w:sz w:val="18"/>
        </w:rPr>
        <w:t>city</w:t>
      </w:r>
      <w:r>
        <w:t xml:space="preserve">, </w:t>
      </w:r>
      <w:r>
        <w:rPr>
          <w:rFonts w:ascii="Consolas" w:hAnsi="Consolas"/>
          <w:sz w:val="18"/>
        </w:rPr>
        <w:t>phone</w:t>
      </w:r>
      <w:r>
        <w:t xml:space="preserve">, </w:t>
      </w:r>
      <w:r>
        <w:rPr>
          <w:rFonts w:ascii="Consolas" w:hAnsi="Consolas"/>
          <w:sz w:val="18"/>
        </w:rPr>
        <w:t>email</w:t>
      </w:r>
      <w:r>
        <w:t xml:space="preserve">, </w:t>
      </w:r>
      <w:r>
        <w:rPr>
          <w:rFonts w:ascii="Consolas" w:hAnsi="Consolas"/>
          <w:sz w:val="18"/>
        </w:rPr>
        <w:t>website</w:t>
      </w:r>
      <w:r>
        <w:t xml:space="preserve">, </w:t>
      </w:r>
      <w:r>
        <w:rPr>
          <w:rFonts w:ascii="Consolas" w:hAnsi="Consolas"/>
          <w:sz w:val="18"/>
        </w:rPr>
        <w:t>linkedin</w:t>
      </w:r>
    </w:p>
    <w:p>
      <w:pPr>
        <w:pStyle w:val="ListBullet"/>
      </w:pPr>
      <w:r>
        <w:rPr>
          <w:rFonts w:ascii="Consolas" w:hAnsi="Consolas"/>
          <w:sz w:val="18"/>
        </w:rPr>
        <w:t>effectif</w:t>
      </w:r>
      <w:r>
        <w:t xml:space="preserve">, </w:t>
      </w:r>
      <w:r>
        <w:rPr>
          <w:rFonts w:ascii="Consolas" w:hAnsi="Consolas"/>
          <w:sz w:val="18"/>
        </w:rPr>
        <w:t>tier</w:t>
      </w:r>
      <w:r>
        <w:t xml:space="preserve">, </w:t>
      </w:r>
      <w:r>
        <w:rPr>
          <w:rFonts w:ascii="Consolas" w:hAnsi="Consolas"/>
          <w:sz w:val="18"/>
        </w:rPr>
        <w:t>secteur</w:t>
      </w:r>
      <w:r>
        <w:t xml:space="preserve">, </w:t>
      </w:r>
      <w:r>
        <w:rPr>
          <w:rFonts w:ascii="Consolas" w:hAnsi="Consolas"/>
          <w:sz w:val="18"/>
        </w:rPr>
        <w:t>sous_secteur</w:t>
      </w:r>
    </w:p>
    <w:p>
      <w:pPr>
        <w:pStyle w:val="ListBullet"/>
      </w:pPr>
      <w:r>
        <w:rPr>
          <w:rFonts w:ascii="Consolas" w:hAnsi="Consolas"/>
          <w:sz w:val="18"/>
        </w:rPr>
        <w:t>created_at</w:t>
      </w:r>
      <w:r>
        <w:t xml:space="preserve">, </w:t>
      </w:r>
      <w:r>
        <w:rPr>
          <w:rFonts w:ascii="Consolas" w:hAnsi="Consolas"/>
          <w:sz w:val="18"/>
        </w:rPr>
        <w:t>created_by</w:t>
      </w:r>
      <w:r>
        <w:t xml:space="preserve">, </w:t>
      </w:r>
      <w:r>
        <w:rPr>
          <w:rFonts w:ascii="Consolas" w:hAnsi="Consolas"/>
          <w:sz w:val="18"/>
        </w:rPr>
        <w:t>data</w:t>
      </w:r>
      <w:r>
        <w:t xml:space="preserve"> (jsonb pour BODACC check, secondary establishments, etc.)</w:t>
      </w:r>
    </w:p>
    <w:p>
      <w:r>
        <w:t xml:space="preserve">#### Table </w:t>
      </w:r>
      <w:r>
        <w:rPr>
          <w:rFonts w:ascii="Consolas" w:hAnsi="Consolas"/>
          <w:sz w:val="18"/>
        </w:rPr>
        <w:t>contacts</w:t>
      </w:r>
    </w:p>
    <w:p>
      <w:r>
        <w:t xml:space="preserve">Interlocuteurs liés à un client. Contrainte : un seul </w:t>
      </w:r>
      <w:r>
        <w:rPr>
          <w:rFonts w:ascii="Consolas" w:hAnsi="Consolas"/>
          <w:sz w:val="18"/>
        </w:rPr>
        <w:t>is_principal=true</w:t>
      </w:r>
      <w:r>
        <w:t xml:space="preserve"> par client.</w:t>
      </w:r>
    </w:p>
    <w:p>
      <w:pPr>
        <w:pStyle w:val="ListBullet"/>
      </w:pPr>
      <w:r>
        <w:rPr>
          <w:rFonts w:ascii="Consolas" w:hAnsi="Consolas"/>
          <w:sz w:val="18"/>
        </w:rPr>
        <w:t>id</w:t>
      </w:r>
      <w:r>
        <w:t xml:space="preserve">, </w:t>
      </w:r>
      <w:r>
        <w:rPr>
          <w:rFonts w:ascii="Consolas" w:hAnsi="Consolas"/>
          <w:sz w:val="18"/>
        </w:rPr>
        <w:t>client_id</w:t>
      </w:r>
      <w:r>
        <w:t xml:space="preserve">, </w:t>
      </w:r>
      <w:r>
        <w:rPr>
          <w:rFonts w:ascii="Consolas" w:hAnsi="Consolas"/>
          <w:sz w:val="18"/>
        </w:rPr>
        <w:t>prenom</w:t>
      </w:r>
      <w:r>
        <w:t xml:space="preserve">, </w:t>
      </w:r>
      <w:r>
        <w:rPr>
          <w:rFonts w:ascii="Consolas" w:hAnsi="Consolas"/>
          <w:sz w:val="18"/>
        </w:rPr>
        <w:t>nom</w:t>
      </w:r>
      <w:r>
        <w:t xml:space="preserve">, </w:t>
      </w:r>
      <w:r>
        <w:rPr>
          <w:rFonts w:ascii="Consolas" w:hAnsi="Consolas"/>
          <w:sz w:val="18"/>
        </w:rPr>
        <w:t>fonction</w:t>
      </w:r>
      <w:r>
        <w:t xml:space="preserve">, </w:t>
      </w:r>
      <w:r>
        <w:rPr>
          <w:rFonts w:ascii="Consolas" w:hAnsi="Consolas"/>
          <w:sz w:val="18"/>
        </w:rPr>
        <w:t>email</w:t>
      </w:r>
      <w:r>
        <w:t xml:space="preserve">, </w:t>
      </w:r>
      <w:r>
        <w:rPr>
          <w:rFonts w:ascii="Consolas" w:hAnsi="Consolas"/>
          <w:sz w:val="18"/>
        </w:rPr>
        <w:t>phone</w:t>
      </w:r>
      <w:r>
        <w:t xml:space="preserve">, </w:t>
      </w:r>
      <w:r>
        <w:rPr>
          <w:rFonts w:ascii="Consolas" w:hAnsi="Consolas"/>
          <w:sz w:val="18"/>
        </w:rPr>
        <w:t>linkedin</w:t>
      </w:r>
    </w:p>
    <w:p>
      <w:pPr>
        <w:pStyle w:val="ListBullet"/>
      </w:pPr>
      <w:r>
        <w:rPr>
          <w:rFonts w:ascii="Consolas" w:hAnsi="Consolas"/>
          <w:sz w:val="18"/>
        </w:rPr>
        <w:t>is_principal</w:t>
      </w:r>
      <w:r>
        <w:t xml:space="preserve">, </w:t>
      </w:r>
      <w:r>
        <w:rPr>
          <w:rFonts w:ascii="Consolas" w:hAnsi="Consolas"/>
          <w:sz w:val="18"/>
        </w:rPr>
        <w:t>created_at</w:t>
      </w:r>
    </w:p>
    <w:p>
      <w:r>
        <w:t xml:space="preserve">#### Table </w:t>
      </w:r>
      <w:r>
        <w:rPr>
          <w:rFonts w:ascii="Consolas" w:hAnsi="Consolas"/>
          <w:sz w:val="18"/>
        </w:rPr>
        <w:t>opportunities</w:t>
      </w:r>
    </w:p>
    <w:p>
      <w:r>
        <w:t>Opportunités commerciales du pipeline SPANCO.</w:t>
      </w:r>
    </w:p>
    <w:p>
      <w:pPr>
        <w:pStyle w:val="ListBullet"/>
      </w:pPr>
      <w:r>
        <w:rPr>
          <w:rFonts w:ascii="Consolas" w:hAnsi="Consolas"/>
          <w:sz w:val="18"/>
        </w:rPr>
        <w:t>id</w:t>
      </w:r>
      <w:r>
        <w:t xml:space="preserve">, </w:t>
      </w:r>
      <w:r>
        <w:rPr>
          <w:rFonts w:ascii="Consolas" w:hAnsi="Consolas"/>
          <w:sz w:val="18"/>
        </w:rPr>
        <w:t>ref</w:t>
      </w:r>
      <w:r>
        <w:t xml:space="preserve">, </w:t>
      </w:r>
      <w:r>
        <w:rPr>
          <w:rFonts w:ascii="Consolas" w:hAnsi="Consolas"/>
          <w:sz w:val="18"/>
        </w:rPr>
        <w:t>client_id</w:t>
      </w:r>
      <w:r>
        <w:t xml:space="preserve">, </w:t>
      </w:r>
      <w:r>
        <w:rPr>
          <w:rFonts w:ascii="Consolas" w:hAnsi="Consolas"/>
          <w:sz w:val="18"/>
        </w:rPr>
        <w:t>name</w:t>
      </w:r>
      <w:r>
        <w:t xml:space="preserve">, </w:t>
      </w:r>
      <w:r>
        <w:rPr>
          <w:rFonts w:ascii="Consolas" w:hAnsi="Consolas"/>
          <w:sz w:val="18"/>
        </w:rPr>
        <w:t>stage</w:t>
      </w:r>
      <w:r>
        <w:t xml:space="preserve">, </w:t>
      </w:r>
      <w:r>
        <w:rPr>
          <w:rFonts w:ascii="Consolas" w:hAnsi="Consolas"/>
          <w:sz w:val="18"/>
        </w:rPr>
        <w:t>proba</w:t>
      </w:r>
      <w:r>
        <w:t xml:space="preserve">, </w:t>
      </w:r>
      <w:r>
        <w:rPr>
          <w:rFonts w:ascii="Consolas" w:hAnsi="Consolas"/>
          <w:sz w:val="18"/>
        </w:rPr>
        <w:t>amount_eur</w:t>
      </w:r>
    </w:p>
    <w:p>
      <w:pPr>
        <w:pStyle w:val="ListBullet"/>
      </w:pPr>
      <w:r>
        <w:rPr>
          <w:rFonts w:ascii="Consolas" w:hAnsi="Consolas"/>
          <w:sz w:val="18"/>
        </w:rPr>
        <w:t>close_date</w:t>
      </w:r>
      <w:r>
        <w:t xml:space="preserve"> (date de décision potentielle)</w:t>
      </w:r>
    </w:p>
    <w:p>
      <w:pPr>
        <w:pStyle w:val="ListBullet"/>
      </w:pPr>
      <w:r>
        <w:rPr>
          <w:rFonts w:ascii="Consolas" w:hAnsi="Consolas"/>
          <w:sz w:val="18"/>
        </w:rPr>
        <w:t>contract_end</w:t>
      </w:r>
      <w:r>
        <w:t xml:space="preserve"> (échéance contrat concurrent)</w:t>
      </w:r>
    </w:p>
    <w:p>
      <w:pPr>
        <w:pStyle w:val="ListBullet"/>
      </w:pPr>
      <w:r>
        <w:rPr>
          <w:rFonts w:ascii="Consolas" w:hAnsi="Consolas"/>
          <w:sz w:val="18"/>
        </w:rPr>
        <w:t>besoin</w:t>
      </w:r>
      <w:r>
        <w:t xml:space="preserve">, </w:t>
      </w:r>
      <w:r>
        <w:rPr>
          <w:rFonts w:ascii="Consolas" w:hAnsi="Consolas"/>
          <w:sz w:val="18"/>
        </w:rPr>
        <w:t>concurrent</w:t>
      </w:r>
      <w:r>
        <w:t xml:space="preserve">, </w:t>
      </w:r>
      <w:r>
        <w:rPr>
          <w:rFonts w:ascii="Consolas" w:hAnsi="Consolas"/>
          <w:sz w:val="18"/>
        </w:rPr>
        <w:t>concurrent_amount</w:t>
      </w:r>
      <w:r>
        <w:t xml:space="preserve">, </w:t>
      </w:r>
      <w:r>
        <w:rPr>
          <w:rFonts w:ascii="Consolas" w:hAnsi="Consolas"/>
          <w:sz w:val="18"/>
        </w:rPr>
        <w:t>notes</w:t>
      </w:r>
    </w:p>
    <w:p>
      <w:pPr>
        <w:pStyle w:val="ListBullet"/>
      </w:pPr>
      <w:r>
        <w:rPr>
          <w:rFonts w:ascii="Consolas" w:hAnsi="Consolas"/>
          <w:sz w:val="18"/>
        </w:rPr>
        <w:t>owner</w:t>
      </w:r>
      <w:r>
        <w:t xml:space="preserve">, </w:t>
      </w:r>
      <w:r>
        <w:rPr>
          <w:rFonts w:ascii="Consolas" w:hAnsi="Consolas"/>
          <w:sz w:val="18"/>
        </w:rPr>
        <w:t>created_at</w:t>
      </w:r>
      <w:r>
        <w:t xml:space="preserve">, </w:t>
      </w:r>
      <w:r>
        <w:rPr>
          <w:rFonts w:ascii="Consolas" w:hAnsi="Consolas"/>
          <w:sz w:val="18"/>
        </w:rPr>
        <w:t>data</w:t>
      </w:r>
      <w:r>
        <w:t xml:space="preserve"> (jsonb)</w:t>
      </w:r>
    </w:p>
    <w:p>
      <w:r>
        <w:t xml:space="preserve">#### Table </w:t>
      </w:r>
      <w:r>
        <w:rPr>
          <w:rFonts w:ascii="Consolas" w:hAnsi="Consolas"/>
          <w:sz w:val="18"/>
        </w:rPr>
        <w:t>commercial_docs</w:t>
      </w:r>
    </w:p>
    <w:p>
      <w:r>
        <w:t xml:space="preserve">Devis, commandes, BL, factures unifiés par </w:t>
      </w:r>
      <w:r>
        <w:rPr>
          <w:rFonts w:ascii="Consolas" w:hAnsi="Consolas"/>
          <w:sz w:val="18"/>
        </w:rPr>
        <w:t>type</w:t>
      </w:r>
      <w:r>
        <w:t>.</w:t>
      </w:r>
    </w:p>
    <w:p>
      <w:pPr>
        <w:pStyle w:val="ListBullet"/>
      </w:pPr>
      <w:r>
        <w:rPr>
          <w:rFonts w:ascii="Consolas" w:hAnsi="Consolas"/>
          <w:sz w:val="18"/>
        </w:rPr>
        <w:t>id</w:t>
      </w:r>
      <w:r>
        <w:t xml:space="preserve">, </w:t>
      </w:r>
      <w:r>
        <w:rPr>
          <w:rFonts w:ascii="Consolas" w:hAnsi="Consolas"/>
          <w:sz w:val="18"/>
        </w:rPr>
        <w:t>ref</w:t>
      </w:r>
      <w:r>
        <w:t xml:space="preserve">, </w:t>
      </w:r>
      <w:r>
        <w:rPr>
          <w:rFonts w:ascii="Consolas" w:hAnsi="Consolas"/>
          <w:sz w:val="18"/>
        </w:rPr>
        <w:t>type</w:t>
      </w:r>
      <w:r>
        <w:t xml:space="preserve"> (devis/commande/bl/facture), </w:t>
      </w:r>
      <w:r>
        <w:rPr>
          <w:rFonts w:ascii="Consolas" w:hAnsi="Consolas"/>
          <w:sz w:val="18"/>
        </w:rPr>
        <w:t>status</w:t>
      </w:r>
      <w:r>
        <w:t xml:space="preserve">, </w:t>
      </w:r>
      <w:r>
        <w:rPr>
          <w:rFonts w:ascii="Consolas" w:hAnsi="Consolas"/>
          <w:sz w:val="18"/>
        </w:rPr>
        <w:t>parent_doc_id</w:t>
      </w:r>
    </w:p>
    <w:p>
      <w:pPr>
        <w:pStyle w:val="ListBullet"/>
      </w:pPr>
      <w:r>
        <w:rPr>
          <w:rFonts w:ascii="Consolas" w:hAnsi="Consolas"/>
          <w:sz w:val="18"/>
        </w:rPr>
        <w:t>client_id</w:t>
      </w:r>
      <w:r>
        <w:t xml:space="preserve">, </w:t>
      </w:r>
      <w:r>
        <w:rPr>
          <w:rFonts w:ascii="Consolas" w:hAnsi="Consolas"/>
          <w:sz w:val="18"/>
        </w:rPr>
        <w:t>client_name</w:t>
      </w:r>
      <w:r>
        <w:t xml:space="preserve">, </w:t>
      </w:r>
      <w:r>
        <w:rPr>
          <w:rFonts w:ascii="Consolas" w:hAnsi="Consolas"/>
          <w:sz w:val="18"/>
        </w:rPr>
        <w:t>client_*</w:t>
      </w:r>
      <w:r>
        <w:t xml:space="preserve"> (snapshot)</w:t>
      </w:r>
    </w:p>
    <w:p>
      <w:pPr>
        <w:pStyle w:val="ListBullet"/>
      </w:pPr>
      <w:r>
        <w:rPr>
          <w:rFonts w:ascii="Consolas" w:hAnsi="Consolas"/>
          <w:sz w:val="18"/>
        </w:rPr>
        <w:t>opportunity_id</w:t>
      </w:r>
      <w:r>
        <w:t xml:space="preserve">, </w:t>
      </w:r>
      <w:r>
        <w:rPr>
          <w:rFonts w:ascii="Consolas" w:hAnsi="Consolas"/>
          <w:sz w:val="18"/>
        </w:rPr>
        <w:t>project_id</w:t>
      </w:r>
    </w:p>
    <w:p>
      <w:pPr>
        <w:pStyle w:val="ListBullet"/>
      </w:pPr>
      <w:r>
        <w:rPr>
          <w:rFonts w:ascii="Consolas" w:hAnsi="Consolas"/>
          <w:sz w:val="18"/>
        </w:rPr>
        <w:t>lines</w:t>
      </w:r>
      <w:r>
        <w:t xml:space="preserve"> (jsonb array), </w:t>
      </w:r>
      <w:r>
        <w:rPr>
          <w:rFonts w:ascii="Consolas" w:hAnsi="Consolas"/>
          <w:sz w:val="18"/>
        </w:rPr>
        <w:t>total_ht</w:t>
      </w:r>
      <w:r>
        <w:t xml:space="preserve">, </w:t>
      </w:r>
      <w:r>
        <w:rPr>
          <w:rFonts w:ascii="Consolas" w:hAnsi="Consolas"/>
          <w:sz w:val="18"/>
        </w:rPr>
        <w:t>total_tva</w:t>
      </w:r>
      <w:r>
        <w:t xml:space="preserve">, </w:t>
      </w:r>
      <w:r>
        <w:rPr>
          <w:rFonts w:ascii="Consolas" w:hAnsi="Consolas"/>
          <w:sz w:val="18"/>
        </w:rPr>
        <w:t>total_ttc</w:t>
      </w:r>
    </w:p>
    <w:p>
      <w:pPr>
        <w:pStyle w:val="ListBullet"/>
      </w:pPr>
      <w:r>
        <w:rPr>
          <w:rFonts w:ascii="Consolas" w:hAnsi="Consolas"/>
          <w:sz w:val="18"/>
        </w:rPr>
        <w:t>notes</w:t>
      </w:r>
      <w:r>
        <w:t xml:space="preserve"> (visible client), </w:t>
      </w:r>
      <w:r>
        <w:rPr>
          <w:rFonts w:ascii="Consolas" w:hAnsi="Consolas"/>
          <w:sz w:val="18"/>
        </w:rPr>
        <w:t>data.internal_notes</w:t>
      </w:r>
      <w:r>
        <w:t xml:space="preserve"> (visible techniciens uniquement)</w:t>
      </w:r>
    </w:p>
    <w:p>
      <w:r>
        <w:t xml:space="preserve">#### Table </w:t>
      </w:r>
      <w:r>
        <w:rPr>
          <w:rFonts w:ascii="Consolas" w:hAnsi="Consolas"/>
          <w:sz w:val="18"/>
        </w:rPr>
        <w:t>contracts</w:t>
      </w:r>
    </w:p>
    <w:p>
      <w:r>
        <w:t>Contrats clients (souscription, hébergement, maintenance, services).</w:t>
      </w:r>
    </w:p>
    <w:p>
      <w:pPr>
        <w:pStyle w:val="ListBullet"/>
      </w:pPr>
      <w:r>
        <w:rPr>
          <w:rFonts w:ascii="Consolas" w:hAnsi="Consolas"/>
          <w:sz w:val="18"/>
        </w:rPr>
        <w:t>id</w:t>
      </w:r>
      <w:r>
        <w:t xml:space="preserve">, </w:t>
      </w:r>
      <w:r>
        <w:rPr>
          <w:rFonts w:ascii="Consolas" w:hAnsi="Consolas"/>
          <w:sz w:val="18"/>
        </w:rPr>
        <w:t>client_id</w:t>
      </w:r>
      <w:r>
        <w:t xml:space="preserve">, </w:t>
      </w:r>
      <w:r>
        <w:rPr>
          <w:rFonts w:ascii="Consolas" w:hAnsi="Consolas"/>
          <w:sz w:val="18"/>
        </w:rPr>
        <w:t>opp_id</w:t>
      </w:r>
      <w:r>
        <w:t xml:space="preserve">, </w:t>
      </w:r>
      <w:r>
        <w:rPr>
          <w:rFonts w:ascii="Consolas" w:hAnsi="Consolas"/>
          <w:sz w:val="18"/>
        </w:rPr>
        <w:t>type</w:t>
      </w:r>
      <w:r>
        <w:t xml:space="preserve">, </w:t>
      </w:r>
      <w:r>
        <w:rPr>
          <w:rFonts w:ascii="Consolas" w:hAnsi="Consolas"/>
          <w:sz w:val="18"/>
        </w:rPr>
        <w:t>category</w:t>
      </w:r>
      <w:r>
        <w:t xml:space="preserve">, </w:t>
      </w:r>
      <w:r>
        <w:rPr>
          <w:rFonts w:ascii="Consolas" w:hAnsi="Consolas"/>
          <w:sz w:val="18"/>
        </w:rPr>
        <w:t>products</w:t>
      </w:r>
    </w:p>
    <w:p>
      <w:pPr>
        <w:pStyle w:val="ListBullet"/>
      </w:pPr>
      <w:r>
        <w:rPr>
          <w:rFonts w:ascii="Consolas" w:hAnsi="Consolas"/>
          <w:sz w:val="18"/>
        </w:rPr>
        <w:t>duration</w:t>
      </w:r>
      <w:r>
        <w:t xml:space="preserve">, </w:t>
      </w:r>
      <w:r>
        <w:rPr>
          <w:rFonts w:ascii="Consolas" w:hAnsi="Consolas"/>
          <w:sz w:val="18"/>
        </w:rPr>
        <w:t>start</w:t>
      </w:r>
      <w:r>
        <w:t xml:space="preserve">, </w:t>
      </w:r>
      <w:r>
        <w:rPr>
          <w:rFonts w:ascii="Consolas" w:hAnsi="Consolas"/>
          <w:sz w:val="18"/>
        </w:rPr>
        <w:t>end</w:t>
      </w:r>
      <w:r>
        <w:t xml:space="preserve">, </w:t>
      </w:r>
      <w:r>
        <w:rPr>
          <w:rFonts w:ascii="Consolas" w:hAnsi="Consolas"/>
          <w:sz w:val="18"/>
        </w:rPr>
        <w:t>tacite</w:t>
      </w:r>
      <w:r>
        <w:t xml:space="preserve">, </w:t>
      </w:r>
      <w:r>
        <w:rPr>
          <w:rFonts w:ascii="Consolas" w:hAnsi="Consolas"/>
          <w:sz w:val="18"/>
        </w:rPr>
        <w:t>indexation</w:t>
      </w:r>
      <w:r>
        <w:t xml:space="preserve">, </w:t>
      </w:r>
      <w:r>
        <w:rPr>
          <w:rFonts w:ascii="Consolas" w:hAnsi="Consolas"/>
          <w:sz w:val="18"/>
        </w:rPr>
        <w:t>indexCap</w:t>
      </w:r>
    </w:p>
    <w:p>
      <w:pPr>
        <w:pStyle w:val="ListBullet"/>
      </w:pPr>
      <w:r>
        <w:rPr>
          <w:rFonts w:ascii="Consolas" w:hAnsi="Consolas"/>
          <w:sz w:val="18"/>
        </w:rPr>
        <w:t>payment_delay</w:t>
      </w:r>
      <w:r>
        <w:t xml:space="preserve">, </w:t>
      </w:r>
      <w:r>
        <w:rPr>
          <w:rFonts w:ascii="Consolas" w:hAnsi="Consolas"/>
          <w:sz w:val="18"/>
        </w:rPr>
        <w:t>billing_period</w:t>
      </w:r>
      <w:r>
        <w:t xml:space="preserve">, </w:t>
      </w:r>
      <w:r>
        <w:rPr>
          <w:rFonts w:ascii="Consolas" w:hAnsi="Consolas"/>
          <w:sz w:val="18"/>
        </w:rPr>
        <w:t>currency</w:t>
      </w:r>
    </w:p>
    <w:p>
      <w:pPr>
        <w:pStyle w:val="ListBullet"/>
      </w:pPr>
      <w:r>
        <w:rPr>
          <w:rFonts w:ascii="Consolas" w:hAnsi="Consolas"/>
          <w:sz w:val="18"/>
        </w:rPr>
        <w:t>annexes</w:t>
      </w:r>
      <w:r>
        <w:t xml:space="preserve">, </w:t>
      </w:r>
      <w:r>
        <w:rPr>
          <w:rFonts w:ascii="Consolas" w:hAnsi="Consolas"/>
          <w:sz w:val="18"/>
        </w:rPr>
        <w:t>clauses</w:t>
      </w:r>
      <w:r>
        <w:t xml:space="preserve">, </w:t>
      </w:r>
      <w:r>
        <w:rPr>
          <w:rFonts w:ascii="Consolas" w:hAnsi="Consolas"/>
          <w:sz w:val="18"/>
        </w:rPr>
        <w:t>articles_overrides</w:t>
      </w:r>
      <w:r>
        <w:t xml:space="preserve"> (jsonb)</w:t>
      </w:r>
    </w:p>
    <w:p>
      <w:pPr>
        <w:pStyle w:val="ListBullet"/>
      </w:pPr>
      <w:r>
        <w:rPr>
          <w:rFonts w:ascii="Consolas" w:hAnsi="Consolas"/>
          <w:sz w:val="18"/>
        </w:rPr>
        <w:t>signatory</w:t>
      </w:r>
      <w:r>
        <w:t xml:space="preserve">, </w:t>
      </w:r>
      <w:r>
        <w:rPr>
          <w:rFonts w:ascii="Consolas" w:hAnsi="Consolas"/>
          <w:sz w:val="18"/>
        </w:rPr>
        <w:t>sign_method</w:t>
      </w:r>
      <w:r>
        <w:t xml:space="preserve">, </w:t>
      </w:r>
      <w:r>
        <w:rPr>
          <w:rFonts w:ascii="Consolas" w:hAnsi="Consolas"/>
          <w:sz w:val="18"/>
        </w:rPr>
        <w:t>total_ht_y1</w:t>
      </w:r>
      <w:r>
        <w:t xml:space="preserve">, </w:t>
      </w:r>
      <w:r>
        <w:rPr>
          <w:rFonts w:ascii="Consolas" w:hAnsi="Consolas"/>
          <w:sz w:val="18"/>
        </w:rPr>
        <w:t>tcv</w:t>
      </w:r>
      <w:r>
        <w:t xml:space="preserve">, </w:t>
      </w:r>
      <w:r>
        <w:rPr>
          <w:rFonts w:ascii="Consolas" w:hAnsi="Consolas"/>
          <w:sz w:val="18"/>
        </w:rPr>
        <w:t>margin_pct</w:t>
      </w:r>
    </w:p>
    <w:p>
      <w:pPr>
        <w:pStyle w:val="ListBullet"/>
      </w:pPr>
      <w:r>
        <w:rPr>
          <w:rFonts w:ascii="Consolas" w:hAnsi="Consolas"/>
          <w:sz w:val="18"/>
        </w:rPr>
        <w:t>status</w:t>
      </w:r>
      <w:r>
        <w:t xml:space="preserve"> (</w:t>
      </w:r>
      <w:r>
        <w:rPr>
          <w:rFonts w:ascii="Consolas" w:hAnsi="Consolas"/>
          <w:sz w:val="18"/>
        </w:rPr>
        <w:t>draft</w:t>
      </w:r>
      <w:r>
        <w:t xml:space="preserve">, </w:t>
      </w:r>
      <w:r>
        <w:rPr>
          <w:rFonts w:ascii="Consolas" w:hAnsi="Consolas"/>
          <w:sz w:val="18"/>
        </w:rPr>
        <w:t>pending_signature</w:t>
      </w:r>
      <w:r>
        <w:t xml:space="preserve">, </w:t>
      </w:r>
      <w:r>
        <w:rPr>
          <w:rFonts w:ascii="Consolas" w:hAnsi="Consolas"/>
          <w:sz w:val="18"/>
        </w:rPr>
        <w:t>signed</w:t>
      </w:r>
      <w:r>
        <w:t xml:space="preserve">, </w:t>
      </w:r>
      <w:r>
        <w:rPr>
          <w:rFonts w:ascii="Consolas" w:hAnsi="Consolas"/>
          <w:sz w:val="18"/>
        </w:rPr>
        <w:t>expired</w:t>
      </w:r>
      <w:r>
        <w:t xml:space="preserve">, </w:t>
      </w:r>
      <w:r>
        <w:rPr>
          <w:rFonts w:ascii="Consolas" w:hAnsi="Consolas"/>
          <w:sz w:val="18"/>
        </w:rPr>
        <w:t>terminated</w:t>
      </w:r>
      <w:r>
        <w:t>)</w:t>
      </w:r>
    </w:p>
    <w:p>
      <w:r>
        <w:t xml:space="preserve">#### Table </w:t>
      </w:r>
      <w:r>
        <w:rPr>
          <w:rFonts w:ascii="Consolas" w:hAnsi="Consolas"/>
          <w:sz w:val="18"/>
        </w:rPr>
        <w:t>actions</w:t>
      </w:r>
    </w:p>
    <w:p>
      <w:r>
        <w:t>Tâches commerciales à mener (relances, emails, RDV, brouillons IA).</w:t>
      </w:r>
    </w:p>
    <w:p>
      <w:pPr>
        <w:pStyle w:val="ListBullet"/>
      </w:pPr>
      <w:r>
        <w:rPr>
          <w:rFonts w:ascii="Consolas" w:hAnsi="Consolas"/>
          <w:sz w:val="18"/>
        </w:rPr>
        <w:t>id</w:t>
      </w:r>
      <w:r>
        <w:t xml:space="preserve">, </w:t>
      </w:r>
      <w:r>
        <w:rPr>
          <w:rFonts w:ascii="Consolas" w:hAnsi="Consolas"/>
          <w:sz w:val="18"/>
        </w:rPr>
        <w:t>client_id</w:t>
      </w:r>
      <w:r>
        <w:t xml:space="preserve">, </w:t>
      </w:r>
      <w:r>
        <w:rPr>
          <w:rFonts w:ascii="Consolas" w:hAnsi="Consolas"/>
          <w:sz w:val="18"/>
        </w:rPr>
        <w:t>opp_id</w:t>
      </w:r>
      <w:r>
        <w:t xml:space="preserve">, </w:t>
      </w:r>
      <w:r>
        <w:rPr>
          <w:rFonts w:ascii="Consolas" w:hAnsi="Consolas"/>
          <w:sz w:val="18"/>
        </w:rPr>
        <w:t>type</w:t>
      </w:r>
      <w:r>
        <w:t xml:space="preserve">, </w:t>
      </w:r>
      <w:r>
        <w:rPr>
          <w:rFonts w:ascii="Consolas" w:hAnsi="Consolas"/>
          <w:sz w:val="18"/>
        </w:rPr>
        <w:t>title</w:t>
      </w:r>
      <w:r>
        <w:t xml:space="preserve">, </w:t>
      </w:r>
      <w:r>
        <w:rPr>
          <w:rFonts w:ascii="Consolas" w:hAnsi="Consolas"/>
          <w:sz w:val="18"/>
        </w:rPr>
        <w:t>meta</w:t>
      </w:r>
    </w:p>
    <w:p>
      <w:pPr>
        <w:pStyle w:val="ListBullet"/>
      </w:pPr>
      <w:r>
        <w:rPr>
          <w:rFonts w:ascii="Consolas" w:hAnsi="Consolas"/>
          <w:sz w:val="18"/>
        </w:rPr>
        <w:t>due_text</w:t>
      </w:r>
      <w:r>
        <w:t xml:space="preserve">, </w:t>
      </w:r>
      <w:r>
        <w:rPr>
          <w:rFonts w:ascii="Consolas" w:hAnsi="Consolas"/>
          <w:sz w:val="18"/>
        </w:rPr>
        <w:t>priority</w:t>
      </w:r>
      <w:r>
        <w:t xml:space="preserve"> (</w:t>
      </w:r>
      <w:r>
        <w:rPr>
          <w:rFonts w:ascii="Consolas" w:hAnsi="Consolas"/>
          <w:sz w:val="18"/>
        </w:rPr>
        <w:t>haute</w:t>
      </w:r>
      <w:r>
        <w:t>/</w:t>
      </w:r>
      <w:r>
        <w:rPr>
          <w:rFonts w:ascii="Consolas" w:hAnsi="Consolas"/>
          <w:sz w:val="18"/>
        </w:rPr>
        <w:t>moyenne</w:t>
      </w:r>
      <w:r>
        <w:t>/</w:t>
      </w:r>
      <w:r>
        <w:rPr>
          <w:rFonts w:ascii="Consolas" w:hAnsi="Consolas"/>
          <w:sz w:val="18"/>
        </w:rPr>
        <w:t>basse</w:t>
      </w:r>
      <w:r>
        <w:t>/</w:t>
      </w:r>
      <w:r>
        <w:rPr>
          <w:rFonts w:ascii="Consolas" w:hAnsi="Consolas"/>
          <w:sz w:val="18"/>
        </w:rPr>
        <w:t>ai</w:t>
      </w:r>
      <w:r>
        <w:t>)</w:t>
      </w:r>
    </w:p>
    <w:p>
      <w:pPr>
        <w:pStyle w:val="ListBullet"/>
      </w:pPr>
      <w:r>
        <w:rPr>
          <w:rFonts w:ascii="Consolas" w:hAnsi="Consolas"/>
          <w:sz w:val="18"/>
        </w:rPr>
        <w:t>assigned_to</w:t>
      </w:r>
      <w:r>
        <w:t xml:space="preserve">, </w:t>
      </w:r>
      <w:r>
        <w:rPr>
          <w:rFonts w:ascii="Consolas" w:hAnsi="Consolas"/>
          <w:sz w:val="18"/>
        </w:rPr>
        <w:t>tag</w:t>
      </w:r>
      <w:r>
        <w:t xml:space="preserve">, </w:t>
      </w:r>
      <w:r>
        <w:rPr>
          <w:rFonts w:ascii="Consolas" w:hAnsi="Consolas"/>
          <w:sz w:val="18"/>
        </w:rPr>
        <w:t>tag_color</w:t>
      </w:r>
      <w:r>
        <w:t xml:space="preserve">, </w:t>
      </w:r>
      <w:r>
        <w:rPr>
          <w:rFonts w:ascii="Consolas" w:hAnsi="Consolas"/>
          <w:sz w:val="18"/>
        </w:rPr>
        <w:t>icon</w:t>
      </w:r>
    </w:p>
    <w:p>
      <w:pPr>
        <w:pStyle w:val="ListBullet"/>
      </w:pPr>
      <w:r>
        <w:rPr>
          <w:rFonts w:ascii="Consolas" w:hAnsi="Consolas"/>
          <w:sz w:val="18"/>
        </w:rPr>
        <w:t>status</w:t>
      </w:r>
      <w:r>
        <w:t xml:space="preserve"> (</w:t>
      </w:r>
      <w:r>
        <w:rPr>
          <w:rFonts w:ascii="Consolas" w:hAnsi="Consolas"/>
          <w:sz w:val="18"/>
        </w:rPr>
        <w:t>todo</w:t>
      </w:r>
      <w:r>
        <w:t>/</w:t>
      </w:r>
      <w:r>
        <w:rPr>
          <w:rFonts w:ascii="Consolas" w:hAnsi="Consolas"/>
          <w:sz w:val="18"/>
        </w:rPr>
        <w:t>done</w:t>
      </w:r>
      <w:r>
        <w:t xml:space="preserve">), </w:t>
      </w:r>
      <w:r>
        <w:rPr>
          <w:rFonts w:ascii="Consolas" w:hAnsi="Consolas"/>
          <w:sz w:val="18"/>
        </w:rPr>
        <w:t>created_by</w:t>
      </w:r>
      <w:r>
        <w:t xml:space="preserve">, </w:t>
      </w:r>
      <w:r>
        <w:rPr>
          <w:rFonts w:ascii="Consolas" w:hAnsi="Consolas"/>
          <w:sz w:val="18"/>
        </w:rPr>
        <w:t>completed_at</w:t>
      </w:r>
    </w:p>
    <w:p>
      <w:r>
        <w:t xml:space="preserve">#### Table </w:t>
      </w:r>
      <w:r>
        <w:rPr>
          <w:rFonts w:ascii="Consolas" w:hAnsi="Consolas"/>
          <w:sz w:val="18"/>
        </w:rPr>
        <w:t>tickets</w:t>
      </w:r>
    </w:p>
    <w:p>
      <w:r>
        <w:t>Tickets de support technique.</w:t>
      </w:r>
    </w:p>
    <w:p>
      <w:pPr>
        <w:pStyle w:val="ListBullet"/>
      </w:pPr>
      <w:r>
        <w:rPr>
          <w:rFonts w:ascii="Consolas" w:hAnsi="Consolas"/>
          <w:sz w:val="18"/>
        </w:rPr>
        <w:t>id</w:t>
      </w:r>
      <w:r>
        <w:t xml:space="preserve">, </w:t>
      </w:r>
      <w:r>
        <w:rPr>
          <w:rFonts w:ascii="Consolas" w:hAnsi="Consolas"/>
          <w:sz w:val="18"/>
        </w:rPr>
        <w:t>client_id</w:t>
      </w:r>
      <w:r>
        <w:t xml:space="preserve">, </w:t>
      </w:r>
      <w:r>
        <w:rPr>
          <w:rFonts w:ascii="Consolas" w:hAnsi="Consolas"/>
          <w:sz w:val="18"/>
        </w:rPr>
        <w:t>priority</w:t>
      </w:r>
      <w:r>
        <w:t xml:space="preserve"> (</w:t>
      </w:r>
      <w:r>
        <w:rPr>
          <w:rFonts w:ascii="Consolas" w:hAnsi="Consolas"/>
          <w:sz w:val="18"/>
        </w:rPr>
        <w:t>p1</w:t>
      </w:r>
      <w:r>
        <w:t>/</w:t>
      </w:r>
      <w:r>
        <w:rPr>
          <w:rFonts w:ascii="Consolas" w:hAnsi="Consolas"/>
          <w:sz w:val="18"/>
        </w:rPr>
        <w:t>p2</w:t>
      </w:r>
      <w:r>
        <w:t>/</w:t>
      </w:r>
      <w:r>
        <w:rPr>
          <w:rFonts w:ascii="Consolas" w:hAnsi="Consolas"/>
          <w:sz w:val="18"/>
        </w:rPr>
        <w:t>p3</w:t>
      </w:r>
      <w:r>
        <w:t>/</w:t>
      </w:r>
      <w:r>
        <w:rPr>
          <w:rFonts w:ascii="Consolas" w:hAnsi="Consolas"/>
          <w:sz w:val="18"/>
        </w:rPr>
        <w:t>p4</w:t>
      </w:r>
      <w:r>
        <w:t xml:space="preserve">), </w:t>
      </w:r>
      <w:r>
        <w:rPr>
          <w:rFonts w:ascii="Consolas" w:hAnsi="Consolas"/>
          <w:sz w:val="18"/>
        </w:rPr>
        <w:t>status</w:t>
      </w:r>
    </w:p>
    <w:p>
      <w:pPr>
        <w:pStyle w:val="ListBullet"/>
      </w:pPr>
      <w:r>
        <w:rPr>
          <w:rFonts w:ascii="Consolas" w:hAnsi="Consolas"/>
          <w:sz w:val="18"/>
        </w:rPr>
        <w:t>subject</w:t>
      </w:r>
      <w:r>
        <w:t xml:space="preserve">, </w:t>
      </w:r>
      <w:r>
        <w:rPr>
          <w:rFonts w:ascii="Consolas" w:hAnsi="Consolas"/>
          <w:sz w:val="18"/>
        </w:rPr>
        <w:t>description</w:t>
      </w:r>
      <w:r>
        <w:t xml:space="preserve">, </w:t>
      </w:r>
      <w:r>
        <w:rPr>
          <w:rFonts w:ascii="Consolas" w:hAnsi="Consolas"/>
          <w:sz w:val="18"/>
        </w:rPr>
        <w:t>category</w:t>
      </w:r>
    </w:p>
    <w:p>
      <w:pPr>
        <w:pStyle w:val="ListBullet"/>
      </w:pPr>
      <w:r>
        <w:rPr>
          <w:rFonts w:ascii="Consolas" w:hAnsi="Consolas"/>
          <w:sz w:val="18"/>
        </w:rPr>
        <w:t>assigned_to</w:t>
      </w:r>
      <w:r>
        <w:t xml:space="preserve">, </w:t>
      </w:r>
      <w:r>
        <w:rPr>
          <w:rFonts w:ascii="Consolas" w:hAnsi="Consolas"/>
          <w:sz w:val="18"/>
        </w:rPr>
        <w:t>created_by</w:t>
      </w:r>
      <w:r>
        <w:t xml:space="preserve">, </w:t>
      </w:r>
      <w:r>
        <w:rPr>
          <w:rFonts w:ascii="Consolas" w:hAnsi="Consolas"/>
          <w:sz w:val="18"/>
        </w:rPr>
        <w:t>sla_due_at</w:t>
      </w:r>
      <w:r>
        <w:t xml:space="preserve">, </w:t>
      </w:r>
      <w:r>
        <w:rPr>
          <w:rFonts w:ascii="Consolas" w:hAnsi="Consolas"/>
          <w:sz w:val="18"/>
        </w:rPr>
        <w:t>closed_at</w:t>
      </w:r>
    </w:p>
    <w:p>
      <w:pPr>
        <w:pStyle w:val="ListBullet"/>
      </w:pPr>
      <w:r>
        <w:rPr>
          <w:rFonts w:ascii="Consolas" w:hAnsi="Consolas"/>
          <w:sz w:val="18"/>
        </w:rPr>
        <w:t>events</w:t>
      </w:r>
      <w:r>
        <w:t xml:space="preserve"> (jsonb : timeline des échanges)</w:t>
      </w:r>
    </w:p>
    <w:p>
      <w:r>
        <w:t xml:space="preserve">#### Table </w:t>
      </w:r>
      <w:r>
        <w:rPr>
          <w:rFonts w:ascii="Consolas" w:hAnsi="Consolas"/>
          <w:sz w:val="18"/>
        </w:rPr>
        <w:t>projects</w:t>
      </w:r>
    </w:p>
    <w:p>
      <w:r>
        <w:t>Projets livrables (post-vente).</w:t>
      </w:r>
    </w:p>
    <w:p>
      <w:pPr>
        <w:pStyle w:val="ListBullet"/>
      </w:pPr>
      <w:r>
        <w:rPr>
          <w:rFonts w:ascii="Consolas" w:hAnsi="Consolas"/>
          <w:sz w:val="18"/>
        </w:rPr>
        <w:t>id</w:t>
      </w:r>
      <w:r>
        <w:t xml:space="preserve">, </w:t>
      </w:r>
      <w:r>
        <w:rPr>
          <w:rFonts w:ascii="Consolas" w:hAnsi="Consolas"/>
          <w:sz w:val="18"/>
        </w:rPr>
        <w:t>opportunity_id</w:t>
      </w:r>
      <w:r>
        <w:t xml:space="preserve">, </w:t>
      </w:r>
      <w:r>
        <w:rPr>
          <w:rFonts w:ascii="Consolas" w:hAnsi="Consolas"/>
          <w:sz w:val="18"/>
        </w:rPr>
        <w:t>client_id</w:t>
      </w:r>
      <w:r>
        <w:t xml:space="preserve">, </w:t>
      </w:r>
      <w:r>
        <w:rPr>
          <w:rFonts w:ascii="Consolas" w:hAnsi="Consolas"/>
          <w:sz w:val="18"/>
        </w:rPr>
        <w:t>name</w:t>
      </w:r>
      <w:r>
        <w:t xml:space="preserve">, </w:t>
      </w:r>
      <w:r>
        <w:rPr>
          <w:rFonts w:ascii="Consolas" w:hAnsi="Consolas"/>
          <w:sz w:val="18"/>
        </w:rPr>
        <w:t>status</w:t>
      </w:r>
    </w:p>
    <w:p>
      <w:pPr>
        <w:pStyle w:val="ListBullet"/>
      </w:pPr>
      <w:r>
        <w:rPr>
          <w:rFonts w:ascii="Consolas" w:hAnsi="Consolas"/>
          <w:sz w:val="18"/>
        </w:rPr>
        <w:t>start_date</w:t>
      </w:r>
      <w:r>
        <w:t xml:space="preserve">, </w:t>
      </w:r>
      <w:r>
        <w:rPr>
          <w:rFonts w:ascii="Consolas" w:hAnsi="Consolas"/>
          <w:sz w:val="18"/>
        </w:rPr>
        <w:t>end_date</w:t>
      </w:r>
      <w:r>
        <w:t xml:space="preserve">, </w:t>
      </w:r>
      <w:r>
        <w:rPr>
          <w:rFonts w:ascii="Consolas" w:hAnsi="Consolas"/>
          <w:sz w:val="18"/>
        </w:rPr>
        <w:t>responsible</w:t>
      </w:r>
      <w:r>
        <w:t xml:space="preserve">, </w:t>
      </w:r>
      <w:r>
        <w:rPr>
          <w:rFonts w:ascii="Consolas" w:hAnsi="Consolas"/>
          <w:sz w:val="18"/>
        </w:rPr>
        <w:t>phases</w:t>
      </w:r>
      <w:r>
        <w:t xml:space="preserve"> (jsonb)</w:t>
      </w:r>
    </w:p>
    <w:p>
      <w:pPr>
        <w:pStyle w:val="ListBullet"/>
      </w:pPr>
      <w:r>
        <w:rPr>
          <w:rFonts w:ascii="Consolas" w:hAnsi="Consolas"/>
          <w:sz w:val="18"/>
        </w:rPr>
        <w:t>commercial_docs</w:t>
      </w:r>
      <w:r>
        <w:t xml:space="preserve"> (jsonb array de refs), </w:t>
      </w:r>
      <w:r>
        <w:rPr>
          <w:rFonts w:ascii="Consolas" w:hAnsi="Consolas"/>
          <w:sz w:val="18"/>
        </w:rPr>
        <w:t>assets</w:t>
      </w:r>
      <w:r>
        <w:t xml:space="preserve"> (jsonb)</w:t>
      </w:r>
    </w:p>
    <w:p>
      <w:pPr>
        <w:pStyle w:val="Heading3"/>
      </w:pPr>
      <w:r>
        <w:rPr>
          <w:color w:val="3730A3"/>
          <w:sz w:val="24"/>
        </w:rPr>
        <w:t>3.4 Performance et limites</w:t>
      </w:r>
    </w:p>
    <w:p>
      <w:pPr>
        <w:pStyle w:val="ListBullet"/>
      </w:pPr>
      <w:r>
        <w:rPr>
          <w:b/>
        </w:rPr>
        <w:t>Première charge</w:t>
      </w:r>
      <w:r>
        <w:t xml:space="preserve"> : ≤ 1,5s (cold) / ≤ 400ms (cached)</w:t>
      </w:r>
    </w:p>
    <w:p>
      <w:pPr>
        <w:pStyle w:val="ListBullet"/>
      </w:pPr>
      <w:r>
        <w:rPr>
          <w:b/>
        </w:rPr>
        <w:t>Latence API moyenne</w:t>
      </w:r>
      <w:r>
        <w:t xml:space="preserve"> : 80–150ms (Supabase EU-West)</w:t>
      </w:r>
    </w:p>
    <w:p>
      <w:pPr>
        <w:pStyle w:val="ListBullet"/>
      </w:pPr>
      <w:r>
        <w:rPr>
          <w:b/>
        </w:rPr>
        <w:t>Capacité</w:t>
      </w:r>
      <w:r>
        <w:t xml:space="preserve"> : testée jusqu'à 50 000 opportunités, 500 utilisateurs concurrents</w:t>
      </w:r>
    </w:p>
    <w:p>
      <w:pPr>
        <w:pStyle w:val="ListBullet"/>
      </w:pPr>
      <w:r>
        <w:rPr>
          <w:b/>
        </w:rPr>
        <w:t>Stockage</w:t>
      </w:r>
      <w:r>
        <w:t xml:space="preserve"> : 1 GB inclus dans toutes les formules, +1 GB = 9 € HT/mois</w:t>
      </w:r>
    </w:p>
    <w:p>
      <w:pPr>
        <w:spacing w:before="80"/>
        <w:pBdr>
          <w:bottom w:val="single" w:sz="6" w:color="C0C7D2"/>
        </w:pBdr>
      </w:pPr>
    </w:p>
    <w:p>
      <w:pPr>
        <w:pStyle w:val="Heading2"/>
      </w:pPr>
      <w:r>
        <w:rPr>
          <w:color w:val="1F2942"/>
          <w:sz w:val="28"/>
        </w:rPr>
        <w:t>4. SÉCURITÉ, RGPD ET CONFORMITÉ</w:t>
      </w:r>
    </w:p>
    <w:p>
      <w:pPr>
        <w:pStyle w:val="Heading3"/>
      </w:pPr>
      <w:r>
        <w:rPr>
          <w:color w:val="3730A3"/>
          <w:sz w:val="24"/>
        </w:rPr>
        <w:t>4.1 Conformité réglementaire</w:t>
      </w:r>
    </w:p>
    <w:p>
      <w:r>
        <w:t>Le Hub Astorya est conforme avec :</w:t>
      </w:r>
    </w:p>
    <w:p>
      <w:pPr>
        <w:pStyle w:val="ListBullet"/>
      </w:pPr>
      <w:r>
        <w:rPr>
          <w:b/>
        </w:rPr>
        <w:t>RGPD (UE 2016/679)</w:t>
      </w:r>
      <w:r>
        <w:t xml:space="preserve"> — Règlement général sur la protection des données</w:t>
      </w:r>
    </w:p>
    <w:p>
      <w:pPr>
        <w:pStyle w:val="ListBullet"/>
      </w:pPr>
      <w:r>
        <w:rPr>
          <w:b/>
        </w:rPr>
        <w:t>Loi Informatique et Libertés</w:t>
      </w:r>
      <w:r>
        <w:t xml:space="preserve"> (France) modifiée</w:t>
      </w:r>
    </w:p>
    <w:p>
      <w:pPr>
        <w:pStyle w:val="ListBullet"/>
      </w:pPr>
      <w:r>
        <w:rPr>
          <w:b/>
        </w:rPr>
        <w:t>Directive ePrivacy</w:t>
      </w:r>
      <w:r>
        <w:t xml:space="preserve"> (UE 2002/58/CE)</w:t>
      </w:r>
    </w:p>
    <w:p>
      <w:pPr>
        <w:pStyle w:val="ListBullet"/>
      </w:pPr>
      <w:r>
        <w:rPr>
          <w:b/>
        </w:rPr>
        <w:t>DORA</w:t>
      </w:r>
      <w:r>
        <w:t xml:space="preserve"> (Digital Operational Resilience Act, applicable 17/01/2025) — modules sectoriels</w:t>
      </w:r>
    </w:p>
    <w:p>
      <w:pPr>
        <w:pStyle w:val="ListBullet"/>
      </w:pPr>
      <w:r>
        <w:rPr>
          <w:b/>
        </w:rPr>
        <w:t>NIS2</w:t>
      </w:r>
      <w:r>
        <w:t xml:space="preserve"> (Network and Information Security Directive 2) — modules sectoriels</w:t>
      </w:r>
    </w:p>
    <w:p>
      <w:pPr>
        <w:pStyle w:val="Heading3"/>
      </w:pPr>
      <w:r>
        <w:rPr>
          <w:color w:val="3730A3"/>
          <w:sz w:val="24"/>
        </w:rPr>
        <w:t>4.2 Mesures techniques de sécurité</w:t>
      </w:r>
    </w:p>
    <w:p>
      <w:r>
        <w:t>#### Chiffrement</w:t>
      </w:r>
    </w:p>
    <w:p>
      <w:pPr>
        <w:pStyle w:val="ListBullet"/>
      </w:pPr>
      <w:r>
        <w:rPr>
          <w:b/>
        </w:rPr>
        <w:t>TLS 1.3 obligatoire</w:t>
      </w:r>
      <w:r>
        <w:t xml:space="preserve"> sur tous les flux (HTTP/2 + HSTS preload list)</w:t>
      </w:r>
    </w:p>
    <w:p>
      <w:pPr>
        <w:pStyle w:val="ListBullet"/>
      </w:pPr>
      <w:r>
        <w:rPr>
          <w:b/>
        </w:rPr>
        <w:t>Chiffrement au repos</w:t>
      </w:r>
      <w:r>
        <w:t xml:space="preserve"> : AES-256 sur le stockage Supabase (managed)</w:t>
      </w:r>
    </w:p>
    <w:p>
      <w:pPr>
        <w:pStyle w:val="ListBullet"/>
      </w:pPr>
      <w:r>
        <w:rPr>
          <w:b/>
        </w:rPr>
        <w:t>Chiffrement des sauvegardes</w:t>
      </w:r>
      <w:r>
        <w:t xml:space="preserve"> : AES-256-GCM avec rotation de clés trimestrielle</w:t>
      </w:r>
    </w:p>
    <w:p>
      <w:pPr>
        <w:pStyle w:val="ListBullet"/>
      </w:pPr>
      <w:r>
        <w:rPr>
          <w:b/>
        </w:rPr>
        <w:t>Sauvegarde air-gap</w:t>
      </w:r>
      <w:r>
        <w:t xml:space="preserve"> : chiffrement immédiat par clé locale, support physique externalisé</w:t>
      </w:r>
    </w:p>
    <w:p>
      <w:r>
        <w:t>#### Authentification</w:t>
      </w:r>
    </w:p>
    <w:p>
      <w:pPr>
        <w:pStyle w:val="ListBullet"/>
      </w:pPr>
      <w:r>
        <w:rPr>
          <w:b/>
        </w:rPr>
        <w:t>Supabase Auth</w:t>
      </w:r>
      <w:r>
        <w:t xml:space="preserve"> : email + mot de passe avec validation regex (12+ caractères, mixte)</w:t>
      </w:r>
    </w:p>
    <w:p>
      <w:pPr>
        <w:pStyle w:val="ListBullet"/>
      </w:pPr>
      <w:r>
        <w:rPr>
          <w:b/>
        </w:rPr>
        <w:t>JWT</w:t>
      </w:r>
      <w:r>
        <w:t xml:space="preserve"> : rotation 7 jours, signature HS256, claims minimisés</w:t>
      </w:r>
    </w:p>
    <w:p>
      <w:pPr>
        <w:pStyle w:val="ListBullet"/>
      </w:pPr>
      <w:r>
        <w:rPr>
          <w:b/>
        </w:rPr>
        <w:t>Refresh tokens</w:t>
      </w:r>
      <w:r>
        <w:t xml:space="preserve"> : 30 jours, révocables manuellement</w:t>
      </w:r>
    </w:p>
    <w:p>
      <w:pPr>
        <w:pStyle w:val="ListBullet"/>
      </w:pPr>
      <w:r>
        <w:rPr>
          <w:b/>
        </w:rPr>
        <w:t>Verrouillage</w:t>
      </w:r>
      <w:r>
        <w:t xml:space="preserve"> : 5 tentatives échouées → blocage 15 min</w:t>
      </w:r>
    </w:p>
    <w:p>
      <w:pPr>
        <w:pStyle w:val="ListBullet"/>
      </w:pPr>
      <w:r>
        <w:rPr>
          <w:b/>
        </w:rPr>
        <w:t>2FA optionnel</w:t>
      </w:r>
      <w:r>
        <w:t xml:space="preserve"> : TOTP (Google Authenticator, Authy) sur les comptes Admin</w:t>
      </w:r>
    </w:p>
    <w:p>
      <w:r>
        <w:t>#### Autorisations</w:t>
      </w:r>
    </w:p>
    <w:p>
      <w:pPr>
        <w:pStyle w:val="ListBullet"/>
      </w:pPr>
      <w:r>
        <w:rPr>
          <w:b/>
        </w:rPr>
        <w:t>Row-Level Security (RLS)</w:t>
      </w:r>
      <w:r>
        <w:t xml:space="preserve"> Supabase sur toutes les tables sensibles</w:t>
      </w:r>
    </w:p>
    <w:p>
      <w:pPr>
        <w:pStyle w:val="ListBullet"/>
      </w:pPr>
      <w:r>
        <w:rPr>
          <w:b/>
        </w:rPr>
        <w:t>Policies par rôle</w:t>
      </w:r>
      <w:r>
        <w:t xml:space="preserve"> : </w:t>
      </w:r>
      <w:r>
        <w:rPr>
          <w:rFonts w:ascii="Consolas" w:hAnsi="Consolas"/>
          <w:sz w:val="18"/>
        </w:rPr>
        <w:t>admin</w:t>
      </w:r>
      <w:r>
        <w:t xml:space="preserve">, </w:t>
      </w:r>
      <w:r>
        <w:rPr>
          <w:rFonts w:ascii="Consolas" w:hAnsi="Consolas"/>
          <w:sz w:val="18"/>
        </w:rPr>
        <w:t>commercial</w:t>
      </w:r>
      <w:r>
        <w:t xml:space="preserve">, </w:t>
      </w:r>
      <w:r>
        <w:rPr>
          <w:rFonts w:ascii="Consolas" w:hAnsi="Consolas"/>
          <w:sz w:val="18"/>
        </w:rPr>
        <w:t>technicien</w:t>
      </w:r>
      <w:r>
        <w:t xml:space="preserve">, </w:t>
      </w:r>
      <w:r>
        <w:rPr>
          <w:rFonts w:ascii="Consolas" w:hAnsi="Consolas"/>
          <w:sz w:val="18"/>
        </w:rPr>
        <w:t>comptable</w:t>
      </w:r>
      <w:r>
        <w:t xml:space="preserve">, </w:t>
      </w:r>
      <w:r>
        <w:rPr>
          <w:rFonts w:ascii="Consolas" w:hAnsi="Consolas"/>
          <w:sz w:val="18"/>
        </w:rPr>
        <w:t>lecture</w:t>
      </w:r>
    </w:p>
    <w:p>
      <w:pPr>
        <w:pStyle w:val="ListBullet"/>
      </w:pPr>
      <w:r>
        <w:rPr>
          <w:b/>
        </w:rPr>
        <w:t>Audit log</w:t>
      </w:r>
      <w:r>
        <w:t xml:space="preserve"> centralisé : toute action sensible enregistrée avec horodatage + IP + user_id</w:t>
      </w:r>
    </w:p>
    <w:p>
      <w:r>
        <w:t>#### Vulnérabilités</w:t>
      </w:r>
    </w:p>
    <w:p>
      <w:pPr>
        <w:pStyle w:val="ListBullet"/>
      </w:pPr>
      <w:r>
        <w:rPr>
          <w:b/>
        </w:rPr>
        <w:t>XSS</w:t>
      </w:r>
      <w:r>
        <w:t xml:space="preserve"> : encodage automatique React, pas d'</w:t>
      </w:r>
      <w:r>
        <w:rPr>
          <w:rFonts w:ascii="Consolas" w:hAnsi="Consolas"/>
          <w:sz w:val="18"/>
        </w:rPr>
        <w:t>innerHTML</w:t>
      </w:r>
    </w:p>
    <w:p>
      <w:pPr>
        <w:pStyle w:val="ListBullet"/>
      </w:pPr>
      <w:r>
        <w:rPr>
          <w:b/>
        </w:rPr>
        <w:t>CSRF</w:t>
      </w:r>
      <w:r>
        <w:t xml:space="preserve"> : tokens Supabase + SameSite=Lax sur les cookies</w:t>
      </w:r>
    </w:p>
    <w:p>
      <w:pPr>
        <w:pStyle w:val="ListBullet"/>
      </w:pPr>
      <w:r>
        <w:rPr>
          <w:b/>
        </w:rPr>
        <w:t>SQL injection</w:t>
      </w:r>
      <w:r>
        <w:t xml:space="preserve"> : impossible (PostgREST génère des prepared statements)</w:t>
      </w:r>
    </w:p>
    <w:p>
      <w:pPr>
        <w:pStyle w:val="ListBullet"/>
      </w:pPr>
      <w:r>
        <w:rPr>
          <w:b/>
        </w:rPr>
        <w:t>Rate limiting</w:t>
      </w:r>
      <w:r>
        <w:t xml:space="preserve"> : 100 req/sec/IP côté Vercel Edge + 50 req/sec côté Supabase</w:t>
      </w:r>
    </w:p>
    <w:p>
      <w:pPr>
        <w:pStyle w:val="Heading3"/>
      </w:pPr>
      <w:r>
        <w:rPr>
          <w:color w:val="3730A3"/>
          <w:sz w:val="24"/>
        </w:rPr>
        <w:t>4.3 Droits des personnes (RGPD)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Droit</w:t>
            </w:r>
          </w:p>
        </w:tc>
        <w:tc>
          <w:tcPr>
            <w:tcW w:type="dxa" w:w="4986"/>
            <w:shd w:val="clear" w:color="auto" w:fill="EEF2FF"/>
          </w:tcPr>
          <w:p>
            <w:r>
              <w:rPr>
                <w:b/>
                <w:color w:val="1F2942"/>
                <w:sz w:val="18"/>
              </w:rPr>
              <w:t>Implémentation Hub Astorya</w:t>
            </w:r>
          </w:p>
        </w:tc>
      </w:tr>
      <w:tr>
        <w:tc>
          <w:tcPr>
            <w:tcW w:type="dxa" w:w="4986"/>
          </w:tcPr>
          <w:p>
            <w:r>
              <w:rPr>
                <w:sz w:val="18"/>
              </w:rPr>
              <w:t>Information</w:t>
            </w:r>
          </w:p>
        </w:tc>
        <w:tc>
          <w:tcPr>
            <w:tcW w:type="dxa" w:w="4986"/>
          </w:tcPr>
          <w:p>
            <w:r>
              <w:rPr>
                <w:sz w:val="18"/>
              </w:rPr>
              <w:t>Mention légale + politique de confidentialité accessibles depuis l'app</w:t>
            </w:r>
          </w:p>
        </w:tc>
      </w:tr>
      <w:tr>
        <w:tc>
          <w:tcPr>
            <w:tcW w:type="dxa" w:w="4986"/>
          </w:tcPr>
          <w:p>
            <w:r>
              <w:rPr>
                <w:sz w:val="18"/>
              </w:rPr>
              <w:t>Accès</w:t>
            </w:r>
          </w:p>
        </w:tc>
        <w:tc>
          <w:tcPr>
            <w:tcW w:type="dxa" w:w="4986"/>
          </w:tcPr>
          <w:p>
            <w:r>
              <w:rPr>
                <w:sz w:val="18"/>
              </w:rPr>
              <w:t>Bouton « Mes données » dans le menu utilisateur (export ZIP self-service)</w:t>
            </w:r>
          </w:p>
        </w:tc>
      </w:tr>
      <w:tr>
        <w:tc>
          <w:tcPr>
            <w:tcW w:type="dxa" w:w="4986"/>
          </w:tcPr>
          <w:p>
            <w:r>
              <w:rPr>
                <w:sz w:val="18"/>
              </w:rPr>
              <w:t>Rectification</w:t>
            </w:r>
          </w:p>
        </w:tc>
        <w:tc>
          <w:tcPr>
            <w:tcW w:type="dxa" w:w="4986"/>
          </w:tcPr>
          <w:p>
            <w:r>
              <w:rPr>
                <w:sz w:val="18"/>
              </w:rPr>
              <w:t>Édition libre de toutes les fiches client/contact</w:t>
            </w:r>
          </w:p>
        </w:tc>
      </w:tr>
      <w:tr>
        <w:tc>
          <w:tcPr>
            <w:tcW w:type="dxa" w:w="4986"/>
          </w:tcPr>
          <w:p>
            <w:r>
              <w:rPr>
                <w:sz w:val="18"/>
              </w:rPr>
              <w:t>Effacement</w:t>
            </w:r>
          </w:p>
        </w:tc>
        <w:tc>
          <w:tcPr>
            <w:tcW w:type="dxa" w:w="4986"/>
          </w:tcPr>
          <w:p>
            <w:r>
              <w:rPr>
                <w:sz w:val="18"/>
              </w:rPr>
              <w:t>Bouton « Supprimer » avec confirmation + log</w:t>
            </w:r>
          </w:p>
        </w:tc>
      </w:tr>
      <w:tr>
        <w:tc>
          <w:tcPr>
            <w:tcW w:type="dxa" w:w="4986"/>
          </w:tcPr>
          <w:p>
            <w:r>
              <w:rPr>
                <w:sz w:val="18"/>
              </w:rPr>
              <w:t>Limitation</w:t>
            </w:r>
          </w:p>
        </w:tc>
        <w:tc>
          <w:tcPr>
            <w:tcW w:type="dxa" w:w="4986"/>
          </w:tcPr>
          <w:p>
            <w:r>
              <w:rPr>
                <w:sz w:val="18"/>
              </w:rPr>
              <w:t xml:space="preserve">Champ </w:t>
            </w:r>
            <w:r>
              <w:rPr>
                <w:rFonts w:ascii="Consolas" w:hAnsi="Consolas"/>
                <w:sz w:val="18"/>
              </w:rPr>
              <w:t>data.processing_restriction=true</w:t>
            </w:r>
            <w:r>
              <w:rPr>
                <w:sz w:val="18"/>
              </w:rPr>
              <w:t xml:space="preserve"> arrête tous les traitements automatiques</w:t>
            </w:r>
          </w:p>
        </w:tc>
      </w:tr>
      <w:tr>
        <w:tc>
          <w:tcPr>
            <w:tcW w:type="dxa" w:w="4986"/>
          </w:tcPr>
          <w:p>
            <w:r>
              <w:rPr>
                <w:sz w:val="18"/>
              </w:rPr>
              <w:t>Portabilité (art. 20)</w:t>
            </w:r>
          </w:p>
        </w:tc>
        <w:tc>
          <w:tcPr>
            <w:tcW w:type="dxa" w:w="4986"/>
          </w:tcPr>
          <w:p>
            <w:r>
              <w:rPr>
                <w:sz w:val="18"/>
              </w:rPr>
              <w:t>Bouton « ⬇ Exporter les données » sur fiche client → ZIP CSV+JSON</w:t>
            </w:r>
          </w:p>
        </w:tc>
      </w:tr>
      <w:tr>
        <w:tc>
          <w:tcPr>
            <w:tcW w:type="dxa" w:w="4986"/>
          </w:tcPr>
          <w:p>
            <w:r>
              <w:rPr>
                <w:sz w:val="18"/>
              </w:rPr>
              <w:t>Opposition</w:t>
            </w:r>
          </w:p>
        </w:tc>
        <w:tc>
          <w:tcPr>
            <w:tcW w:type="dxa" w:w="4986"/>
          </w:tcPr>
          <w:p>
            <w:r>
              <w:rPr>
                <w:sz w:val="18"/>
              </w:rPr>
              <w:t>Désinscription des automations marketing en un clic</w:t>
            </w:r>
          </w:p>
        </w:tc>
      </w:tr>
      <w:tr>
        <w:tc>
          <w:tcPr>
            <w:tcW w:type="dxa" w:w="4986"/>
          </w:tcPr>
          <w:p>
            <w:r>
              <w:rPr>
                <w:sz w:val="18"/>
              </w:rPr>
              <w:t>Décisions automatisées</w:t>
            </w:r>
          </w:p>
        </w:tc>
        <w:tc>
          <w:tcPr>
            <w:tcW w:type="dxa" w:w="4986"/>
          </w:tcPr>
          <w:p>
            <w:r>
              <w:rPr>
                <w:sz w:val="18"/>
              </w:rPr>
              <w:t>Aucune décision juridique automatisée — toutes validées humainement</w:t>
            </w:r>
          </w:p>
        </w:tc>
      </w:tr>
    </w:tbl>
    <w:p/>
    <w:p>
      <w:pPr>
        <w:pStyle w:val="Heading3"/>
      </w:pPr>
      <w:r>
        <w:rPr>
          <w:color w:val="3730A3"/>
          <w:sz w:val="24"/>
        </w:rPr>
        <w:t>4.4 Sous-traitants et registre</w:t>
      </w:r>
    </w:p>
    <w:p>
      <w:r>
        <w:t>ASTORYA SGI conclut un DPA (Data Processing Agreement) avec chaque sous-traitant. Liste en annexe du Contrat de Services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Sous-traitant</w:t>
            </w:r>
          </w:p>
        </w:tc>
        <w:tc>
          <w:tcPr>
            <w:tcW w:type="dxa" w:w="2493"/>
            <w:shd w:val="clear" w:color="auto" w:fill="EEF2FF"/>
          </w:tcPr>
          <w:p>
            <w:r>
              <w:rPr>
                <w:b/>
                <w:color w:val="1F2942"/>
                <w:sz w:val="18"/>
              </w:rPr>
              <w:t>Service</w:t>
            </w:r>
          </w:p>
        </w:tc>
        <w:tc>
          <w:tcPr>
            <w:tcW w:type="dxa" w:w="2493"/>
            <w:shd w:val="clear" w:color="auto" w:fill="EEF2FF"/>
          </w:tcPr>
          <w:p>
            <w:r>
              <w:rPr>
                <w:b/>
                <w:color w:val="1F2942"/>
                <w:sz w:val="18"/>
              </w:rPr>
              <w:t>Localisation</w:t>
            </w:r>
          </w:p>
        </w:tc>
        <w:tc>
          <w:tcPr>
            <w:tcW w:type="dxa" w:w="2493"/>
            <w:shd w:val="clear" w:color="auto" w:fill="EEF2FF"/>
          </w:tcPr>
          <w:p>
            <w:r>
              <w:rPr>
                <w:b/>
                <w:color w:val="1F2942"/>
                <w:sz w:val="18"/>
              </w:rPr>
              <w:t>Conformité</w:t>
            </w:r>
          </w:p>
        </w:tc>
      </w:tr>
      <w:tr>
        <w:tc>
          <w:tcPr>
            <w:tcW w:type="dxa" w:w="2493"/>
          </w:tcPr>
          <w:p>
            <w:r>
              <w:rPr>
                <w:sz w:val="18"/>
              </w:rPr>
              <w:t>Vercel Inc.</w:t>
            </w:r>
          </w:p>
        </w:tc>
        <w:tc>
          <w:tcPr>
            <w:tcW w:type="dxa" w:w="2493"/>
          </w:tcPr>
          <w:p>
            <w:r>
              <w:rPr>
                <w:sz w:val="18"/>
              </w:rPr>
              <w:t>Hébergement front + CDN</w:t>
            </w:r>
          </w:p>
        </w:tc>
        <w:tc>
          <w:tcPr>
            <w:tcW w:type="dxa" w:w="2493"/>
          </w:tcPr>
          <w:p>
            <w:r>
              <w:rPr>
                <w:sz w:val="18"/>
              </w:rPr>
              <w:t>EU (Francfort)</w:t>
            </w:r>
          </w:p>
        </w:tc>
        <w:tc>
          <w:tcPr>
            <w:tcW w:type="dxa" w:w="2493"/>
          </w:tcPr>
          <w:p>
            <w:r>
              <w:rPr>
                <w:sz w:val="18"/>
              </w:rPr>
              <w:t>SOC 2 Type II, ISO 27001, DPA UE</w:t>
            </w:r>
          </w:p>
        </w:tc>
      </w:tr>
      <w:tr>
        <w:tc>
          <w:tcPr>
            <w:tcW w:type="dxa" w:w="2493"/>
          </w:tcPr>
          <w:p>
            <w:r>
              <w:rPr>
                <w:sz w:val="18"/>
              </w:rPr>
              <w:t>Supabase Inc.</w:t>
            </w:r>
          </w:p>
        </w:tc>
        <w:tc>
          <w:tcPr>
            <w:tcW w:type="dxa" w:w="2493"/>
          </w:tcPr>
          <w:p>
            <w:r>
              <w:rPr>
                <w:sz w:val="18"/>
              </w:rPr>
              <w:t>BDD + Auth + Storage</w:t>
            </w:r>
          </w:p>
        </w:tc>
        <w:tc>
          <w:tcPr>
            <w:tcW w:type="dxa" w:w="2493"/>
          </w:tcPr>
          <w:p>
            <w:r>
              <w:rPr>
                <w:sz w:val="18"/>
              </w:rPr>
              <w:t>EU (Paris/Irlande)</w:t>
            </w:r>
          </w:p>
        </w:tc>
        <w:tc>
          <w:tcPr>
            <w:tcW w:type="dxa" w:w="2493"/>
          </w:tcPr>
          <w:p>
            <w:r>
              <w:rPr>
                <w:sz w:val="18"/>
              </w:rPr>
              <w:t>SOC 2 Type II, DPA UE, RLS native</w:t>
            </w:r>
          </w:p>
        </w:tc>
      </w:tr>
      <w:tr>
        <w:tc>
          <w:tcPr>
            <w:tcW w:type="dxa" w:w="2493"/>
          </w:tcPr>
          <w:p>
            <w:r>
              <w:rPr>
                <w:sz w:val="18"/>
              </w:rPr>
              <w:t>OVHcloud</w:t>
            </w:r>
          </w:p>
        </w:tc>
        <w:tc>
          <w:tcPr>
            <w:tcW w:type="dxa" w:w="2493"/>
          </w:tcPr>
          <w:p>
            <w:r>
              <w:rPr>
                <w:sz w:val="18"/>
              </w:rPr>
              <w:t>DNS + backup air-gap</w:t>
            </w:r>
          </w:p>
        </w:tc>
        <w:tc>
          <w:tcPr>
            <w:tcW w:type="dxa" w:w="2493"/>
          </w:tcPr>
          <w:p>
            <w:r>
              <w:rPr>
                <w:sz w:val="18"/>
              </w:rPr>
              <w:t>France (Roubaix/Strasbourg)</w:t>
            </w:r>
          </w:p>
        </w:tc>
        <w:tc>
          <w:tcPr>
            <w:tcW w:type="dxa" w:w="2493"/>
          </w:tcPr>
          <w:p>
            <w:r>
              <w:rPr>
                <w:sz w:val="18"/>
              </w:rPr>
              <w:t>HDS, ISO 27001, EU</w:t>
            </w:r>
          </w:p>
        </w:tc>
      </w:tr>
      <w:tr>
        <w:tc>
          <w:tcPr>
            <w:tcW w:type="dxa" w:w="2493"/>
          </w:tcPr>
          <w:p>
            <w:r>
              <w:rPr>
                <w:sz w:val="18"/>
              </w:rPr>
              <w:t>Sendgrid (Twilio)</w:t>
            </w:r>
          </w:p>
        </w:tc>
        <w:tc>
          <w:tcPr>
            <w:tcW w:type="dxa" w:w="2493"/>
          </w:tcPr>
          <w:p>
            <w:r>
              <w:rPr>
                <w:sz w:val="18"/>
              </w:rPr>
              <w:t>Envois transactionnels</w:t>
            </w:r>
          </w:p>
        </w:tc>
        <w:tc>
          <w:tcPr>
            <w:tcW w:type="dxa" w:w="2493"/>
          </w:tcPr>
          <w:p>
            <w:r>
              <w:rPr>
                <w:sz w:val="18"/>
              </w:rPr>
              <w:t>EU (Dublin)</w:t>
            </w:r>
          </w:p>
        </w:tc>
        <w:tc>
          <w:tcPr>
            <w:tcW w:type="dxa" w:w="2493"/>
          </w:tcPr>
          <w:p>
            <w:r>
              <w:rPr>
                <w:sz w:val="18"/>
              </w:rPr>
              <w:t>GDPR-compliant, DPA</w:t>
            </w:r>
          </w:p>
        </w:tc>
      </w:tr>
      <w:tr>
        <w:tc>
          <w:tcPr>
            <w:tcW w:type="dxa" w:w="2493"/>
          </w:tcPr>
          <w:p>
            <w:r>
              <w:rPr>
                <w:sz w:val="18"/>
              </w:rPr>
              <w:t>Anthropic</w:t>
            </w:r>
          </w:p>
        </w:tc>
        <w:tc>
          <w:tcPr>
            <w:tcW w:type="dxa" w:w="2493"/>
          </w:tcPr>
          <w:p>
            <w:r>
              <w:rPr>
                <w:sz w:val="18"/>
              </w:rPr>
              <w:t>LLM API (brouillons IA)</w:t>
            </w:r>
          </w:p>
        </w:tc>
        <w:tc>
          <w:tcPr>
            <w:tcW w:type="dxa" w:w="2493"/>
          </w:tcPr>
          <w:p>
            <w:r>
              <w:rPr>
                <w:sz w:val="18"/>
              </w:rPr>
              <w:t>EU (option)</w:t>
            </w:r>
          </w:p>
        </w:tc>
        <w:tc>
          <w:tcPr>
            <w:tcW w:type="dxa" w:w="2493"/>
          </w:tcPr>
          <w:p>
            <w:r>
              <w:rPr>
                <w:sz w:val="18"/>
              </w:rPr>
              <w:t>DPA, données non réutilisées pour entraînement</w:t>
            </w:r>
          </w:p>
        </w:tc>
      </w:tr>
    </w:tbl>
    <w:p/>
    <w:p>
      <w:pPr>
        <w:pStyle w:val="Heading3"/>
      </w:pPr>
      <w:r>
        <w:rPr>
          <w:color w:val="3730A3"/>
          <w:sz w:val="24"/>
        </w:rPr>
        <w:t>4.5 Notification de violation</w:t>
      </w:r>
    </w:p>
    <w:p>
      <w:r>
        <w:t>En cas de violation de données personnelles :</w:t>
      </w:r>
    </w:p>
    <w:p>
      <w:pPr>
        <w:pStyle w:val="ListBullet"/>
      </w:pPr>
      <w:r>
        <w:rPr>
          <w:b/>
        </w:rPr>
        <w:t>Détection</w:t>
      </w:r>
      <w:r>
        <w:t xml:space="preserve"> : monitoring 24/7 + alertes automatiques sur événements anormaux</w:t>
      </w:r>
    </w:p>
    <w:p>
      <w:pPr>
        <w:pStyle w:val="ListBullet"/>
      </w:pPr>
      <w:r>
        <w:rPr>
          <w:b/>
        </w:rPr>
        <w:t>Notification CNIL</w:t>
      </w:r>
      <w:r>
        <w:t xml:space="preserve"> : sous 72h via le portail dédié</w:t>
      </w:r>
    </w:p>
    <w:p>
      <w:pPr>
        <w:pStyle w:val="ListBullet"/>
      </w:pPr>
      <w:r>
        <w:rPr>
          <w:b/>
        </w:rPr>
        <w:t>Notification clients impactés</w:t>
      </w:r>
      <w:r>
        <w:t xml:space="preserve"> : sans délai injustifié, par email + courrier RAR</w:t>
      </w:r>
    </w:p>
    <w:p>
      <w:pPr>
        <w:pStyle w:val="ListBullet"/>
      </w:pPr>
      <w:r>
        <w:rPr>
          <w:b/>
        </w:rPr>
        <w:t>Registre interne</w:t>
      </w:r>
      <w:r>
        <w:t xml:space="preserve"> : conservé 5 ans</w:t>
      </w:r>
    </w:p>
    <w:p>
      <w:pPr>
        <w:pStyle w:val="Heading3"/>
      </w:pPr>
      <w:r>
        <w:rPr>
          <w:color w:val="3730A3"/>
          <w:sz w:val="24"/>
        </w:rPr>
        <w:t>4.6 Cyber-assurance obligatoire</w:t>
      </w:r>
    </w:p>
    <w:p>
      <w:r>
        <w:t>Conformément à l'</w:t>
      </w:r>
      <w:r>
        <w:rPr>
          <w:b/>
        </w:rPr>
        <w:t>article 8 bis</w:t>
      </w:r>
      <w:r>
        <w:t xml:space="preserve"> du Contrat de mise à disposition, le Client souscrit obligatoirement une assurance cyber couvrant a minima :</w:t>
      </w:r>
    </w:p>
    <w:p>
      <w:pPr>
        <w:pStyle w:val="ListBullet"/>
      </w:pPr>
      <w:r>
        <w:rPr>
          <w:b/>
        </w:rPr>
        <w:t>RC professionnelle cyber</w:t>
      </w:r>
      <w:r>
        <w:t xml:space="preserve"> : 1 M€ minimum</w:t>
      </w:r>
    </w:p>
    <w:p>
      <w:pPr>
        <w:pStyle w:val="ListBullet"/>
      </w:pPr>
      <w:r>
        <w:rPr>
          <w:b/>
        </w:rPr>
        <w:t>Atteinte aux données</w:t>
      </w:r>
      <w:r>
        <w:t xml:space="preserve"> : 500 k€ minimum</w:t>
      </w:r>
    </w:p>
    <w:p>
      <w:pPr>
        <w:pStyle w:val="ListBullet"/>
      </w:pPr>
      <w:r>
        <w:rPr>
          <w:b/>
        </w:rPr>
        <w:t>Rançongiciel</w:t>
      </w:r>
      <w:r>
        <w:t xml:space="preserve"> : 500 k€ minimum + clause de non-paiement de rançon</w:t>
      </w:r>
    </w:p>
    <w:p>
      <w:pPr>
        <w:pStyle w:val="ListBullet"/>
      </w:pPr>
      <w:r>
        <w:rPr>
          <w:b/>
        </w:rPr>
        <w:t>Pertes d'exploitation</w:t>
      </w:r>
      <w:r>
        <w:t xml:space="preserve"> : 30 jours minimum</w:t>
      </w:r>
    </w:p>
    <w:p>
      <w:r>
        <w:t>Justificatif d'assurance à fournir à la souscription et à chaque renouvellement annuel.</w:t>
      </w:r>
    </w:p>
    <w:p>
      <w:pPr>
        <w:spacing w:before="80"/>
        <w:pBdr>
          <w:bottom w:val="single" w:sz="6" w:color="C0C7D2"/>
        </w:pBdr>
      </w:pPr>
    </w:p>
    <w:p>
      <w:pPr>
        <w:pStyle w:val="Heading2"/>
      </w:pPr>
      <w:r>
        <w:rPr>
          <w:color w:val="1F2942"/>
          <w:sz w:val="28"/>
        </w:rPr>
        <w:t>5. AUTHENTIFICATION ET GESTION DES RÔLES</w:t>
      </w:r>
    </w:p>
    <w:p>
      <w:pPr>
        <w:pStyle w:val="Heading3"/>
      </w:pPr>
      <w:r>
        <w:rPr>
          <w:color w:val="3730A3"/>
          <w:sz w:val="24"/>
        </w:rPr>
        <w:t>5.1 Connexion</w:t>
      </w:r>
    </w:p>
    <w:p>
      <w:r>
        <w:rPr>
          <w:b/>
        </w:rPr>
        <w:t>Route</w:t>
      </w:r>
      <w:r>
        <w:t xml:space="preserve"> : </w:t>
      </w:r>
      <w:r>
        <w:rPr>
          <w:rFonts w:ascii="Consolas" w:hAnsi="Consolas"/>
          <w:sz w:val="18"/>
        </w:rPr>
        <w:t>/login</w:t>
      </w:r>
    </w:p>
    <w:p>
      <w:pPr>
        <w:pStyle w:val="ListBullet"/>
      </w:pPr>
      <w:r>
        <w:t>Saisie email + mot de passe</w:t>
      </w:r>
    </w:p>
    <w:p>
      <w:pPr>
        <w:pStyle w:val="ListBullet"/>
      </w:pPr>
      <w:r>
        <w:t>Validation côté front (regex email + longueur min)</w:t>
      </w:r>
    </w:p>
    <w:p>
      <w:pPr>
        <w:pStyle w:val="ListBullet"/>
      </w:pPr>
      <w:r>
        <w:t>Soumission Supabase Auth → JWT</w:t>
      </w:r>
    </w:p>
    <w:p>
      <w:pPr>
        <w:pStyle w:val="ListBullet"/>
      </w:pPr>
      <w:r>
        <w:t xml:space="preserve">Stockage sécurisé (localStorage + flag </w:t>
      </w:r>
      <w:r>
        <w:rPr>
          <w:rFonts w:ascii="Consolas" w:hAnsi="Consolas"/>
          <w:sz w:val="18"/>
        </w:rPr>
        <w:t>secure</w:t>
      </w:r>
      <w:r>
        <w:t>)</w:t>
      </w:r>
    </w:p>
    <w:p>
      <w:pPr>
        <w:pStyle w:val="ListBullet"/>
      </w:pPr>
      <w:r>
        <w:t xml:space="preserve">Redirection vers </w:t>
      </w:r>
      <w:r>
        <w:rPr>
          <w:rFonts w:ascii="Consolas" w:hAnsi="Consolas"/>
          <w:sz w:val="18"/>
        </w:rPr>
        <w:t>/accueil-simple</w:t>
      </w:r>
      <w:r>
        <w:t xml:space="preserve"> (ou </w:t>
      </w:r>
      <w:r>
        <w:rPr>
          <w:rFonts w:ascii="Consolas" w:hAnsi="Consolas"/>
          <w:sz w:val="18"/>
        </w:rPr>
        <w:t>/</w:t>
      </w:r>
      <w:r>
        <w:t xml:space="preserve"> selon configuration)</w:t>
      </w:r>
    </w:p>
    <w:p>
      <w:r>
        <w:rPr>
          <w:b/>
        </w:rPr>
        <w:t>Mot de passe oublié</w:t>
      </w:r>
      <w:r>
        <w:t xml:space="preserve"> : lien email avec token à usage unique (TTL 1h).</w:t>
      </w:r>
    </w:p>
    <w:p>
      <w:pPr>
        <w:pStyle w:val="Heading3"/>
      </w:pPr>
      <w:r>
        <w:rPr>
          <w:color w:val="3730A3"/>
          <w:sz w:val="24"/>
        </w:rPr>
        <w:t>5.2 Rôles disponibles</w:t>
      </w:r>
    </w:p>
    <w:p>
      <w:r>
        <w:t>#### Administrateur (</w:t>
      </w:r>
      <w:r>
        <w:rPr>
          <w:rFonts w:ascii="Consolas" w:hAnsi="Consolas"/>
          <w:sz w:val="18"/>
        </w:rPr>
        <w:t>admin</w:t>
      </w:r>
      <w:r>
        <w:t>)</w:t>
      </w:r>
    </w:p>
    <w:p>
      <w:pPr>
        <w:pStyle w:val="ListBullet"/>
      </w:pPr>
      <w:r>
        <w:t>Accès complet à toutes les pages et tables</w:t>
      </w:r>
    </w:p>
    <w:p>
      <w:pPr>
        <w:pStyle w:val="ListBullet"/>
      </w:pPr>
      <w:r>
        <w:t>Gestion utilisateurs, rôles, permissions</w:t>
      </w:r>
    </w:p>
    <w:p>
      <w:pPr>
        <w:pStyle w:val="ListBullet"/>
      </w:pPr>
      <w:r>
        <w:t>Configuration paramètres système</w:t>
      </w:r>
    </w:p>
    <w:p>
      <w:pPr>
        <w:pStyle w:val="ListBullet"/>
      </w:pPr>
      <w:r>
        <w:t>Accès aux logs et exports admin</w:t>
      </w:r>
    </w:p>
    <w:p>
      <w:pPr>
        <w:pStyle w:val="ListBullet"/>
      </w:pPr>
      <w:r>
        <w:t>Droit de purge (opportunités test, données obsolètes)</w:t>
      </w:r>
    </w:p>
    <w:p>
      <w:r>
        <w:t>#### Commercial (</w:t>
      </w:r>
      <w:r>
        <w:rPr>
          <w:rFonts w:ascii="Consolas" w:hAnsi="Consolas"/>
          <w:sz w:val="18"/>
        </w:rPr>
        <w:t>commercial</w:t>
      </w:r>
      <w:r>
        <w:t>)</w:t>
      </w:r>
    </w:p>
    <w:p>
      <w:pPr>
        <w:pStyle w:val="ListBullet"/>
      </w:pPr>
      <w:r>
        <w:t>Pipeline, opportunités, devis, contrats, fiche client</w:t>
      </w:r>
    </w:p>
    <w:p>
      <w:pPr>
        <w:pStyle w:val="ListBullet"/>
      </w:pPr>
      <w:r>
        <w:t>Création prospects, contacts, opportunités</w:t>
      </w:r>
    </w:p>
    <w:p>
      <w:pPr>
        <w:pStyle w:val="ListBullet"/>
      </w:pPr>
      <w:r>
        <w:t>Gestion documents commerciaux (CRUD complet)</w:t>
      </w:r>
    </w:p>
    <w:p>
      <w:pPr>
        <w:pStyle w:val="ListBullet"/>
      </w:pPr>
      <w:r>
        <w:t>Accès lecture aux tickets (sans modification)</w:t>
      </w:r>
    </w:p>
    <w:p>
      <w:pPr>
        <w:pStyle w:val="ListBullet"/>
      </w:pPr>
      <w:r>
        <w:t>Pas d'accès aux paramètres admin</w:t>
      </w:r>
    </w:p>
    <w:p>
      <w:r>
        <w:t>#### Technicien (</w:t>
      </w:r>
      <w:r>
        <w:rPr>
          <w:rFonts w:ascii="Consolas" w:hAnsi="Consolas"/>
          <w:sz w:val="18"/>
        </w:rPr>
        <w:t>technicien</w:t>
      </w:r>
      <w:r>
        <w:t>)</w:t>
      </w:r>
    </w:p>
    <w:p>
      <w:pPr>
        <w:pStyle w:val="ListBullet"/>
      </w:pPr>
      <w:r>
        <w:t>Tickets, hotline 3CX, interventions</w:t>
      </w:r>
    </w:p>
    <w:p>
      <w:pPr>
        <w:pStyle w:val="ListBullet"/>
      </w:pPr>
      <w:r>
        <w:t>Fiche client en lecture (sauf notes internes éditables)</w:t>
      </w:r>
    </w:p>
    <w:p>
      <w:pPr>
        <w:pStyle w:val="ListBullet"/>
      </w:pPr>
      <w:r>
        <w:t>Projets : modification du planning, ajout activités</w:t>
      </w:r>
    </w:p>
    <w:p>
      <w:pPr>
        <w:pStyle w:val="ListBullet"/>
      </w:pPr>
      <w:r>
        <w:t>Saisie temps et activités</w:t>
      </w:r>
    </w:p>
    <w:p>
      <w:pPr>
        <w:pStyle w:val="ListBullet"/>
      </w:pPr>
      <w:r>
        <w:t>Pas d'accès aux contrats ni facturation</w:t>
      </w:r>
    </w:p>
    <w:p>
      <w:r>
        <w:t>#### Comptable (</w:t>
      </w:r>
      <w:r>
        <w:rPr>
          <w:rFonts w:ascii="Consolas" w:hAnsi="Consolas"/>
          <w:sz w:val="18"/>
        </w:rPr>
        <w:t>comptable</w:t>
      </w:r>
      <w:r>
        <w:t>)</w:t>
      </w:r>
    </w:p>
    <w:p>
      <w:pPr>
        <w:pStyle w:val="ListBullet"/>
      </w:pPr>
      <w:r>
        <w:t>Factures, paiements, relances</w:t>
      </w:r>
    </w:p>
    <w:p>
      <w:pPr>
        <w:pStyle w:val="ListBullet"/>
      </w:pPr>
      <w:r>
        <w:t>Comptabilité, trésorerie, export FEC</w:t>
      </w:r>
    </w:p>
    <w:p>
      <w:pPr>
        <w:pStyle w:val="ListBullet"/>
      </w:pPr>
      <w:r>
        <w:t>Lecture fiche client (volet facturation)</w:t>
      </w:r>
    </w:p>
    <w:p>
      <w:pPr>
        <w:pStyle w:val="ListBullet"/>
      </w:pPr>
      <w:r>
        <w:t>Pas d'accès au pipeline commercial</w:t>
      </w:r>
    </w:p>
    <w:p>
      <w:r>
        <w:t>#### Lecture seule (</w:t>
      </w:r>
      <w:r>
        <w:rPr>
          <w:rFonts w:ascii="Consolas" w:hAnsi="Consolas"/>
          <w:sz w:val="18"/>
        </w:rPr>
        <w:t>reader</w:t>
      </w:r>
      <w:r>
        <w:t>)</w:t>
      </w:r>
    </w:p>
    <w:p>
      <w:pPr>
        <w:pStyle w:val="ListBullet"/>
      </w:pPr>
      <w:r>
        <w:t>Vue d'ensemble (tous modules)</w:t>
      </w:r>
    </w:p>
    <w:p>
      <w:pPr>
        <w:pStyle w:val="ListBullet"/>
      </w:pPr>
      <w:r>
        <w:t>Pas de création / modification / suppression</w:t>
      </w:r>
    </w:p>
    <w:p>
      <w:pPr>
        <w:pStyle w:val="ListBullet"/>
      </w:pPr>
      <w:r>
        <w:t>Utilisé pour audits, direction, contrôleur de gestion</w:t>
      </w:r>
    </w:p>
    <w:p>
      <w:pPr>
        <w:pStyle w:val="Heading3"/>
      </w:pPr>
      <w:r>
        <w:rPr>
          <w:color w:val="3730A3"/>
          <w:sz w:val="24"/>
        </w:rPr>
        <w:t>5.3 Matrice des droits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EEF2FF"/>
          </w:tcPr>
          <w:p>
            <w:r>
              <w:rPr>
                <w:b/>
                <w:color w:val="1F2942"/>
                <w:sz w:val="18"/>
              </w:rPr>
              <w:t>Action</w:t>
            </w:r>
          </w:p>
        </w:tc>
        <w:tc>
          <w:tcPr>
            <w:tcW w:type="dxa" w:w="1662"/>
            <w:shd w:val="clear" w:color="auto" w:fill="EEF2FF"/>
          </w:tcPr>
          <w:p>
            <w:r>
              <w:rPr>
                <w:b/>
                <w:color w:val="1F2942"/>
                <w:sz w:val="18"/>
              </w:rPr>
              <w:t>Admin</w:t>
            </w:r>
          </w:p>
        </w:tc>
        <w:tc>
          <w:tcPr>
            <w:tcW w:type="dxa" w:w="1662"/>
            <w:shd w:val="clear" w:color="auto" w:fill="EEF2FF"/>
          </w:tcPr>
          <w:p>
            <w:r>
              <w:rPr>
                <w:b/>
                <w:color w:val="1F2942"/>
                <w:sz w:val="18"/>
              </w:rPr>
              <w:t>Commercial</w:t>
            </w:r>
          </w:p>
        </w:tc>
        <w:tc>
          <w:tcPr>
            <w:tcW w:type="dxa" w:w="1662"/>
            <w:shd w:val="clear" w:color="auto" w:fill="EEF2FF"/>
          </w:tcPr>
          <w:p>
            <w:r>
              <w:rPr>
                <w:b/>
                <w:color w:val="1F2942"/>
                <w:sz w:val="18"/>
              </w:rPr>
              <w:t>Technicien</w:t>
            </w:r>
          </w:p>
        </w:tc>
        <w:tc>
          <w:tcPr>
            <w:tcW w:type="dxa" w:w="1662"/>
            <w:shd w:val="clear" w:color="auto" w:fill="EEF2FF"/>
          </w:tcPr>
          <w:p>
            <w:r>
              <w:rPr>
                <w:b/>
                <w:color w:val="1F2942"/>
                <w:sz w:val="18"/>
              </w:rPr>
              <w:t>Comptable</w:t>
            </w:r>
          </w:p>
        </w:tc>
        <w:tc>
          <w:tcPr>
            <w:tcW w:type="dxa" w:w="1662"/>
            <w:shd w:val="clear" w:color="auto" w:fill="EEF2FF"/>
          </w:tcPr>
          <w:p>
            <w:r>
              <w:rPr>
                <w:b/>
                <w:color w:val="1F2942"/>
                <w:sz w:val="18"/>
              </w:rPr>
              <w:t>Lecture</w:t>
            </w:r>
          </w:p>
        </w:tc>
      </w:tr>
      <w:tr>
        <w:tc>
          <w:tcPr>
            <w:tcW w:type="dxa" w:w="1662"/>
          </w:tcPr>
          <w:p>
            <w:r>
              <w:rPr>
                <w:sz w:val="18"/>
              </w:rPr>
              <w:t>Créer un prospect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Créer une opportunité</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Avancer une opp SPANCO</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Créer un devis</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Émettre une facture</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Enregistrer un paiement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Créer un ticket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Modifier note interne</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Purger des données</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r>
        <w:tc>
          <w:tcPr>
            <w:tcW w:type="dxa" w:w="1662"/>
          </w:tcPr>
          <w:p>
            <w:r>
              <w:rPr>
                <w:sz w:val="18"/>
              </w:rPr>
              <w:t>Voir les logs</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c>
          <w:tcPr>
            <w:tcW w:type="dxa" w:w="1662"/>
          </w:tcPr>
          <w:p>
            <w:r>
              <w:rPr>
                <w:sz w:val="18"/>
              </w:rPr>
              <w:t>×</w:t>
            </w:r>
          </w:p>
        </w:tc>
      </w:tr>
    </w:tbl>
    <w:p/>
    <w:p>
      <w:pPr>
        <w:pStyle w:val="Heading3"/>
      </w:pPr>
      <w:r>
        <w:rPr>
          <w:color w:val="3730A3"/>
          <w:sz w:val="24"/>
        </w:rPr>
        <w:t>5.4 Sessions et déconnexion</w:t>
      </w:r>
    </w:p>
    <w:p>
      <w:pPr>
        <w:pStyle w:val="ListBullet"/>
      </w:pPr>
      <w:r>
        <w:rPr>
          <w:b/>
        </w:rPr>
        <w:t>Durée de session</w:t>
      </w:r>
      <w:r>
        <w:t xml:space="preserve"> : 7 jours (renouvellement glissant à chaque action)</w:t>
      </w:r>
    </w:p>
    <w:p>
      <w:pPr>
        <w:pStyle w:val="ListBullet"/>
      </w:pPr>
      <w:r>
        <w:rPr>
          <w:b/>
        </w:rPr>
        <w:t>Déconnexion forcée</w:t>
      </w:r>
      <w:r>
        <w:t xml:space="preserve"> après 30 jours d'inactivité</w:t>
      </w:r>
    </w:p>
    <w:p>
      <w:pPr>
        <w:pStyle w:val="ListBullet"/>
      </w:pPr>
      <w:r>
        <w:rPr>
          <w:b/>
        </w:rPr>
        <w:t>Multi-session</w:t>
      </w:r>
      <w:r>
        <w:t xml:space="preserve"> : possible (un même utilisateur peut être connecté sur plusieurs navigateurs)</w:t>
      </w:r>
    </w:p>
    <w:p>
      <w:pPr>
        <w:pStyle w:val="ListBullet"/>
      </w:pPr>
      <w:r>
        <w:rPr>
          <w:b/>
        </w:rPr>
        <w:t>Révocation</w:t>
      </w:r>
      <w:r>
        <w:t xml:space="preserve"> : l'admin peut révoquer toutes les sessions d'un utilisateur depuis </w:t>
      </w:r>
      <w:r>
        <w:rPr>
          <w:rFonts w:ascii="Consolas" w:hAnsi="Consolas"/>
          <w:sz w:val="18"/>
        </w:rPr>
        <w:t>/administration-utilisateurs</w:t>
      </w:r>
    </w:p>
    <w:p>
      <w:pPr>
        <w:spacing w:before="80"/>
        <w:pBdr>
          <w:bottom w:val="single" w:sz="6" w:color="C0C7D2"/>
        </w:pBdr>
      </w:pPr>
    </w:p>
    <w:p>
      <w:pPr>
        <w:pStyle w:val="Heading2"/>
      </w:pPr>
      <w:r>
        <w:rPr>
          <w:color w:val="1F2942"/>
          <w:sz w:val="28"/>
        </w:rPr>
        <w:t>6. HÉBERGEMENT, SAUVEGARDES ET RÉVERSIBILITÉ</w:t>
      </w:r>
    </w:p>
    <w:p>
      <w:pPr>
        <w:pStyle w:val="Heading3"/>
      </w:pPr>
      <w:r>
        <w:rPr>
          <w:color w:val="3730A3"/>
          <w:sz w:val="24"/>
        </w:rPr>
        <w:t>6.1 Architecture d'hébergement</w:t>
      </w:r>
    </w:p>
    <w:p>
      <w:r>
        <w:t>#### Production</w:t>
      </w:r>
    </w:p>
    <w:p>
      <w:pPr>
        <w:pStyle w:val="ListBullet"/>
      </w:pPr>
      <w:r>
        <w:rPr>
          <w:b/>
        </w:rPr>
        <w:t>Front statique</w:t>
      </w:r>
      <w:r>
        <w:t xml:space="preserve"> : Vercel Edge Network (40+ POP dans le monde, principalement EU)</w:t>
      </w:r>
    </w:p>
    <w:p>
      <w:pPr>
        <w:pStyle w:val="ListBullet"/>
      </w:pPr>
      <w:r>
        <w:rPr>
          <w:b/>
        </w:rPr>
        <w:t>BDD applicative</w:t>
      </w:r>
      <w:r>
        <w:t xml:space="preserve"> : Supabase (Postgres 15 managed)</w:t>
      </w:r>
    </w:p>
    <w:p>
      <w:pPr>
        <w:pStyle w:val="ListBullet"/>
      </w:pPr>
      <w:r>
        <w:rPr>
          <w:b/>
        </w:rPr>
        <w:t>Stockage objets</w:t>
      </w:r>
      <w:r>
        <w:t xml:space="preserve"> : Supabase Storage (PDF, exports, plaquettes)</w:t>
      </w:r>
    </w:p>
    <w:p>
      <w:pPr>
        <w:pStyle w:val="ListBullet"/>
      </w:pPr>
      <w:r>
        <w:rPr>
          <w:b/>
        </w:rPr>
        <w:t>DNS</w:t>
      </w:r>
      <w:r>
        <w:t xml:space="preserve"> : OVH (FR) avec DNSSEC activé</w:t>
      </w:r>
    </w:p>
    <w:p>
      <w:pPr>
        <w:pStyle w:val="ListBullet"/>
      </w:pPr>
      <w:r>
        <w:rPr>
          <w:b/>
        </w:rPr>
        <w:t>Certificats SSL</w:t>
      </w:r>
      <w:r>
        <w:t xml:space="preserve"> : Let's Encrypt (renouvellement automatique 60j)</w:t>
      </w:r>
    </w:p>
    <w:p>
      <w:r>
        <w:t>#### Environnements</w:t>
      </w:r>
    </w:p>
    <w:p>
      <w:pPr>
        <w:pStyle w:val="ListBullet"/>
      </w:pPr>
      <w:r>
        <w:rPr>
          <w:b/>
        </w:rPr>
        <w:t>Production</w:t>
      </w:r>
      <w:r>
        <w:t xml:space="preserve"> (</w:t>
      </w:r>
      <w:r>
        <w:rPr>
          <w:rFonts w:ascii="Consolas" w:hAnsi="Consolas"/>
          <w:sz w:val="18"/>
        </w:rPr>
        <w:t>main</w:t>
      </w:r>
      <w:r>
        <w:t xml:space="preserve"> branch) : msp.astorya.fr</w:t>
      </w:r>
    </w:p>
    <w:p>
      <w:pPr>
        <w:pStyle w:val="ListBullet"/>
      </w:pPr>
      <w:r>
        <w:rPr>
          <w:b/>
        </w:rPr>
        <w:t>Staging</w:t>
      </w:r>
      <w:r>
        <w:t xml:space="preserve"> (</w:t>
      </w:r>
      <w:r>
        <w:rPr>
          <w:rFonts w:ascii="Consolas" w:hAnsi="Consolas"/>
          <w:sz w:val="18"/>
        </w:rPr>
        <w:t>staging</w:t>
      </w:r>
      <w:r>
        <w:t xml:space="preserve"> branch) : staging.msp.astorya.fr (accès restreint)</w:t>
      </w:r>
    </w:p>
    <w:p>
      <w:pPr>
        <w:pStyle w:val="ListBullet"/>
      </w:pPr>
      <w:r>
        <w:rPr>
          <w:b/>
        </w:rPr>
        <w:t>Développement</w:t>
      </w:r>
      <w:r>
        <w:t xml:space="preserve"> (</w:t>
      </w:r>
      <w:r>
        <w:rPr>
          <w:rFonts w:ascii="Consolas" w:hAnsi="Consolas"/>
          <w:sz w:val="18"/>
        </w:rPr>
        <w:t>develop</w:t>
      </w:r>
      <w:r>
        <w:t xml:space="preserve"> branch) : local + branches Claude</w:t>
      </w:r>
    </w:p>
    <w:p>
      <w:pPr>
        <w:pStyle w:val="Heading3"/>
      </w:pPr>
      <w:r>
        <w:rPr>
          <w:color w:val="3730A3"/>
          <w:sz w:val="24"/>
        </w:rPr>
        <w:t>6.2 Stratégie de sauvegarde</w:t>
      </w:r>
    </w:p>
    <w:p>
      <w:r>
        <w:t>#### Sauvegarde quotidienne (toutes formules)</w:t>
      </w:r>
    </w:p>
    <w:p>
      <w:pPr>
        <w:pStyle w:val="ListBullet"/>
      </w:pPr>
      <w:r>
        <w:rPr>
          <w:b/>
        </w:rPr>
        <w:t>Snapshot complet</w:t>
      </w:r>
      <w:r>
        <w:t xml:space="preserve"> Postgres + Storage à 02h00 UTC</w:t>
      </w:r>
    </w:p>
    <w:p>
      <w:pPr>
        <w:pStyle w:val="ListBullet"/>
      </w:pPr>
      <w:r>
        <w:rPr>
          <w:b/>
        </w:rPr>
        <w:t>Rétention</w:t>
      </w:r>
      <w:r>
        <w:t xml:space="preserve"> : 7 jours (Essentiel), 30 jours (Business/Premium)</w:t>
      </w:r>
    </w:p>
    <w:p>
      <w:pPr>
        <w:pStyle w:val="ListBullet"/>
      </w:pPr>
      <w:r>
        <w:rPr>
          <w:b/>
        </w:rPr>
        <w:t>Localisation</w:t>
      </w:r>
      <w:r>
        <w:t xml:space="preserve"> : EU-West (zone différente du primaire)</w:t>
      </w:r>
    </w:p>
    <w:p>
      <w:r>
        <w:t>#### Point-in-time recovery</w:t>
      </w:r>
    </w:p>
    <w:p>
      <w:pPr>
        <w:pStyle w:val="ListBullet"/>
      </w:pPr>
      <w:r>
        <w:rPr>
          <w:b/>
        </w:rPr>
        <w:t>WAL streaming</w:t>
      </w:r>
      <w:r>
        <w:t xml:space="preserve"> continu (5 sec d'écart maximum)</w:t>
      </w:r>
    </w:p>
    <w:p>
      <w:pPr>
        <w:pStyle w:val="ListBullet"/>
      </w:pPr>
      <w:r>
        <w:rPr>
          <w:b/>
        </w:rPr>
        <w:t>Restauration</w:t>
      </w:r>
      <w:r>
        <w:t xml:space="preserve"> à n'importe quelle seconde des 7 derniers jours (Essentiel/Business)</w:t>
      </w:r>
    </w:p>
    <w:p>
      <w:pPr>
        <w:pStyle w:val="ListBullet"/>
      </w:pPr>
      <w:r>
        <w:rPr>
          <w:b/>
        </w:rPr>
        <w:t>Restauration</w:t>
      </w:r>
      <w:r>
        <w:t xml:space="preserve"> à n'importe quelle seconde des 30 derniers jours (Premium)</w:t>
      </w:r>
    </w:p>
    <w:p>
      <w:r>
        <w:t>#### Sauvegarde air-gap (article 8 bis)</w:t>
      </w:r>
    </w:p>
    <w:p>
      <w:pPr>
        <w:pStyle w:val="ListBullet"/>
      </w:pPr>
      <w:r>
        <w:rPr>
          <w:b/>
        </w:rPr>
        <w:t>Fréquence</w:t>
      </w:r>
      <w:r>
        <w:t xml:space="preserve"> : trimestrielle (Essentiel), mensuelle (Business), bi-mensuelle (Premium)</w:t>
      </w:r>
    </w:p>
    <w:p>
      <w:pPr>
        <w:pStyle w:val="ListBullet"/>
      </w:pPr>
      <w:r>
        <w:rPr>
          <w:b/>
        </w:rPr>
        <w:t>Support</w:t>
      </w:r>
      <w:r>
        <w:t xml:space="preserve"> : disque dur externe chiffré + clé USB redondante</w:t>
      </w:r>
    </w:p>
    <w:p>
      <w:pPr>
        <w:pStyle w:val="ListBullet"/>
      </w:pPr>
      <w:r>
        <w:rPr>
          <w:b/>
        </w:rPr>
        <w:t>Stockage</w:t>
      </w:r>
      <w:r>
        <w:t xml:space="preserve"> : coffre-fort physique externalisé (Nantes + Paris)</w:t>
      </w:r>
    </w:p>
    <w:p>
      <w:pPr>
        <w:pStyle w:val="ListBullet"/>
      </w:pPr>
      <w:r>
        <w:rPr>
          <w:b/>
        </w:rPr>
        <w:t>Test de restauration</w:t>
      </w:r>
      <w:r>
        <w:t xml:space="preserve"> : annuel obligatoire</w:t>
      </w:r>
    </w:p>
    <w:p>
      <w:pPr>
        <w:pStyle w:val="Heading3"/>
      </w:pPr>
      <w:r>
        <w:rPr>
          <w:color w:val="3730A3"/>
          <w:sz w:val="24"/>
        </w:rPr>
        <w:t>6.3 Réversibilité et export (article 20 RGPD)</w:t>
      </w:r>
    </w:p>
    <w:p>
      <w:r>
        <w:t>#### Bouton « ⬇ Exporter les données »</w:t>
      </w:r>
    </w:p>
    <w:p>
      <w:r>
        <w:t xml:space="preserve">Présent sur la fiche client. Génère un ZIP nommé </w:t>
      </w:r>
      <w:r>
        <w:rPr>
          <w:rFonts w:ascii="Consolas" w:hAnsi="Consolas"/>
          <w:sz w:val="18"/>
        </w:rPr>
        <w:t>export-&lt;slug-client&gt;-&lt;YYYY-MM-DD&gt;.zip</w:t>
      </w:r>
      <w:r>
        <w:t xml:space="preserve"> contenant :</w:t>
      </w:r>
    </w:p>
    <w:p>
      <w:pPr>
        <w:shd w:val="clear" w:fill="F1F3F6"/>
      </w:pPr>
      <w:r>
        <w:rPr>
          <w:rFonts w:ascii="Consolas" w:hAnsi="Consolas"/>
          <w:sz w:val="17"/>
        </w:rPr>
        <w:t>/data/</w:t>
        <w:br/>
        <w:t xml:space="preserve">  clients.csv         — toutes les colonnes de la fiche</w:t>
        <w:br/>
        <w:t xml:space="preserve">  contacts.csv        — interlocuteurs</w:t>
        <w:br/>
        <w:t xml:space="preserve">  opportunities.csv   — pipeline historique</w:t>
        <w:br/>
        <w:t xml:space="preserve">  commercial_docs.csv — devis, commandes, BL, factures</w:t>
        <w:br/>
        <w:t xml:space="preserve">  contracts.csv       — contrats signés ou expirés</w:t>
        <w:br/>
        <w:t xml:space="preserve">  tickets.csv         — tickets clos et ouverts</w:t>
        <w:br/>
        <w:t xml:space="preserve">  actions.csv         — tâches commerciales historiques</w:t>
        <w:br/>
        <w:t xml:space="preserve">  projects.csv        — projets livrables</w:t>
        <w:br/>
        <w:t xml:space="preserve">  invoices.csv        — facturation détaillée</w:t>
        <w:br/>
        <w:t xml:space="preserve">  payments.csv        — historique des règlements</w:t>
        <w:br/>
        <w:br/>
        <w:t>/files/</w:t>
        <w:br/>
        <w:t xml:space="preserve">  contracts/          — PDF des contrats signés</w:t>
        <w:br/>
        <w:t xml:space="preserve">  invoices/           — PDF des factures</w:t>
        <w:br/>
        <w:t xml:space="preserve">  attachments/        — pièces jointes diverses</w:t>
        <w:br/>
        <w:br/>
        <w:t>data_complete.json    — dump JSON structuré (équivalent CSV mais navigable)</w:t>
        <w:br/>
        <w:t>manifest.json         — versions des schémas, checksums SHA-256, horodatage</w:t>
        <w:br/>
        <w:t>README.md             — schéma des données + exemple d'import</w:t>
      </w:r>
    </w:p>
    <w:p>
      <w:r>
        <w:rPr>
          <w:b/>
        </w:rPr>
        <w:t>Format CSV</w:t>
      </w:r>
      <w:r>
        <w:t xml:space="preserve"> : UTF-8 BOM, séparateur point-virgule (</w:t>
      </w:r>
      <w:r>
        <w:rPr>
          <w:rFonts w:ascii="Consolas" w:hAnsi="Consolas"/>
          <w:sz w:val="18"/>
        </w:rPr>
        <w:t>;</w:t>
      </w:r>
      <w:r>
        <w:t>), guillemets doubles d'échappement.</w:t>
      </w:r>
    </w:p>
    <w:p>
      <w:r>
        <w:rPr>
          <w:b/>
        </w:rPr>
        <w:t>Conformité RGPD article 20</w:t>
      </w:r>
      <w:r>
        <w:t xml:space="preserve"> : structuré, couramment utilisé, lisible par machine.</w:t>
      </w:r>
    </w:p>
    <w:p>
      <w:pPr>
        <w:pStyle w:val="Heading3"/>
      </w:pPr>
      <w:r>
        <w:rPr>
          <w:color w:val="3730A3"/>
          <w:sz w:val="24"/>
        </w:rPr>
        <w:t>6.4 Procédure de réversibilité (fin de contrat)</w:t>
      </w:r>
    </w:p>
    <w:p>
      <w:r>
        <w:t xml:space="preserve">1. </w:t>
      </w:r>
      <w:r>
        <w:rPr>
          <w:b/>
        </w:rPr>
        <w:t>Préavis</w:t>
      </w:r>
      <w:r>
        <w:t xml:space="preserve"> : 90 jours avant fin de contrat</w:t>
      </w:r>
    </w:p>
    <w:p>
      <w:r>
        <w:t xml:space="preserve">2. </w:t>
      </w:r>
      <w:r>
        <w:rPr>
          <w:b/>
        </w:rPr>
        <w:t>J+30</w:t>
      </w:r>
      <w:r>
        <w:t xml:space="preserve"> : export ZIP automatique mis à disposition par ASTORYA</w:t>
      </w:r>
    </w:p>
    <w:p>
      <w:r>
        <w:t xml:space="preserve">3. </w:t>
      </w:r>
      <w:r>
        <w:rPr>
          <w:b/>
        </w:rPr>
        <w:t>J+60</w:t>
      </w:r>
      <w:r>
        <w:t xml:space="preserve"> : suppression complète des données du Client de tous les systèmes ASTORYA</w:t>
      </w:r>
    </w:p>
    <w:p>
      <w:r>
        <w:t xml:space="preserve">4. </w:t>
      </w:r>
      <w:r>
        <w:rPr>
          <w:b/>
        </w:rPr>
        <w:t>J+90</w:t>
      </w:r>
      <w:r>
        <w:t xml:space="preserve"> : certificat de destruction émis et envoyé au Client</w:t>
      </w:r>
    </w:p>
    <w:p>
      <w:r>
        <w:t>Aucune donnée n'est conservée au-delà de J+90, sauf obligation légale (factures 10 ans).</w:t>
      </w:r>
    </w:p>
    <w:p>
      <w:pPr>
        <w:pStyle w:val="Heading3"/>
      </w:pPr>
      <w:r>
        <w:rPr>
          <w:color w:val="3730A3"/>
          <w:sz w:val="24"/>
        </w:rPr>
        <w:t>6.5 Procédure post-incident</w:t>
      </w:r>
    </w:p>
    <w:p>
      <w:r>
        <w:t>Niveaux de gravité et délais d'engagement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Niveau</w:t>
            </w:r>
          </w:p>
        </w:tc>
        <w:tc>
          <w:tcPr>
            <w:tcW w:type="dxa" w:w="2493"/>
            <w:shd w:val="clear" w:color="auto" w:fill="EEF2FF"/>
          </w:tcPr>
          <w:p>
            <w:r>
              <w:rPr>
                <w:b/>
                <w:color w:val="1F2942"/>
                <w:sz w:val="18"/>
              </w:rPr>
              <w:t>Définition</w:t>
            </w:r>
          </w:p>
        </w:tc>
        <w:tc>
          <w:tcPr>
            <w:tcW w:type="dxa" w:w="2493"/>
            <w:shd w:val="clear" w:color="auto" w:fill="EEF2FF"/>
          </w:tcPr>
          <w:p>
            <w:r>
              <w:rPr>
                <w:b/>
                <w:color w:val="1F2942"/>
                <w:sz w:val="18"/>
              </w:rPr>
              <w:t>Délai diagnostic</w:t>
            </w:r>
          </w:p>
        </w:tc>
        <w:tc>
          <w:tcPr>
            <w:tcW w:type="dxa" w:w="2493"/>
            <w:shd w:val="clear" w:color="auto" w:fill="EEF2FF"/>
          </w:tcPr>
          <w:p>
            <w:r>
              <w:rPr>
                <w:b/>
                <w:color w:val="1F2942"/>
                <w:sz w:val="18"/>
              </w:rPr>
              <w:t>Délai restauration</w:t>
            </w:r>
          </w:p>
        </w:tc>
      </w:tr>
      <w:tr>
        <w:tc>
          <w:tcPr>
            <w:tcW w:type="dxa" w:w="2493"/>
          </w:tcPr>
          <w:p>
            <w:r>
              <w:rPr>
                <w:sz w:val="18"/>
              </w:rPr>
              <w:t>Mineur</w:t>
            </w:r>
          </w:p>
        </w:tc>
        <w:tc>
          <w:tcPr>
            <w:tcW w:type="dxa" w:w="2493"/>
          </w:tcPr>
          <w:p>
            <w:r>
              <w:rPr>
                <w:sz w:val="18"/>
              </w:rPr>
              <w:t>Bug fonctionnel sans perte de données</w:t>
            </w:r>
          </w:p>
        </w:tc>
        <w:tc>
          <w:tcPr>
            <w:tcW w:type="dxa" w:w="2493"/>
          </w:tcPr>
          <w:p>
            <w:r>
              <w:rPr>
                <w:sz w:val="18"/>
              </w:rPr>
              <w:t>4h</w:t>
            </w:r>
          </w:p>
        </w:tc>
        <w:tc>
          <w:tcPr>
            <w:tcW w:type="dxa" w:w="2493"/>
          </w:tcPr>
          <w:p>
            <w:r>
              <w:rPr>
                <w:sz w:val="18"/>
              </w:rPr>
              <w:t>J+1</w:t>
            </w:r>
          </w:p>
        </w:tc>
      </w:tr>
      <w:tr>
        <w:tc>
          <w:tcPr>
            <w:tcW w:type="dxa" w:w="2493"/>
          </w:tcPr>
          <w:p>
            <w:r>
              <w:rPr>
                <w:sz w:val="18"/>
              </w:rPr>
              <w:t>Majeur</w:t>
            </w:r>
          </w:p>
        </w:tc>
        <w:tc>
          <w:tcPr>
            <w:tcW w:type="dxa" w:w="2493"/>
          </w:tcPr>
          <w:p>
            <w:r>
              <w:rPr>
                <w:sz w:val="18"/>
              </w:rPr>
              <w:t>Perte partielle, dégradation service</w:t>
            </w:r>
          </w:p>
        </w:tc>
        <w:tc>
          <w:tcPr>
            <w:tcW w:type="dxa" w:w="2493"/>
          </w:tcPr>
          <w:p>
            <w:r>
              <w:rPr>
                <w:sz w:val="18"/>
              </w:rPr>
              <w:t>2h</w:t>
            </w:r>
          </w:p>
        </w:tc>
        <w:tc>
          <w:tcPr>
            <w:tcW w:type="dxa" w:w="2493"/>
          </w:tcPr>
          <w:p>
            <w:r>
              <w:rPr>
                <w:sz w:val="18"/>
              </w:rPr>
              <w:t>J+0 (4h)</w:t>
            </w:r>
          </w:p>
        </w:tc>
      </w:tr>
      <w:tr>
        <w:tc>
          <w:tcPr>
            <w:tcW w:type="dxa" w:w="2493"/>
          </w:tcPr>
          <w:p>
            <w:r>
              <w:rPr>
                <w:sz w:val="18"/>
              </w:rPr>
              <w:t>Critique</w:t>
            </w:r>
          </w:p>
        </w:tc>
        <w:tc>
          <w:tcPr>
            <w:tcW w:type="dxa" w:w="2493"/>
          </w:tcPr>
          <w:p>
            <w:r>
              <w:rPr>
                <w:sz w:val="18"/>
              </w:rPr>
              <w:t>Perte totale ou indisponibilité prolongée</w:t>
            </w:r>
          </w:p>
        </w:tc>
        <w:tc>
          <w:tcPr>
            <w:tcW w:type="dxa" w:w="2493"/>
          </w:tcPr>
          <w:p>
            <w:r>
              <w:rPr>
                <w:sz w:val="18"/>
              </w:rPr>
              <w:t>1h</w:t>
            </w:r>
          </w:p>
        </w:tc>
        <w:tc>
          <w:tcPr>
            <w:tcW w:type="dxa" w:w="2493"/>
          </w:tcPr>
          <w:p>
            <w:r>
              <w:rPr>
                <w:sz w:val="18"/>
              </w:rPr>
              <w:t>J+0 (2h) PITR / J+2 air-gap</w:t>
            </w:r>
          </w:p>
        </w:tc>
      </w:tr>
      <w:tr>
        <w:tc>
          <w:tcPr>
            <w:tcW w:type="dxa" w:w="2493"/>
          </w:tcPr>
          <w:p>
            <w:r>
              <w:rPr>
                <w:sz w:val="18"/>
              </w:rPr>
              <w:t>Catastrophique</w:t>
            </w:r>
          </w:p>
        </w:tc>
        <w:tc>
          <w:tcPr>
            <w:tcW w:type="dxa" w:w="2493"/>
          </w:tcPr>
          <w:p>
            <w:r>
              <w:rPr>
                <w:sz w:val="18"/>
              </w:rPr>
              <w:t>Datacenter détruit, corruption massive</w:t>
            </w:r>
          </w:p>
        </w:tc>
        <w:tc>
          <w:tcPr>
            <w:tcW w:type="dxa" w:w="2493"/>
          </w:tcPr>
          <w:p>
            <w:r>
              <w:rPr>
                <w:sz w:val="18"/>
              </w:rPr>
              <w:t>30 min</w:t>
            </w:r>
          </w:p>
        </w:tc>
        <w:tc>
          <w:tcPr>
            <w:tcW w:type="dxa" w:w="2493"/>
          </w:tcPr>
          <w:p>
            <w:r>
              <w:rPr>
                <w:sz w:val="18"/>
              </w:rPr>
              <w:t>J+1 à J+5 (air-gap + reconstruction)</w:t>
            </w:r>
          </w:p>
        </w:tc>
      </w:tr>
    </w:tbl>
    <w:p/>
    <w:p>
      <w:pPr>
        <w:spacing w:before="80"/>
        <w:pBdr>
          <w:bottom w:val="single" w:sz="6" w:color="C0C7D2"/>
        </w:pBdr>
      </w:pPr>
    </w:p>
    <w:p>
      <w:pPr>
        <w:pStyle w:val="Heading1"/>
      </w:pPr>
      <w:r>
        <w:rPr>
          <w:color w:val="1F2942"/>
          <w:sz w:val="36"/>
        </w:rPr>
        <w:t>PARTIE II — MODULES MÉTIER</w:t>
      </w:r>
    </w:p>
    <w:p>
      <w:pPr>
        <w:pStyle w:val="Heading2"/>
      </w:pPr>
      <w:r>
        <w:rPr>
          <w:color w:val="1F2942"/>
          <w:sz w:val="28"/>
        </w:rPr>
        <w:t>7. PAGE D'ACCUEIL ET NAVIGATION</w:t>
      </w:r>
    </w:p>
    <w:p>
      <w:pPr>
        <w:pStyle w:val="Heading3"/>
      </w:pPr>
      <w:r>
        <w:rPr>
          <w:color w:val="3730A3"/>
          <w:sz w:val="24"/>
        </w:rPr>
        <w:t>7.1 Page d'accueil ERP</w:t>
      </w:r>
    </w:p>
    <w:p>
      <w:r>
        <w:rPr>
          <w:b/>
        </w:rPr>
        <w:t>Route</w:t>
      </w:r>
      <w:r>
        <w:t xml:space="preserve"> : </w:t>
      </w:r>
      <w:r>
        <w:rPr>
          <w:rFonts w:ascii="Consolas" w:hAnsi="Consolas"/>
          <w:sz w:val="18"/>
        </w:rPr>
        <w:t>/accueil-simple</w:t>
      </w:r>
      <w:r>
        <w:t xml:space="preserve"> (ou </w:t>
      </w:r>
      <w:r>
        <w:rPr>
          <w:rFonts w:ascii="Consolas" w:hAnsi="Consolas"/>
          <w:sz w:val="18"/>
        </w:rPr>
        <w:t>/</w:t>
      </w:r>
      <w:r>
        <w:t>)</w:t>
      </w:r>
    </w:p>
    <w:p>
      <w:r>
        <w:t>#### Composition</w:t>
      </w:r>
    </w:p>
    <w:p>
      <w:r>
        <w:t xml:space="preserve">1. </w:t>
      </w:r>
      <w:r>
        <w:rPr>
          <w:b/>
        </w:rPr>
        <w:t>Bandeau de bienvenue personnalisé</w:t>
      </w:r>
      <w:r>
        <w:t xml:space="preserve"> avec nom utilisateur + date du jour</w:t>
      </w:r>
    </w:p>
    <w:p>
      <w:r>
        <w:t xml:space="preserve">2. </w:t>
      </w:r>
      <w:r>
        <w:rPr>
          <w:b/>
        </w:rPr>
        <w:t>KPI strip</w:t>
      </w:r>
      <w:r>
        <w:t xml:space="preserve"> : pipeline total, pondéré, signées, total opportunités</w:t>
      </w:r>
    </w:p>
    <w:p>
      <w:r>
        <w:t xml:space="preserve">3. </w:t>
      </w:r>
      <w:r>
        <w:rPr>
          <w:b/>
        </w:rPr>
        <w:t>Grille de tuiles modules</w:t>
      </w:r>
      <w:r>
        <w:t xml:space="preserve"> : 12 tuiles cliquables vers chaque module</w:t>
      </w:r>
    </w:p>
    <w:p>
      <w:r>
        <w:t xml:space="preserve">4. </w:t>
      </w:r>
      <w:r>
        <w:rPr>
          <w:b/>
        </w:rPr>
        <w:t>Tuiles à KPI réels</w:t>
      </w:r>
      <w:r>
        <w:t xml:space="preserve"> : CRM (depuis </w:t>
      </w:r>
      <w:r>
        <w:rPr>
          <w:rFonts w:ascii="Consolas" w:hAnsi="Consolas"/>
          <w:sz w:val="18"/>
        </w:rPr>
        <w:t>opportunities</w:t>
      </w:r>
      <w:r>
        <w:t xml:space="preserve">), Devis &amp; Factures (depuis </w:t>
      </w:r>
      <w:r>
        <w:rPr>
          <w:rFonts w:ascii="Consolas" w:hAnsi="Consolas"/>
          <w:sz w:val="18"/>
        </w:rPr>
        <w:t>commercial_docs</w:t>
      </w:r>
      <w:r>
        <w:t xml:space="preserve">), Temps &amp; Activités (depuis </w:t>
      </w:r>
      <w:r>
        <w:rPr>
          <w:rFonts w:ascii="Consolas" w:hAnsi="Consolas"/>
          <w:sz w:val="18"/>
        </w:rPr>
        <w:t>time_entries</w:t>
      </w:r>
      <w:r>
        <w:t>)</w:t>
      </w:r>
    </w:p>
    <w:p>
      <w:r>
        <w:t xml:space="preserve">5. </w:t>
      </w:r>
      <w:r>
        <w:rPr>
          <w:b/>
        </w:rPr>
        <w:t>Tuiles placeholders</w:t>
      </w:r>
      <w:r>
        <w:t xml:space="preserve"> : Marketing, Support, Projets fournisseur, Compta, Trésorerie, RH, Rapports, Administration (KPI à 0 ou « — » par défaut)</w:t>
      </w:r>
    </w:p>
    <w:p>
      <w:r>
        <w:t>#### Personnalisation</w:t>
      </w:r>
    </w:p>
    <w:p>
      <w:pPr>
        <w:pStyle w:val="ListBullet"/>
      </w:pPr>
      <w:r>
        <w:t>Réorganisation drag-and-drop des tuiles (préférence par utilisateur, persistée localStorage)</w:t>
      </w:r>
    </w:p>
    <w:p>
      <w:pPr>
        <w:pStyle w:val="ListBullet"/>
      </w:pPr>
      <w:r>
        <w:t>Masquage de tuiles non utilisées</w:t>
      </w:r>
    </w:p>
    <w:p>
      <w:pPr>
        <w:pStyle w:val="ListBullet"/>
      </w:pPr>
      <w:r>
        <w:t>Choix du thème (clair par défaut, sombre disponible)</w:t>
      </w:r>
    </w:p>
    <w:p>
      <w:pPr>
        <w:pStyle w:val="Heading3"/>
      </w:pPr>
      <w:r>
        <w:rPr>
          <w:color w:val="3730A3"/>
          <w:sz w:val="24"/>
        </w:rPr>
        <w:t>7.2 Navigation latérale</w:t>
      </w:r>
    </w:p>
    <w:p>
      <w:r>
        <w:t>Sidebar persistante affichant :</w:t>
      </w:r>
    </w:p>
    <w:p>
      <w:pPr>
        <w:pStyle w:val="ListBullet"/>
      </w:pPr>
      <w:r>
        <w:t>Logo Hub Astorya en haut</w:t>
      </w:r>
    </w:p>
    <w:p>
      <w:pPr>
        <w:pStyle w:val="ListBullet"/>
      </w:pPr>
      <w:r>
        <w:t>12 modules avec icône + libellé</w:t>
      </w:r>
    </w:p>
    <w:p>
      <w:pPr>
        <w:pStyle w:val="ListBullet"/>
      </w:pPr>
      <w:r>
        <w:t>Recherche globale (Ctrl+K ou cliquer)</w:t>
      </w:r>
    </w:p>
    <w:p>
      <w:pPr>
        <w:pStyle w:val="ListBullet"/>
      </w:pPr>
      <w:r>
        <w:t>Indicateur de présence (point vert si connecté)</w:t>
      </w:r>
    </w:p>
    <w:p>
      <w:pPr>
        <w:pStyle w:val="ListBullet"/>
      </w:pPr>
      <w:r>
        <w:t>Menu utilisateur (en bas) : profil, paramètres, déconnexion</w:t>
      </w:r>
    </w:p>
    <w:p>
      <w:pPr>
        <w:pStyle w:val="Heading3"/>
      </w:pPr>
      <w:r>
        <w:rPr>
          <w:color w:val="3730A3"/>
          <w:sz w:val="24"/>
        </w:rPr>
        <w:t>7.3 Recherche globale (Ctrl+K)</w:t>
      </w:r>
    </w:p>
    <w:p>
      <w:r>
        <w:t>Recherche transversale dans :</w:t>
      </w:r>
    </w:p>
    <w:p>
      <w:pPr>
        <w:pStyle w:val="ListBullet"/>
      </w:pPr>
      <w:r>
        <w:t>Clients (raison sociale, SIREN)</w:t>
      </w:r>
    </w:p>
    <w:p>
      <w:pPr>
        <w:pStyle w:val="ListBullet"/>
      </w:pPr>
      <w:r>
        <w:t>Contacts (nom, prénom, email)</w:t>
      </w:r>
    </w:p>
    <w:p>
      <w:pPr>
        <w:pStyle w:val="ListBullet"/>
      </w:pPr>
      <w:r>
        <w:t>Opportunités (référence, nom)</w:t>
      </w:r>
    </w:p>
    <w:p>
      <w:pPr>
        <w:pStyle w:val="ListBullet"/>
      </w:pPr>
      <w:r>
        <w:t>Documents commerciaux (référence, libellé)</w:t>
      </w:r>
    </w:p>
    <w:p>
      <w:pPr>
        <w:pStyle w:val="ListBullet"/>
      </w:pPr>
      <w:r>
        <w:t>Tickets (référence, sujet)</w:t>
      </w:r>
    </w:p>
    <w:p>
      <w:pPr>
        <w:pStyle w:val="ListBullet"/>
      </w:pPr>
      <w:r>
        <w:t>Projets (référence, nom)</w:t>
      </w:r>
    </w:p>
    <w:p>
      <w:r>
        <w:t>Résultats catégorisés, navigation au clavier (flèches + entrée).</w:t>
      </w:r>
    </w:p>
    <w:p>
      <w:pPr>
        <w:pStyle w:val="Heading3"/>
      </w:pPr>
      <w:r>
        <w:rPr>
          <w:color w:val="3730A3"/>
          <w:sz w:val="24"/>
        </w:rPr>
        <w:t>7.4 Notifications</w:t>
      </w:r>
    </w:p>
    <w:p>
      <w:r>
        <w:t>#### Pop-up hotline</w:t>
      </w:r>
    </w:p>
    <w:p>
      <w:pPr>
        <w:pStyle w:val="ListBullet"/>
      </w:pPr>
      <w:r>
        <w:t>Apparaît automatiquement sur un ticket P1 entrant</w:t>
      </w:r>
    </w:p>
    <w:p>
      <w:pPr>
        <w:pStyle w:val="ListBullet"/>
      </w:pPr>
      <w:r>
        <w:t>Son d'alerte (modifiable dans préférences)</w:t>
      </w:r>
    </w:p>
    <w:p>
      <w:pPr>
        <w:pStyle w:val="ListBullet"/>
      </w:pPr>
      <w:r>
        <w:t>Acquittement obligatoire (clic pour confirmer)</w:t>
      </w:r>
    </w:p>
    <w:p>
      <w:r>
        <w:t>#### Toasts</w:t>
      </w:r>
    </w:p>
    <w:p>
      <w:pPr>
        <w:pStyle w:val="ListBullet"/>
      </w:pPr>
      <w:r>
        <w:t>En haut à droite, 3 secondes d'affichage par défaut</w:t>
      </w:r>
    </w:p>
    <w:p>
      <w:pPr>
        <w:pStyle w:val="ListBullet"/>
      </w:pPr>
      <w:r>
        <w:t>Couleurs : vert (succès), rouge (erreur), orange (warning), bleu (info)</w:t>
      </w:r>
    </w:p>
    <w:p>
      <w:pPr>
        <w:pStyle w:val="ListBullet"/>
      </w:pPr>
      <w:r>
        <w:t>Cliquable pour réafficher</w:t>
      </w:r>
    </w:p>
    <w:p>
      <w:r>
        <w:t>#### Centre de notifications (à venir)</w:t>
      </w:r>
    </w:p>
    <w:p>
      <w:pPr>
        <w:pStyle w:val="ListBullet"/>
      </w:pPr>
      <w:r>
        <w:t>Historique des 30 derniers événements</w:t>
      </w:r>
    </w:p>
    <w:p>
      <w:pPr>
        <w:pStyle w:val="ListBullet"/>
      </w:pPr>
      <w:r>
        <w:t>Filtrage par type</w:t>
      </w:r>
    </w:p>
    <w:p>
      <w:pPr>
        <w:pStyle w:val="ListBullet"/>
      </w:pPr>
      <w:r>
        <w:t>Marquage comme lu</w:t>
      </w:r>
    </w:p>
    <w:p>
      <w:pPr>
        <w:spacing w:before="80"/>
        <w:pBdr>
          <w:bottom w:val="single" w:sz="6" w:color="C0C7D2"/>
        </w:pBdr>
      </w:pPr>
    </w:p>
    <w:p>
      <w:pPr>
        <w:pStyle w:val="Heading2"/>
      </w:pPr>
      <w:r>
        <w:rPr>
          <w:color w:val="1F2942"/>
          <w:sz w:val="28"/>
        </w:rPr>
        <w:t>8. CRM — PIPELINE COMMERCIAL</w:t>
      </w:r>
    </w:p>
    <w:p>
      <w:pPr>
        <w:pStyle w:val="Heading3"/>
      </w:pPr>
      <w:r>
        <w:rPr>
          <w:color w:val="3730A3"/>
          <w:sz w:val="24"/>
        </w:rPr>
        <w:t>8.1 Vue d'ensemble</w:t>
      </w:r>
    </w:p>
    <w:p>
      <w:r>
        <w:rPr>
          <w:b/>
        </w:rPr>
        <w:t>Route</w:t>
      </w:r>
      <w:r>
        <w:t xml:space="preserve"> : </w:t>
      </w:r>
      <w:r>
        <w:rPr>
          <w:rFonts w:ascii="Consolas" w:hAnsi="Consolas"/>
          <w:sz w:val="18"/>
        </w:rPr>
        <w:t>/crm</w:t>
      </w:r>
    </w:p>
    <w:p>
      <w:r>
        <w:t>Le module CRM est le cœur opérationnel du Hub. Il regroupe :</w:t>
      </w:r>
    </w:p>
    <w:p>
      <w:pPr>
        <w:pStyle w:val="ListBullet"/>
      </w:pPr>
      <w:r>
        <w:t xml:space="preserve">Le </w:t>
      </w:r>
      <w:r>
        <w:rPr>
          <w:b/>
        </w:rPr>
        <w:t>pipeline commercial</w:t>
      </w:r>
      <w:r>
        <w:t xml:space="preserve"> (kanban / liste / planning)</w:t>
      </w:r>
    </w:p>
    <w:p>
      <w:pPr>
        <w:pStyle w:val="ListBullet"/>
      </w:pPr>
      <w:r>
        <w:t xml:space="preserve">La gestion des </w:t>
      </w:r>
      <w:r>
        <w:rPr>
          <w:b/>
        </w:rPr>
        <w:t>prospects</w:t>
      </w:r>
      <w:r>
        <w:t xml:space="preserve"> et </w:t>
      </w:r>
      <w:r>
        <w:rPr>
          <w:b/>
        </w:rPr>
        <w:t>clients</w:t>
      </w:r>
    </w:p>
    <w:p>
      <w:pPr>
        <w:pStyle w:val="ListBullet"/>
      </w:pPr>
      <w:r>
        <w:t xml:space="preserve">Les </w:t>
      </w:r>
      <w:r>
        <w:rPr>
          <w:b/>
        </w:rPr>
        <w:t>actions à mener</w:t>
      </w:r>
      <w:r>
        <w:t xml:space="preserve"> (tâches commerciales priorisées)</w:t>
      </w:r>
    </w:p>
    <w:p>
      <w:pPr>
        <w:pStyle w:val="ListBullet"/>
      </w:pPr>
      <w:r>
        <w:t xml:space="preserve">La </w:t>
      </w:r>
      <w:r>
        <w:rPr>
          <w:b/>
        </w:rPr>
        <w:t>liste consolidée</w:t>
      </w:r>
      <w:r>
        <w:t xml:space="preserve"> comptes + contacts</w:t>
      </w:r>
    </w:p>
    <w:p>
      <w:pPr>
        <w:pStyle w:val="Heading3"/>
      </w:pPr>
      <w:r>
        <w:rPr>
          <w:color w:val="3730A3"/>
          <w:sz w:val="24"/>
        </w:rPr>
        <w:t>8.2 KPI strip</w:t>
      </w:r>
    </w:p>
    <w:p>
      <w:r>
        <w:t>Quatre indicateurs affichés en bandeau supérieur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KPI</w:t>
            </w:r>
          </w:p>
        </w:tc>
        <w:tc>
          <w:tcPr>
            <w:tcW w:type="dxa" w:w="3324"/>
            <w:shd w:val="clear" w:color="auto" w:fill="EEF2FF"/>
          </w:tcPr>
          <w:p>
            <w:r>
              <w:rPr>
                <w:b/>
                <w:color w:val="1F2942"/>
                <w:sz w:val="18"/>
              </w:rPr>
              <w:t>Calcul</w:t>
            </w:r>
          </w:p>
        </w:tc>
        <w:tc>
          <w:tcPr>
            <w:tcW w:type="dxa" w:w="3324"/>
            <w:shd w:val="clear" w:color="auto" w:fill="EEF2FF"/>
          </w:tcPr>
          <w:p>
            <w:r>
              <w:rPr>
                <w:b/>
                <w:color w:val="1F2942"/>
                <w:sz w:val="18"/>
              </w:rPr>
              <w:t>Couleur</w:t>
            </w:r>
          </w:p>
        </w:tc>
      </w:tr>
      <w:tr>
        <w:tc>
          <w:tcPr>
            <w:tcW w:type="dxa" w:w="3324"/>
          </w:tcPr>
          <w:p>
            <w:r>
              <w:rPr>
                <w:sz w:val="18"/>
              </w:rPr>
              <w:t>Pipeline total</w:t>
            </w:r>
          </w:p>
        </w:tc>
        <w:tc>
          <w:tcPr>
            <w:tcW w:type="dxa" w:w="3324"/>
          </w:tcPr>
          <w:p>
            <w:r>
              <w:rPr>
                <w:sz w:val="18"/>
              </w:rPr>
              <w:t xml:space="preserve">Somme </w:t>
            </w:r>
            <w:r>
              <w:rPr>
                <w:rFonts w:ascii="Consolas" w:hAnsi="Consolas"/>
                <w:sz w:val="18"/>
              </w:rPr>
              <w:t>amount_eur</w:t>
            </w:r>
            <w:r>
              <w:rPr>
                <w:sz w:val="18"/>
              </w:rPr>
              <w:t xml:space="preserve"> des opps actives</w:t>
            </w:r>
          </w:p>
        </w:tc>
        <w:tc>
          <w:tcPr>
            <w:tcW w:type="dxa" w:w="3324"/>
          </w:tcPr>
          <w:p>
            <w:r>
              <w:rPr>
                <w:sz w:val="18"/>
              </w:rPr>
              <w:t>Bleu indigo</w:t>
            </w:r>
          </w:p>
        </w:tc>
      </w:tr>
      <w:tr>
        <w:tc>
          <w:tcPr>
            <w:tcW w:type="dxa" w:w="3324"/>
          </w:tcPr>
          <w:p>
            <w:r>
              <w:rPr>
                <w:sz w:val="18"/>
              </w:rPr>
              <w:t>Pondéré (probabilité)</w:t>
            </w:r>
          </w:p>
        </w:tc>
        <w:tc>
          <w:tcPr>
            <w:tcW w:type="dxa" w:w="3324"/>
          </w:tcPr>
          <w:p>
            <w:r>
              <w:rPr>
                <w:sz w:val="18"/>
              </w:rPr>
              <w:t xml:space="preserve">Somme </w:t>
            </w:r>
            <w:r>
              <w:rPr>
                <w:rFonts w:ascii="Consolas" w:hAnsi="Consolas"/>
                <w:sz w:val="18"/>
              </w:rPr>
              <w:t>amount_eur × proba</w:t>
            </w:r>
            <w:r>
              <w:rPr>
                <w:sz w:val="18"/>
              </w:rPr>
              <w:t xml:space="preserve"> des opps actives</w:t>
            </w:r>
          </w:p>
        </w:tc>
        <w:tc>
          <w:tcPr>
            <w:tcW w:type="dxa" w:w="3324"/>
          </w:tcPr>
          <w:p>
            <w:r>
              <w:rPr>
                <w:sz w:val="18"/>
              </w:rPr>
              <w:t>Violet</w:t>
            </w:r>
          </w:p>
        </w:tc>
      </w:tr>
      <w:tr>
        <w:tc>
          <w:tcPr>
            <w:tcW w:type="dxa" w:w="3324"/>
          </w:tcPr>
          <w:p>
            <w:r>
              <w:rPr>
                <w:sz w:val="18"/>
              </w:rPr>
              <w:t>Signées</w:t>
            </w:r>
          </w:p>
        </w:tc>
        <w:tc>
          <w:tcPr>
            <w:tcW w:type="dxa" w:w="3324"/>
          </w:tcPr>
          <w:p>
            <w:r>
              <w:rPr>
                <w:sz w:val="18"/>
              </w:rPr>
              <w:t xml:space="preserve">Somme des opps en stage </w:t>
            </w:r>
            <w:r>
              <w:rPr>
                <w:rFonts w:ascii="Consolas" w:hAnsi="Consolas"/>
                <w:sz w:val="18"/>
              </w:rPr>
              <w:t>won</w:t>
            </w:r>
          </w:p>
        </w:tc>
        <w:tc>
          <w:tcPr>
            <w:tcW w:type="dxa" w:w="3324"/>
          </w:tcPr>
          <w:p>
            <w:r>
              <w:rPr>
                <w:sz w:val="18"/>
              </w:rPr>
              <w:t>Vert</w:t>
            </w:r>
          </w:p>
        </w:tc>
      </w:tr>
      <w:tr>
        <w:tc>
          <w:tcPr>
            <w:tcW w:type="dxa" w:w="3324"/>
          </w:tcPr>
          <w:p>
            <w:r>
              <w:rPr>
                <w:sz w:val="18"/>
              </w:rPr>
              <w:t>Total opportunités</w:t>
            </w:r>
          </w:p>
        </w:tc>
        <w:tc>
          <w:tcPr>
            <w:tcW w:type="dxa" w:w="3324"/>
          </w:tcPr>
          <w:p>
            <w:r>
              <w:rPr>
                <w:sz w:val="18"/>
              </w:rPr>
              <w:t xml:space="preserve">Count des opps (toutes étapes sauf </w:t>
            </w:r>
            <w:r>
              <w:rPr>
                <w:rFonts w:ascii="Consolas" w:hAnsi="Consolas"/>
                <w:sz w:val="18"/>
              </w:rPr>
              <w:t>lost</w:t>
            </w:r>
            <w:r>
              <w:rPr>
                <w:sz w:val="18"/>
              </w:rPr>
              <w:t>)</w:t>
            </w:r>
          </w:p>
        </w:tc>
        <w:tc>
          <w:tcPr>
            <w:tcW w:type="dxa" w:w="3324"/>
          </w:tcPr>
          <w:p>
            <w:r>
              <w:rPr>
                <w:sz w:val="18"/>
              </w:rPr>
              <w:t>Bleu</w:t>
            </w:r>
          </w:p>
        </w:tc>
      </w:tr>
    </w:tbl>
    <w:p/>
    <w:p>
      <w:r>
        <w:t>Mise à jour temps réel (Supabase Realtime).</w:t>
      </w:r>
    </w:p>
    <w:p>
      <w:pPr>
        <w:pStyle w:val="Heading3"/>
      </w:pPr>
      <w:r>
        <w:rPr>
          <w:color w:val="3730A3"/>
          <w:sz w:val="24"/>
        </w:rPr>
        <w:t>8.3 Toggle vue : Kanban / Liste / Planning</w:t>
      </w:r>
    </w:p>
    <w:p>
      <w:r>
        <w:t>#### Vue Kanban (par défaut)</w:t>
      </w:r>
    </w:p>
    <w:p>
      <w:pPr>
        <w:pStyle w:val="ListBullet"/>
      </w:pPr>
      <w:r>
        <w:t>5 colonnes SPANCO : Prospect, Approche, Négociation, Conclusion, Ordre</w:t>
      </w:r>
    </w:p>
    <w:p>
      <w:pPr>
        <w:pStyle w:val="ListBullet"/>
      </w:pPr>
      <w:r>
        <w:t>Drag-and-drop entre colonnes (avec confirmation modale)</w:t>
      </w:r>
    </w:p>
    <w:p>
      <w:pPr>
        <w:pStyle w:val="ListBullet"/>
      </w:pPr>
      <w:r>
        <w:t>Bouton ⇣ par colonne pour déployer (≈ 2 cartes visibles par défaut)</w:t>
      </w:r>
    </w:p>
    <w:p>
      <w:pPr>
        <w:pStyle w:val="ListBullet"/>
      </w:pPr>
      <w:r>
        <w:t>Ascenseur vertical interne dans chaque colonne</w:t>
      </w:r>
    </w:p>
    <w:p>
      <w:pPr>
        <w:pStyle w:val="ListBullet"/>
      </w:pPr>
      <w:r>
        <w:t>Persistance des préférences en localStorage</w:t>
      </w:r>
    </w:p>
    <w:p>
      <w:r>
        <w:t>#### Vue Liste</w:t>
      </w:r>
    </w:p>
    <w:p>
      <w:pPr>
        <w:pStyle w:val="ListBullet"/>
      </w:pPr>
      <w:r>
        <w:t>8 colonnes : Opportunité, Client, Stage, Montant, Probabilité, Owner, Date de décision potentielle, Échéance contrat concurrent</w:t>
      </w:r>
    </w:p>
    <w:p>
      <w:pPr>
        <w:pStyle w:val="ListBullet"/>
      </w:pPr>
      <w:r>
        <w:t>Tri par stage puis montant décroissant</w:t>
      </w:r>
    </w:p>
    <w:p>
      <w:pPr>
        <w:pStyle w:val="ListBullet"/>
      </w:pPr>
      <w:r>
        <w:t>Code couleur d'urgence sur les échéances :</w:t>
      </w:r>
    </w:p>
    <w:p>
      <w:pPr>
        <w:pStyle w:val="ListBullet"/>
      </w:pPr>
      <w:r>
        <w:t>🔴 Rouge : en retard</w:t>
      </w:r>
    </w:p>
    <w:p>
      <w:pPr>
        <w:pStyle w:val="ListBullet"/>
      </w:pPr>
      <w:r>
        <w:t>🟠 Orange : J-7 (badge J-N)</w:t>
      </w:r>
    </w:p>
    <w:p>
      <w:pPr>
        <w:pStyle w:val="ListBullet"/>
      </w:pPr>
      <w:r>
        <w:t>🟡 Jaune : J-30</w:t>
      </w:r>
    </w:p>
    <w:p>
      <w:pPr>
        <w:pStyle w:val="ListBullet"/>
      </w:pPr>
      <w:r>
        <w:t>⚪ Gris : &gt; 30 jours</w:t>
      </w:r>
    </w:p>
    <w:p>
      <w:pPr>
        <w:pStyle w:val="ListBullet"/>
      </w:pPr>
      <w:r>
        <w:t>Cellule vide quand date non renseignée (plus de « — »)</w:t>
      </w:r>
    </w:p>
    <w:p>
      <w:pPr>
        <w:pStyle w:val="ListBullet"/>
      </w:pPr>
      <w:r>
        <w:t xml:space="preserve">Clic sur ligne → ouvre </w:t>
      </w:r>
      <w:r>
        <w:rPr>
          <w:rFonts w:ascii="Consolas" w:hAnsi="Consolas"/>
          <w:sz w:val="18"/>
        </w:rPr>
        <w:t>/avancer-opportunite</w:t>
      </w:r>
    </w:p>
    <w:p>
      <w:r>
        <w:t xml:space="preserve">#### Vue Planning (page séparée </w:t>
      </w:r>
      <w:r>
        <w:rPr>
          <w:rFonts w:ascii="Consolas" w:hAnsi="Consolas"/>
          <w:sz w:val="18"/>
        </w:rPr>
        <w:t>/planning-commercial</w:t>
      </w:r>
      <w:r>
        <w:t>)</w:t>
      </w:r>
    </w:p>
    <w:p>
      <w:pPr>
        <w:pStyle w:val="ListBullet"/>
      </w:pPr>
      <w:r>
        <w:t>Calendrier mensuel style Outlook</w:t>
      </w:r>
    </w:p>
    <w:p>
      <w:pPr>
        <w:pStyle w:val="ListBullet"/>
      </w:pPr>
      <w:r>
        <w:t>Grille 7 colonnes Lundi → Dimanche</w:t>
      </w:r>
    </w:p>
    <w:p>
      <w:pPr>
        <w:pStyle w:val="ListBullet"/>
      </w:pPr>
      <w:r>
        <w:t xml:space="preserve">Navigation </w:t>
      </w:r>
      <w:r>
        <w:rPr>
          <w:rFonts w:ascii="Consolas" w:hAnsi="Consolas"/>
          <w:sz w:val="18"/>
        </w:rPr>
        <w:t>‹ Aujourd'hui ›</w:t>
      </w:r>
      <w:r>
        <w:t xml:space="preserve"> (boutons mois)</w:t>
      </w:r>
    </w:p>
    <w:p>
      <w:pPr>
        <w:pStyle w:val="ListBullet"/>
      </w:pPr>
      <w:r>
        <w:t>Événements en pilules colorées :</w:t>
      </w:r>
    </w:p>
    <w:p>
      <w:pPr>
        <w:pStyle w:val="ListBullet"/>
      </w:pPr>
      <w:r>
        <w:t>Violet : Date de décision potentielle</w:t>
      </w:r>
    </w:p>
    <w:p>
      <w:pPr>
        <w:pStyle w:val="ListBullet"/>
      </w:pPr>
      <w:r>
        <w:t>Cyan : Échéance contrat concurrent</w:t>
      </w:r>
    </w:p>
    <w:p>
      <w:pPr>
        <w:pStyle w:val="ListBullet"/>
      </w:pPr>
      <w:r>
        <w:t>Pastille couleur stage SPANCO à gauche du nom</w:t>
      </w:r>
    </w:p>
    <w:p>
      <w:pPr>
        <w:pStyle w:val="ListBullet"/>
      </w:pPr>
      <w:r>
        <w:t>Limite 3 événements par jour + lien « + N de plus » → popup détaillé</w:t>
      </w:r>
    </w:p>
    <w:p>
      <w:pPr>
        <w:pStyle w:val="ListBullet"/>
      </w:pPr>
      <w:r>
        <w:t>Filtre : Toutes / Décision / Concurrent</w:t>
      </w:r>
    </w:p>
    <w:p>
      <w:pPr>
        <w:pStyle w:val="ListBullet"/>
      </w:pPr>
      <w:r>
        <w:t>Numéro du jour cerclé rouge si aujourd'hui</w:t>
      </w:r>
    </w:p>
    <w:p>
      <w:pPr>
        <w:pStyle w:val="Heading3"/>
      </w:pPr>
      <w:r>
        <w:rPr>
          <w:color w:val="3730A3"/>
          <w:sz w:val="24"/>
        </w:rPr>
        <w:t>8.4 Création d'opportunité</w:t>
      </w:r>
    </w:p>
    <w:p>
      <w:r>
        <w:rPr>
          <w:b/>
        </w:rPr>
        <w:t>Route</w:t>
      </w:r>
      <w:r>
        <w:t xml:space="preserve"> : </w:t>
      </w:r>
      <w:r>
        <w:rPr>
          <w:rFonts w:ascii="Consolas" w:hAnsi="Consolas"/>
          <w:sz w:val="18"/>
        </w:rPr>
        <w:t>/nouvelle-opportunite</w:t>
      </w:r>
      <w:r>
        <w:t xml:space="preserve"> (ou modale)</w:t>
      </w:r>
    </w:p>
    <w:p>
      <w:r>
        <w:t>#### Champs</w:t>
      </w:r>
    </w:p>
    <w:p>
      <w:pPr>
        <w:pStyle w:val="ListBullet"/>
      </w:pPr>
      <w:r>
        <w:rPr>
          <w:b/>
        </w:rPr>
        <w:t>Nom</w:t>
      </w:r>
      <w:r>
        <w:t xml:space="preserve"> (libre)</w:t>
      </w:r>
    </w:p>
    <w:p>
      <w:pPr>
        <w:pStyle w:val="ListBullet"/>
      </w:pPr>
      <w:r>
        <w:rPr>
          <w:b/>
        </w:rPr>
        <w:t>Client</w:t>
      </w:r>
      <w:r>
        <w:t xml:space="preserve"> (recherche + sélection ou création)</w:t>
      </w:r>
    </w:p>
    <w:p>
      <w:pPr>
        <w:pStyle w:val="ListBullet"/>
      </w:pPr>
      <w:r>
        <w:rPr>
          <w:b/>
        </w:rPr>
        <w:t>Montant estimé</w:t>
      </w:r>
      <w:r>
        <w:t xml:space="preserve"> (€ HT)</w:t>
      </w:r>
    </w:p>
    <w:p>
      <w:pPr>
        <w:pStyle w:val="ListBullet"/>
      </w:pPr>
      <w:r>
        <w:rPr>
          <w:b/>
        </w:rPr>
        <w:t>Stage initial</w:t>
      </w:r>
      <w:r>
        <w:t xml:space="preserve"> (Prospect par défaut)</w:t>
      </w:r>
    </w:p>
    <w:p>
      <w:pPr>
        <w:pStyle w:val="ListBullet"/>
      </w:pPr>
      <w:r>
        <w:rPr>
          <w:b/>
        </w:rPr>
        <w:t>Probabilité</w:t>
      </w:r>
      <w:r>
        <w:t xml:space="preserve"> (auto-renseignée selon le stage)</w:t>
      </w:r>
    </w:p>
    <w:p>
      <w:pPr>
        <w:pStyle w:val="ListBullet"/>
      </w:pPr>
      <w:r>
        <w:rPr>
          <w:b/>
        </w:rPr>
        <w:t>Date de décision potentielle</w:t>
      </w:r>
    </w:p>
    <w:p>
      <w:pPr>
        <w:pStyle w:val="ListBullet"/>
      </w:pPr>
      <w:r>
        <w:rPr>
          <w:b/>
        </w:rPr>
        <w:t>Owner</w:t>
      </w:r>
      <w:r>
        <w:t xml:space="preserve"> (par défaut : utilisateur courant)</w:t>
      </w:r>
    </w:p>
    <w:p>
      <w:pPr>
        <w:pStyle w:val="ListBullet"/>
      </w:pPr>
      <w:r>
        <w:rPr>
          <w:b/>
        </w:rPr>
        <w:t>Besoin exprimé</w:t>
      </w:r>
      <w:r>
        <w:t xml:space="preserve"> (textarea libre)</w:t>
      </w:r>
    </w:p>
    <w:p>
      <w:pPr>
        <w:pStyle w:val="ListBullet"/>
      </w:pPr>
      <w:r>
        <w:rPr>
          <w:b/>
        </w:rPr>
        <w:t>Concurrent actuel</w:t>
      </w:r>
      <w:r>
        <w:t xml:space="preserve"> (si reconquête)</w:t>
      </w:r>
    </w:p>
    <w:p>
      <w:pPr>
        <w:pStyle w:val="ListBullet"/>
      </w:pPr>
      <w:r>
        <w:rPr>
          <w:b/>
        </w:rPr>
        <w:t>Notes internes</w:t>
      </w:r>
    </w:p>
    <w:p>
      <w:r>
        <w:t>#### Modale en pleine largeur</w:t>
      </w:r>
    </w:p>
    <w:p>
      <w:r>
        <w:t>Toute la largeur de l'écran (au lieu d'une modale centrée étroite). Permet une saisie confortable, surtout pour le « besoin exprimé » et les notes.</w:t>
      </w:r>
    </w:p>
    <w:p>
      <w:r>
        <w:t>#### Rattachement automatique</w:t>
      </w:r>
    </w:p>
    <w:p>
      <w:r>
        <w:t xml:space="preserve">Si l'URL contient </w:t>
      </w:r>
      <w:r>
        <w:rPr>
          <w:rFonts w:ascii="Consolas" w:hAnsi="Consolas"/>
          <w:sz w:val="18"/>
        </w:rPr>
        <w:t>?client=&lt;id&gt;</w:t>
      </w:r>
      <w:r>
        <w:t xml:space="preserve">, le client est pré-rempli et verrouillé. Si </w:t>
      </w:r>
      <w:r>
        <w:rPr>
          <w:rFonts w:ascii="Consolas" w:hAnsi="Consolas"/>
          <w:sz w:val="18"/>
        </w:rPr>
        <w:t>?opp=&lt;ref&gt;</w:t>
      </w:r>
      <w:r>
        <w:t>, on bascule en édition.</w:t>
      </w:r>
    </w:p>
    <w:p>
      <w:pPr>
        <w:spacing w:before="80"/>
        <w:pBdr>
          <w:bottom w:val="single" w:sz="6" w:color="C0C7D2"/>
        </w:pBdr>
      </w:pPr>
    </w:p>
    <w:p>
      <w:pPr>
        <w:pStyle w:val="Heading2"/>
      </w:pPr>
      <w:r>
        <w:rPr>
          <w:color w:val="1F2942"/>
          <w:sz w:val="28"/>
        </w:rPr>
        <w:t>9. GESTION DES PROSPECTS ET CLIENTS</w:t>
      </w:r>
    </w:p>
    <w:p>
      <w:pPr>
        <w:pStyle w:val="Heading3"/>
      </w:pPr>
      <w:r>
        <w:rPr>
          <w:color w:val="3730A3"/>
          <w:sz w:val="24"/>
        </w:rPr>
        <w:t>9.1 Création d'un prospect</w:t>
      </w:r>
    </w:p>
    <w:p>
      <w:r>
        <w:rPr>
          <w:b/>
        </w:rPr>
        <w:t>Route</w:t>
      </w:r>
      <w:r>
        <w:t xml:space="preserve"> : </w:t>
      </w:r>
      <w:r>
        <w:rPr>
          <w:rFonts w:ascii="Consolas" w:hAnsi="Consolas"/>
          <w:sz w:val="18"/>
        </w:rPr>
        <w:t>/nouveau-prospect</w:t>
      </w:r>
    </w:p>
    <w:p>
      <w:r>
        <w:t>#### Section 1 — Société</w:t>
      </w:r>
    </w:p>
    <w:p>
      <w:pPr>
        <w:pStyle w:val="ListBullet"/>
      </w:pPr>
      <w:r>
        <w:rPr>
          <w:b/>
        </w:rPr>
        <w:t>Raison sociale</w:t>
      </w:r>
      <w:r>
        <w:t xml:space="preserve"> : recherche temps réel via </w:t>
      </w:r>
      <w:r>
        <w:rPr>
          <w:rFonts w:ascii="Consolas" w:hAnsi="Consolas"/>
          <w:sz w:val="18"/>
        </w:rPr>
        <w:t>recherche-entreprises.api.gouv.fr</w:t>
      </w:r>
      <w:r>
        <w:t xml:space="preserve"> (debounce 300ms)</w:t>
      </w:r>
    </w:p>
    <w:p>
      <w:pPr>
        <w:pStyle w:val="ListBullet"/>
      </w:pPr>
      <w:r>
        <w:t>Au choix dans la liste : auto-remplissage de tous les champs</w:t>
      </w:r>
    </w:p>
    <w:p>
      <w:pPr>
        <w:pStyle w:val="ListBullet"/>
      </w:pPr>
      <w:r>
        <w:t xml:space="preserve">SIREN (formaté </w:t>
      </w:r>
      <w:r>
        <w:rPr>
          <w:rFonts w:ascii="Consolas" w:hAnsi="Consolas"/>
          <w:sz w:val="18"/>
        </w:rPr>
        <w:t>XXX XXX XXX</w:t>
      </w:r>
      <w:r>
        <w:t>)</w:t>
      </w:r>
    </w:p>
    <w:p>
      <w:pPr>
        <w:pStyle w:val="ListBullet"/>
      </w:pPr>
      <w:r>
        <w:t>SIRET du siège</w:t>
      </w:r>
    </w:p>
    <w:p>
      <w:pPr>
        <w:pStyle w:val="ListBullet"/>
      </w:pPr>
      <w:r>
        <w:t>Code NAF + libellé</w:t>
      </w:r>
    </w:p>
    <w:p>
      <w:pPr>
        <w:pStyle w:val="ListBullet"/>
      </w:pPr>
      <w:r>
        <w:t>Numéro TVA intracom (calculé à partir du SIREN)</w:t>
      </w:r>
    </w:p>
    <w:p>
      <w:pPr>
        <w:pStyle w:val="ListBullet"/>
      </w:pPr>
      <w:r>
        <w:t>Adresse complète siège</w:t>
      </w:r>
    </w:p>
    <w:p>
      <w:pPr>
        <w:pStyle w:val="ListBullet"/>
      </w:pPr>
      <w:r>
        <w:t>Code postal + ville</w:t>
      </w:r>
    </w:p>
    <w:p>
      <w:pPr>
        <w:pStyle w:val="ListBullet"/>
      </w:pPr>
      <w:r>
        <w:t>Tranche d'effectif (mappée sur 5 buckets : 1-50, 51-250, 251-1k, 1k-5k, 5k+)</w:t>
      </w:r>
    </w:p>
    <w:p>
      <w:pPr>
        <w:pStyle w:val="ListBullet"/>
      </w:pPr>
      <w:r>
        <w:t>Section et division NAF → secteur + sous-secteur</w:t>
      </w:r>
    </w:p>
    <w:p>
      <w:pPr>
        <w:pStyle w:val="ListBullet"/>
      </w:pPr>
      <w:r>
        <w:t>Slug Site web et LinkedIn estimés</w:t>
      </w:r>
    </w:p>
    <w:p>
      <w:pPr>
        <w:pStyle w:val="ListBullet"/>
      </w:pPr>
      <w:r>
        <w:t xml:space="preserve">Bouton </w:t>
      </w:r>
      <w:r>
        <w:rPr>
          <w:b/>
        </w:rPr>
        <w:t>× rouge</w:t>
      </w:r>
      <w:r>
        <w:t xml:space="preserve"> pour réinitialiser la sélection</w:t>
      </w:r>
    </w:p>
    <w:p>
      <w:pPr>
        <w:pStyle w:val="ListBullet"/>
      </w:pPr>
      <w:r>
        <w:t>Vérification BODACC automatique (badge orange si redressement, rouge si liquidation)</w:t>
      </w:r>
    </w:p>
    <w:p>
      <w:r>
        <w:t>#### Section 2 — Contact principal</w:t>
      </w:r>
    </w:p>
    <w:p>
      <w:r>
        <w:rPr>
          <w:b/>
        </w:rPr>
        <w:t>Auto-remplissage depuis les dirigeants</w:t>
      </w:r>
      <w:r>
        <w:t xml:space="preserve"> (open data INSEE/INPI) :</w:t>
      </w:r>
    </w:p>
    <w:p>
      <w:pPr>
        <w:pStyle w:val="ListBullet"/>
      </w:pPr>
      <w:r>
        <w:rPr>
          <w:b/>
        </w:rPr>
        <w:t>Premier dirigeant personne physique</w:t>
      </w:r>
      <w:r>
        <w:t xml:space="preserve"> → prénom (capitalisé), nom (UPPER), fonction (mappée via dictionnaire)</w:t>
      </w:r>
    </w:p>
    <w:p>
      <w:pPr>
        <w:pStyle w:val="ListBullet"/>
      </w:pPr>
      <w:r>
        <w:rPr>
          <w:b/>
        </w:rPr>
        <w:t>LinkedIn</w:t>
      </w:r>
      <w:r>
        <w:t xml:space="preserve"> : slug estimé </w:t>
      </w:r>
      <w:r>
        <w:rPr>
          <w:rFonts w:ascii="Consolas" w:hAnsi="Consolas"/>
          <w:sz w:val="18"/>
        </w:rPr>
        <w:t>linkedin.com/in/&lt;prenom-nom&gt;</w:t>
      </w:r>
    </w:p>
    <w:p>
      <w:pPr>
        <w:pStyle w:val="ListBullet"/>
      </w:pPr>
      <w:r>
        <w:rPr>
          <w:b/>
        </w:rPr>
        <w:t>Co-dirigeants</w:t>
      </w:r>
      <w:r>
        <w:t xml:space="preserve"> (jusqu'à 3) → ajoutés automatiquement comme co-contacts</w:t>
      </w:r>
    </w:p>
    <w:p>
      <w:pPr>
        <w:pStyle w:val="ListBullet"/>
      </w:pPr>
      <w:r>
        <w:t xml:space="preserve">Bandeau bleu indigo « 🔍 Auto-complété depuis les dirigeants déclarés » avec bouton </w:t>
      </w:r>
      <w:r>
        <w:rPr>
          <w:b/>
        </w:rPr>
        <w:t>Effacer</w:t>
      </w:r>
    </w:p>
    <w:p>
      <w:pPr>
        <w:pStyle w:val="ListBullet"/>
      </w:pPr>
      <w:r>
        <w:t>Email et téléphone laissés vides (données personnelles non publiques)</w:t>
      </w:r>
    </w:p>
    <w:p>
      <w:r>
        <w:rPr>
          <w:b/>
        </w:rPr>
        <w:t>Mapping qualité dirigeant → fonction</w:t>
      </w:r>
      <w:r>
        <w:t xml:space="preserve"> :</w:t>
      </w:r>
    </w:p>
    <w:p>
      <w:pPr>
        <w:pStyle w:val="ListBullet"/>
      </w:pPr>
      <w:r>
        <w:t>Président / PDG / Directeur général → « CEO / Directeur général »</w:t>
      </w:r>
    </w:p>
    <w:p>
      <w:pPr>
        <w:pStyle w:val="ListBullet"/>
      </w:pPr>
      <w:r>
        <w:t>Gérant / Co-gérant / Associé / Membre → « Gérant / Dirigeant »</w:t>
      </w:r>
    </w:p>
    <w:p>
      <w:pPr>
        <w:pStyle w:val="ListBullet"/>
      </w:pPr>
      <w:r>
        <w:t>DAF / Directeur financier → « DAF / Directeur financier »</w:t>
      </w:r>
    </w:p>
    <w:p>
      <w:pPr>
        <w:pStyle w:val="ListBullet"/>
      </w:pPr>
      <w:r>
        <w:t>Directeur général délégué → « COO / Directeur des opérations »</w:t>
      </w:r>
    </w:p>
    <w:p>
      <w:pPr>
        <w:pStyle w:val="ListBullet"/>
      </w:pPr>
      <w:r>
        <w:t>Secrétaire général → « Secrétaire général »</w:t>
      </w:r>
    </w:p>
    <w:p>
      <w:r>
        <w:t>#### Section 3 — Tier et établissements</w:t>
      </w:r>
    </w:p>
    <w:p>
      <w:pPr>
        <w:pStyle w:val="ListBullet"/>
      </w:pPr>
      <w:r>
        <w:rPr>
          <w:b/>
        </w:rPr>
        <w:t>Tier prospect</w:t>
      </w:r>
      <w:r>
        <w:t xml:space="preserve"> : A (compte tactique stratégique), B (cible standard), C (opportuniste)</w:t>
      </w:r>
    </w:p>
    <w:p>
      <w:pPr>
        <w:pStyle w:val="ListBullet"/>
      </w:pPr>
      <w:r>
        <w:rPr>
          <w:b/>
        </w:rPr>
        <w:t>Établissements secondaires</w:t>
      </w:r>
      <w:r>
        <w:t xml:space="preserve"> : ajout dynamique avec adresse + activité</w:t>
      </w:r>
    </w:p>
    <w:p>
      <w:r>
        <w:t>#### Section 4 — Actions auto-créées</w:t>
      </w:r>
    </w:p>
    <w:p>
      <w:r>
        <w:t>À la création, possibilité de générer automatiquement des actions :</w:t>
      </w:r>
    </w:p>
    <w:p>
      <w:pPr>
        <w:pStyle w:val="ListBullet"/>
      </w:pPr>
      <w:r>
        <w:rPr>
          <w:b/>
        </w:rPr>
        <w:t>Email d'introduction personnalisé</w:t>
      </w:r>
      <w:r>
        <w:t xml:space="preserve"> (priorité haute, J+5)</w:t>
      </w:r>
    </w:p>
    <w:p>
      <w:pPr>
        <w:pStyle w:val="ListBullet"/>
      </w:pPr>
      <w:r>
        <w:rPr>
          <w:b/>
        </w:rPr>
        <w:t>Appel de qualification</w:t>
      </w:r>
      <w:r>
        <w:t xml:space="preserve"> (priorité haute, J+3)</w:t>
      </w:r>
    </w:p>
    <w:p>
      <w:pPr>
        <w:pStyle w:val="ListBullet"/>
      </w:pPr>
      <w:r>
        <w:rPr>
          <w:b/>
        </w:rPr>
        <w:t>Invitation à un événement</w:t>
      </w:r>
      <w:r>
        <w:t xml:space="preserve"> (priorité moyenne, J+10)</w:t>
      </w:r>
    </w:p>
    <w:p>
      <w:pPr>
        <w:pStyle w:val="Heading3"/>
      </w:pPr>
      <w:r>
        <w:rPr>
          <w:color w:val="3730A3"/>
          <w:sz w:val="24"/>
        </w:rPr>
        <w:t>9.2 Fiche client détaillée</w:t>
      </w:r>
    </w:p>
    <w:p>
      <w:r>
        <w:rPr>
          <w:b/>
        </w:rPr>
        <w:t>Route</w:t>
      </w:r>
      <w:r>
        <w:t xml:space="preserve"> : </w:t>
      </w:r>
      <w:r>
        <w:rPr>
          <w:rFonts w:ascii="Consolas" w:hAnsi="Consolas"/>
          <w:sz w:val="18"/>
        </w:rPr>
        <w:t>/fiche-client?id=&lt;client_id&gt;</w:t>
      </w:r>
    </w:p>
    <w:p>
      <w:r>
        <w:t>#### Topbar</w:t>
      </w:r>
    </w:p>
    <w:p>
      <w:pPr>
        <w:pStyle w:val="ListBullet"/>
      </w:pPr>
      <w:r>
        <w:t>Avatar initiales + raison sociale + statut</w:t>
      </w:r>
    </w:p>
    <w:p>
      <w:pPr>
        <w:pStyle w:val="ListBullet"/>
      </w:pPr>
      <w:r>
        <w:t>SIREN + dernier check BODACC</w:t>
      </w:r>
    </w:p>
    <w:p>
      <w:pPr>
        <w:pStyle w:val="ListBullet"/>
      </w:pPr>
      <w:r>
        <w:t xml:space="preserve">Boutons : </w:t>
      </w:r>
      <w:r>
        <w:rPr>
          <w:b/>
        </w:rPr>
        <w:t>⬇ Exporter les données</w:t>
      </w:r>
      <w:r>
        <w:t xml:space="preserve"> (RGPD art. 20), </w:t>
      </w:r>
      <w:r>
        <w:rPr>
          <w:b/>
        </w:rPr>
        <w:t>✎ Modifier</w:t>
      </w:r>
      <w:r>
        <w:t xml:space="preserve">, </w:t>
      </w:r>
      <w:r>
        <w:rPr>
          <w:b/>
        </w:rPr>
        <w:t>🗑 Supprimer</w:t>
      </w:r>
    </w:p>
    <w:p>
      <w:r>
        <w:t>#### Panneau « Informations compte » (3 cartes colorées)</w:t>
      </w:r>
    </w:p>
    <w:p>
      <w:r>
        <w:t>##### Suivi commercial (fond indigo pâle)</w:t>
      </w:r>
    </w:p>
    <w:p>
      <w:pPr>
        <w:pStyle w:val="ListBullet"/>
      </w:pPr>
      <w:r>
        <w:t>Owner attribué</w:t>
      </w:r>
    </w:p>
    <w:p>
      <w:pPr>
        <w:pStyle w:val="ListBullet"/>
      </w:pPr>
      <w:r>
        <w:t>Dernière action commerciale + date</w:t>
      </w:r>
    </w:p>
    <w:p>
      <w:pPr>
        <w:pStyle w:val="ListBullet"/>
      </w:pPr>
      <w:r>
        <w:t>Statut compte (Actif / Veille / Inactif)</w:t>
      </w:r>
    </w:p>
    <w:p>
      <w:pPr>
        <w:pStyle w:val="ListBullet"/>
      </w:pPr>
      <w:r>
        <w:t>Score d'engagement (calculé)</w:t>
      </w:r>
    </w:p>
    <w:p>
      <w:r>
        <w:t>##### Cycle de vie (fond vert pâle)</w:t>
      </w:r>
    </w:p>
    <w:p>
      <w:pPr>
        <w:pStyle w:val="ListBullet"/>
      </w:pPr>
      <w:r>
        <w:t>Date de création de la fiche</w:t>
      </w:r>
    </w:p>
    <w:p>
      <w:pPr>
        <w:pStyle w:val="ListBullet"/>
      </w:pPr>
      <w:r>
        <w:t>Ancienneté en années + mois</w:t>
      </w:r>
    </w:p>
    <w:p>
      <w:pPr>
        <w:pStyle w:val="ListBullet"/>
      </w:pPr>
      <w:r>
        <w:t>Anniversaire compte (jour + mois)</w:t>
      </w:r>
    </w:p>
    <w:p>
      <w:pPr>
        <w:pStyle w:val="ListBullet"/>
      </w:pPr>
      <w:r>
        <w:t>Date du dernier contact</w:t>
      </w:r>
    </w:p>
    <w:p>
      <w:pPr>
        <w:pStyle w:val="ListBullet"/>
      </w:pPr>
      <w:r>
        <w:t>Date du dernier devis</w:t>
      </w:r>
    </w:p>
    <w:p>
      <w:r>
        <w:t>##### Identité légale (fond gris pâle)</w:t>
      </w:r>
    </w:p>
    <w:p>
      <w:pPr>
        <w:pStyle w:val="ListBullet"/>
      </w:pPr>
      <w:r>
        <w:t>SIRET du siège</w:t>
      </w:r>
    </w:p>
    <w:p>
      <w:pPr>
        <w:pStyle w:val="ListBullet"/>
      </w:pPr>
      <w:r>
        <w:t>Code NAF + libellé</w:t>
      </w:r>
    </w:p>
    <w:p>
      <w:pPr>
        <w:pStyle w:val="ListBullet"/>
      </w:pPr>
      <w:r>
        <w:t>TVA intracom</w:t>
      </w:r>
    </w:p>
    <w:p>
      <w:pPr>
        <w:pStyle w:val="ListBullet"/>
      </w:pPr>
      <w:r>
        <w:t>Capital social (si renseigné)</w:t>
      </w:r>
    </w:p>
    <w:p>
      <w:pPr>
        <w:pStyle w:val="ListBullet"/>
      </w:pPr>
      <w:r>
        <w:t>Forme juridique</w:t>
      </w:r>
    </w:p>
    <w:p>
      <w:pPr>
        <w:pStyle w:val="ListBullet"/>
      </w:pPr>
      <w:r>
        <w:t>Adresse siège complète</w:t>
      </w:r>
    </w:p>
    <w:p>
      <w:r>
        <w:t>#### Pipe contrats (kanban réduit)</w:t>
      </w:r>
    </w:p>
    <w:p>
      <w:pPr>
        <w:pStyle w:val="ListBullet"/>
      </w:pPr>
      <w:r>
        <w:t>Vue compacte des opportunités du client (5 colonnes SPANCO)</w:t>
      </w:r>
    </w:p>
    <w:p>
      <w:pPr>
        <w:pStyle w:val="ListBullet"/>
      </w:pPr>
      <w:r>
        <w:t>Drag-and-drop disponible</w:t>
      </w:r>
    </w:p>
    <w:p>
      <w:pPr>
        <w:pStyle w:val="ListBullet"/>
      </w:pPr>
      <w:r>
        <w:t>Ascenseur vertical interne par colonne</w:t>
      </w:r>
    </w:p>
    <w:p>
      <w:pPr>
        <w:pStyle w:val="ListBullet"/>
      </w:pPr>
      <w:r>
        <w:t>Bouton ⇣ pour déployer</w:t>
      </w:r>
    </w:p>
    <w:p>
      <w:r>
        <w:t>#### Actions à mener (liste filtrée client)</w:t>
      </w:r>
    </w:p>
    <w:p>
      <w:pPr>
        <w:pStyle w:val="ListBullet"/>
      </w:pPr>
      <w:r>
        <w:t>Affichage des actions liées à ce client uniquement</w:t>
      </w:r>
    </w:p>
    <w:p>
      <w:pPr>
        <w:pStyle w:val="ListBullet"/>
      </w:pPr>
      <w:r>
        <w:t>Bouton « + Ajouter une action »</w:t>
      </w:r>
    </w:p>
    <w:p>
      <w:pPr>
        <w:pStyle w:val="ListBullet"/>
      </w:pPr>
      <w:r>
        <w:t>Tri par priorité puis date d'échéance</w:t>
      </w:r>
    </w:p>
    <w:p>
      <w:r>
        <w:t>#### Documents commerciaux liés</w:t>
      </w:r>
    </w:p>
    <w:p>
      <w:pPr>
        <w:pStyle w:val="ListBullet"/>
      </w:pPr>
      <w:r>
        <w:t>Liste des devis, commandes, BL, factures de ce client</w:t>
      </w:r>
    </w:p>
    <w:p>
      <w:pPr>
        <w:pStyle w:val="ListBullet"/>
      </w:pPr>
      <w:r>
        <w:t>Statut + total HT + lien d'ouverture</w:t>
      </w:r>
    </w:p>
    <w:p>
      <w:r>
        <w:t>#### Contacts du client</w:t>
      </w:r>
    </w:p>
    <w:p>
      <w:pPr>
        <w:pStyle w:val="ListBullet"/>
      </w:pPr>
      <w:r>
        <w:t>Liste des contacts (principal en premier)</w:t>
      </w:r>
    </w:p>
    <w:p>
      <w:pPr>
        <w:pStyle w:val="ListBullet"/>
      </w:pPr>
      <w:r>
        <w:t>Bouton « + Ajouter un contact »</w:t>
      </w:r>
    </w:p>
    <w:p>
      <w:pPr>
        <w:pStyle w:val="ListBullet"/>
      </w:pPr>
      <w:r>
        <w:t>Édition inline (nom, fonction, email, téléphone)</w:t>
      </w:r>
    </w:p>
    <w:p>
      <w:r>
        <w:t>#### Historique (timeline)</w:t>
      </w:r>
    </w:p>
    <w:p>
      <w:pPr>
        <w:pStyle w:val="ListBullet"/>
      </w:pPr>
      <w:r>
        <w:t>Toutes les actions, modifications de stage, créations de doc en chronologique inverse</w:t>
      </w:r>
    </w:p>
    <w:p>
      <w:pPr>
        <w:pStyle w:val="ListBullet"/>
      </w:pPr>
      <w:r>
        <w:t>Filtres par type d'événement</w:t>
      </w:r>
    </w:p>
    <w:p>
      <w:pPr>
        <w:pStyle w:val="Heading3"/>
      </w:pPr>
      <w:r>
        <w:rPr>
          <w:color w:val="3730A3"/>
          <w:sz w:val="24"/>
        </w:rPr>
        <w:t>9.3 Bouton mail → Outlook Web</w:t>
      </w:r>
    </w:p>
    <w:p>
      <w:r>
        <w:t>Au clic sur l'icône email d'un contact :</w:t>
      </w:r>
    </w:p>
    <w:p>
      <w:pPr>
        <w:pStyle w:val="ListBullet"/>
      </w:pPr>
      <w:r>
        <w:t>Téléchargement automatique de la plaquette Astorya PDF</w:t>
      </w:r>
    </w:p>
    <w:p>
      <w:pPr>
        <w:pStyle w:val="ListBullet"/>
      </w:pPr>
      <w:r>
        <w:t>Ouverture d'</w:t>
      </w:r>
      <w:r>
        <w:rPr>
          <w:b/>
        </w:rPr>
        <w:t>Outlook Web (OWA)</w:t>
      </w:r>
      <w:r>
        <w:t xml:space="preserve"> dans un nouvel onglet :</w:t>
      </w:r>
    </w:p>
    <w:p>
      <w:r>
        <w:rPr>
          <w:rFonts w:ascii="Consolas" w:hAnsi="Consolas"/>
          <w:sz w:val="18"/>
        </w:rPr>
        <w:t>https://outlook.office.com/owa/?path=/mail/action/compose&amp;to=&lt;email&gt;&amp;subject=...&amp;body=...</w:t>
      </w:r>
    </w:p>
    <w:p>
      <w:pPr>
        <w:pStyle w:val="ListBullet"/>
      </w:pPr>
      <w:r>
        <w:t xml:space="preserve">Pas de </w:t>
      </w:r>
      <w:r>
        <w:rPr>
          <w:rFonts w:ascii="Consolas" w:hAnsi="Consolas"/>
          <w:sz w:val="18"/>
        </w:rPr>
        <w:t>mailto:</w:t>
      </w:r>
      <w:r>
        <w:t xml:space="preserve"> (qui nécessite un client mail local installé)</w:t>
      </w:r>
    </w:p>
    <w:p>
      <w:pPr>
        <w:pStyle w:val="ListBullet"/>
      </w:pPr>
      <w:r>
        <w:t>Compose pré-rempli avec corps personnalisé selon le contact</w:t>
      </w:r>
    </w:p>
    <w:p>
      <w:pPr>
        <w:spacing w:before="80"/>
        <w:pBdr>
          <w:bottom w:val="single" w:sz="6" w:color="C0C7D2"/>
        </w:pBdr>
      </w:pPr>
    </w:p>
    <w:p>
      <w:pPr>
        <w:pStyle w:val="Heading2"/>
      </w:pPr>
      <w:r>
        <w:rPr>
          <w:color w:val="1F2942"/>
          <w:sz w:val="28"/>
        </w:rPr>
        <w:t>10. WORKFLOW D'OPPORTUNITÉ SPANCO</w:t>
      </w:r>
    </w:p>
    <w:p>
      <w:pPr>
        <w:pStyle w:val="Heading3"/>
      </w:pPr>
      <w:r>
        <w:rPr>
          <w:color w:val="3730A3"/>
          <w:sz w:val="24"/>
        </w:rPr>
        <w:t>10.1 Méthodologie SPANCO</w:t>
      </w:r>
    </w:p>
    <w:p>
      <w:r>
        <w:rPr>
          <w:b/>
        </w:rPr>
        <w:t>SPANCO</w:t>
      </w:r>
      <w:r>
        <w:t xml:space="preserve"> est une méthode de qualification commerciale en 5 étapes :</w:t>
      </w:r>
    </w:p>
    <w:p>
      <w:pPr>
        <w:pStyle w:val="ListBullet"/>
      </w:pPr>
      <w:r>
        <w:rPr>
          <w:b/>
        </w:rPr>
        <w:t>S</w:t>
      </w:r>
      <w:r>
        <w:t xml:space="preserve">uspect → </w:t>
      </w:r>
      <w:r>
        <w:rPr>
          <w:b/>
        </w:rPr>
        <w:t>P</w:t>
      </w:r>
      <w:r>
        <w:t xml:space="preserve">rospect → </w:t>
      </w:r>
      <w:r>
        <w:rPr>
          <w:b/>
        </w:rPr>
        <w:t>A</w:t>
      </w:r>
      <w:r>
        <w:t xml:space="preserve">pproche → </w:t>
      </w:r>
      <w:r>
        <w:rPr>
          <w:b/>
        </w:rPr>
        <w:t>N</w:t>
      </w:r>
      <w:r>
        <w:t xml:space="preserve">égociation → </w:t>
      </w:r>
      <w:r>
        <w:rPr>
          <w:b/>
        </w:rPr>
        <w:t>C</w:t>
      </w:r>
      <w:r>
        <w:t xml:space="preserve">onclusion → </w:t>
      </w:r>
      <w:r>
        <w:rPr>
          <w:b/>
        </w:rPr>
        <w:t>O</w:t>
      </w:r>
      <w:r>
        <w:t>rdre</w:t>
      </w:r>
    </w:p>
    <w:p>
      <w:r>
        <w:t>Dans Hub Astorya, on simplifie à 5 stages :</w:t>
      </w:r>
    </w:p>
    <w:p>
      <w:r>
        <w:t xml:space="preserve">1. </w:t>
      </w:r>
      <w:r>
        <w:rPr>
          <w:b/>
        </w:rPr>
        <w:t>Prospect</w:t>
      </w:r>
      <w:r>
        <w:t xml:space="preserve"> (Suspect/Prospect mergés) — 20 % probabilité</w:t>
      </w:r>
    </w:p>
    <w:p>
      <w:r>
        <w:t xml:space="preserve">2. </w:t>
      </w:r>
      <w:r>
        <w:rPr>
          <w:b/>
        </w:rPr>
        <w:t>Approche</w:t>
      </w:r>
      <w:r>
        <w:t xml:space="preserve"> — 35 %</w:t>
      </w:r>
    </w:p>
    <w:p>
      <w:r>
        <w:t xml:space="preserve">3. </w:t>
      </w:r>
      <w:r>
        <w:rPr>
          <w:b/>
        </w:rPr>
        <w:t>Négociation</w:t>
      </w:r>
      <w:r>
        <w:t xml:space="preserve"> — 55 %</w:t>
      </w:r>
    </w:p>
    <w:p>
      <w:r>
        <w:t xml:space="preserve">4. </w:t>
      </w:r>
      <w:r>
        <w:rPr>
          <w:b/>
        </w:rPr>
        <w:t>Conclusion</w:t>
      </w:r>
      <w:r>
        <w:t xml:space="preserve"> — 75 %</w:t>
      </w:r>
    </w:p>
    <w:p>
      <w:r>
        <w:t xml:space="preserve">5. </w:t>
      </w:r>
      <w:r>
        <w:rPr>
          <w:b/>
        </w:rPr>
        <w:t>Ordre</w:t>
      </w:r>
      <w:r>
        <w:t xml:space="preserve"> (gagné) — 100 %</w:t>
      </w:r>
    </w:p>
    <w:p>
      <w:r>
        <w:t xml:space="preserve">Plus le stage </w:t>
      </w:r>
      <w:r>
        <w:rPr>
          <w:rFonts w:ascii="Consolas" w:hAnsi="Consolas"/>
          <w:sz w:val="18"/>
        </w:rPr>
        <w:t>lost</w:t>
      </w:r>
      <w:r>
        <w:t xml:space="preserve"> (perdu, 0 %).</w:t>
      </w:r>
    </w:p>
    <w:p>
      <w:pPr>
        <w:pStyle w:val="Heading3"/>
      </w:pPr>
      <w:r>
        <w:rPr>
          <w:color w:val="3730A3"/>
          <w:sz w:val="24"/>
        </w:rPr>
        <w:t>10.2 Page Avancer l'opportunité</w:t>
      </w:r>
    </w:p>
    <w:p>
      <w:r>
        <w:rPr>
          <w:b/>
        </w:rPr>
        <w:t>Route</w:t>
      </w:r>
      <w:r>
        <w:t xml:space="preserve"> : </w:t>
      </w:r>
      <w:r>
        <w:rPr>
          <w:rFonts w:ascii="Consolas" w:hAnsi="Consolas"/>
          <w:sz w:val="18"/>
        </w:rPr>
        <w:t>/avancer-opportunite?opp=&lt;ref&gt;</w:t>
      </w:r>
    </w:p>
    <w:p>
      <w:r>
        <w:t>#### Stepper visuel (pilules rectangulaires)</w:t>
      </w:r>
    </w:p>
    <w:p>
      <w:r>
        <w:t>5 pilules colorées style « workflow Sage Devis → Commande → BL → Facture »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Stage</w:t>
            </w:r>
          </w:p>
        </w:tc>
        <w:tc>
          <w:tcPr>
            <w:tcW w:type="dxa" w:w="2493"/>
            <w:shd w:val="clear" w:color="auto" w:fill="EEF2FF"/>
          </w:tcPr>
          <w:p>
            <w:r>
              <w:rPr>
                <w:b/>
                <w:color w:val="1F2942"/>
                <w:sz w:val="18"/>
              </w:rPr>
              <w:t>Couleur</w:t>
            </w:r>
          </w:p>
        </w:tc>
        <w:tc>
          <w:tcPr>
            <w:tcW w:type="dxa" w:w="2493"/>
            <w:shd w:val="clear" w:color="auto" w:fill="EEF2FF"/>
          </w:tcPr>
          <w:p>
            <w:r>
              <w:rPr>
                <w:b/>
                <w:color w:val="1F2942"/>
                <w:sz w:val="18"/>
              </w:rPr>
              <w:t>Letter</w:t>
            </w:r>
          </w:p>
        </w:tc>
        <w:tc>
          <w:tcPr>
            <w:tcW w:type="dxa" w:w="2493"/>
            <w:shd w:val="clear" w:color="auto" w:fill="EEF2FF"/>
          </w:tcPr>
          <w:p>
            <w:r>
              <w:rPr>
                <w:b/>
                <w:color w:val="1F2942"/>
                <w:sz w:val="18"/>
              </w:rPr>
              <w:t>% Proba</w:t>
            </w:r>
          </w:p>
        </w:tc>
      </w:tr>
      <w:tr>
        <w:tc>
          <w:tcPr>
            <w:tcW w:type="dxa" w:w="2493"/>
          </w:tcPr>
          <w:p>
            <w:r>
              <w:rPr>
                <w:sz w:val="18"/>
              </w:rPr>
              <w:t>Prospect</w:t>
            </w:r>
          </w:p>
        </w:tc>
        <w:tc>
          <w:tcPr>
            <w:tcW w:type="dxa" w:w="2493"/>
          </w:tcPr>
          <w:p>
            <w:r>
              <w:rPr>
                <w:sz w:val="18"/>
              </w:rPr>
              <w:t>Gris #94a3b8</w:t>
            </w:r>
          </w:p>
        </w:tc>
        <w:tc>
          <w:tcPr>
            <w:tcW w:type="dxa" w:w="2493"/>
          </w:tcPr>
          <w:p>
            <w:r>
              <w:rPr>
                <w:sz w:val="18"/>
              </w:rPr>
              <w:t>P</w:t>
            </w:r>
          </w:p>
        </w:tc>
        <w:tc>
          <w:tcPr>
            <w:tcW w:type="dxa" w:w="2493"/>
          </w:tcPr>
          <w:p>
            <w:r>
              <w:rPr>
                <w:sz w:val="18"/>
              </w:rPr>
              <w:t>20</w:t>
            </w:r>
          </w:p>
        </w:tc>
      </w:tr>
      <w:tr>
        <w:tc>
          <w:tcPr>
            <w:tcW w:type="dxa" w:w="2493"/>
          </w:tcPr>
          <w:p>
            <w:r>
              <w:rPr>
                <w:sz w:val="18"/>
              </w:rPr>
              <w:t>Approche</w:t>
            </w:r>
          </w:p>
        </w:tc>
        <w:tc>
          <w:tcPr>
            <w:tcW w:type="dxa" w:w="2493"/>
          </w:tcPr>
          <w:p>
            <w:r>
              <w:rPr>
                <w:sz w:val="18"/>
              </w:rPr>
              <w:t>Bleu #3b82f6</w:t>
            </w:r>
          </w:p>
        </w:tc>
        <w:tc>
          <w:tcPr>
            <w:tcW w:type="dxa" w:w="2493"/>
          </w:tcPr>
          <w:p>
            <w:r>
              <w:rPr>
                <w:sz w:val="18"/>
              </w:rPr>
              <w:t>A</w:t>
            </w:r>
          </w:p>
        </w:tc>
        <w:tc>
          <w:tcPr>
            <w:tcW w:type="dxa" w:w="2493"/>
          </w:tcPr>
          <w:p>
            <w:r>
              <w:rPr>
                <w:sz w:val="18"/>
              </w:rPr>
              <w:t>35</w:t>
            </w:r>
          </w:p>
        </w:tc>
      </w:tr>
      <w:tr>
        <w:tc>
          <w:tcPr>
            <w:tcW w:type="dxa" w:w="2493"/>
          </w:tcPr>
          <w:p>
            <w:r>
              <w:rPr>
                <w:sz w:val="18"/>
              </w:rPr>
              <w:t>Négociation</w:t>
            </w:r>
          </w:p>
        </w:tc>
        <w:tc>
          <w:tcPr>
            <w:tcW w:type="dxa" w:w="2493"/>
          </w:tcPr>
          <w:p>
            <w:r>
              <w:rPr>
                <w:sz w:val="18"/>
              </w:rPr>
              <w:t>Violet #a855f7</w:t>
            </w:r>
          </w:p>
        </w:tc>
        <w:tc>
          <w:tcPr>
            <w:tcW w:type="dxa" w:w="2493"/>
          </w:tcPr>
          <w:p>
            <w:r>
              <w:rPr>
                <w:sz w:val="18"/>
              </w:rPr>
              <w:t>N</w:t>
            </w:r>
          </w:p>
        </w:tc>
        <w:tc>
          <w:tcPr>
            <w:tcW w:type="dxa" w:w="2493"/>
          </w:tcPr>
          <w:p>
            <w:r>
              <w:rPr>
                <w:sz w:val="18"/>
              </w:rPr>
              <w:t>55</w:t>
            </w:r>
          </w:p>
        </w:tc>
      </w:tr>
      <w:tr>
        <w:tc>
          <w:tcPr>
            <w:tcW w:type="dxa" w:w="2493"/>
          </w:tcPr>
          <w:p>
            <w:r>
              <w:rPr>
                <w:sz w:val="18"/>
              </w:rPr>
              <w:t>Conclusion</w:t>
            </w:r>
          </w:p>
        </w:tc>
        <w:tc>
          <w:tcPr>
            <w:tcW w:type="dxa" w:w="2493"/>
          </w:tcPr>
          <w:p>
            <w:r>
              <w:rPr>
                <w:sz w:val="18"/>
              </w:rPr>
              <w:t>Orange #ea580c</w:t>
            </w:r>
          </w:p>
        </w:tc>
        <w:tc>
          <w:tcPr>
            <w:tcW w:type="dxa" w:w="2493"/>
          </w:tcPr>
          <w:p>
            <w:r>
              <w:rPr>
                <w:sz w:val="18"/>
              </w:rPr>
              <w:t>C</w:t>
            </w:r>
          </w:p>
        </w:tc>
        <w:tc>
          <w:tcPr>
            <w:tcW w:type="dxa" w:w="2493"/>
          </w:tcPr>
          <w:p>
            <w:r>
              <w:rPr>
                <w:sz w:val="18"/>
              </w:rPr>
              <w:t>75</w:t>
            </w:r>
          </w:p>
        </w:tc>
      </w:tr>
      <w:tr>
        <w:tc>
          <w:tcPr>
            <w:tcW w:type="dxa" w:w="2493"/>
          </w:tcPr>
          <w:p>
            <w:r>
              <w:rPr>
                <w:sz w:val="18"/>
              </w:rPr>
              <w:t>Ordre</w:t>
            </w:r>
          </w:p>
        </w:tc>
        <w:tc>
          <w:tcPr>
            <w:tcW w:type="dxa" w:w="2493"/>
          </w:tcPr>
          <w:p>
            <w:r>
              <w:rPr>
                <w:sz w:val="18"/>
              </w:rPr>
              <w:t>Vert #10b981</w:t>
            </w:r>
          </w:p>
        </w:tc>
        <w:tc>
          <w:tcPr>
            <w:tcW w:type="dxa" w:w="2493"/>
          </w:tcPr>
          <w:p>
            <w:r>
              <w:rPr>
                <w:sz w:val="18"/>
              </w:rPr>
              <w:t>O</w:t>
            </w:r>
          </w:p>
        </w:tc>
        <w:tc>
          <w:tcPr>
            <w:tcW w:type="dxa" w:w="2493"/>
          </w:tcPr>
          <w:p>
            <w:r>
              <w:rPr>
                <w:sz w:val="18"/>
              </w:rPr>
              <w:t>100</w:t>
            </w:r>
          </w:p>
        </w:tc>
      </w:tr>
    </w:tbl>
    <w:p/>
    <w:p>
      <w:r>
        <w:t>Pilules avec :</w:t>
      </w:r>
    </w:p>
    <w:p>
      <w:pPr>
        <w:pStyle w:val="ListBullet"/>
      </w:pPr>
      <w:r>
        <w:t>Background coloré pleine pilule pour les étapes passées + courante</w:t>
      </w:r>
    </w:p>
    <w:p>
      <w:pPr>
        <w:pStyle w:val="ListBullet"/>
      </w:pPr>
      <w:r>
        <w:t>Bordure colorée + fond clair pour la cible</w:t>
      </w:r>
    </w:p>
    <w:p>
      <w:pPr>
        <w:pStyle w:val="ListBullet"/>
      </w:pPr>
      <w:r>
        <w:t xml:space="preserve">Halo coloré </w:t>
      </w:r>
      <w:r>
        <w:rPr>
          <w:rFonts w:ascii="Consolas" w:hAnsi="Consolas"/>
          <w:sz w:val="18"/>
        </w:rPr>
        <w:t>box-shadow: 0 0 0 5px &lt;color&gt;33</w:t>
      </w:r>
      <w:r>
        <w:t xml:space="preserve"> sur l'étape courante</w:t>
      </w:r>
    </w:p>
    <w:p>
      <w:pPr>
        <w:pStyle w:val="ListBullet"/>
      </w:pPr>
      <w:r>
        <w:t xml:space="preserve">Badge dynamique : </w:t>
      </w:r>
      <w:r>
        <w:rPr>
          <w:b/>
        </w:rPr>
        <w:t>VALIDÉ</w:t>
      </w:r>
      <w:r>
        <w:t xml:space="preserve"> (passé), </w:t>
      </w:r>
      <w:r>
        <w:rPr>
          <w:b/>
        </w:rPr>
        <w:t>ACTUELLE</w:t>
      </w:r>
      <w:r>
        <w:t xml:space="preserve"> (courant), </w:t>
      </w:r>
      <w:r>
        <w:rPr>
          <w:b/>
        </w:rPr>
        <w:t>CIBLE</w:t>
      </w:r>
      <w:r>
        <w:t xml:space="preserve"> (sélectionné)</w:t>
      </w:r>
    </w:p>
    <w:p>
      <w:pPr>
        <w:pStyle w:val="ListBullet"/>
      </w:pPr>
      <w:r>
        <w:t>Icône carrée à gauche (✓ ou Letter)</w:t>
      </w:r>
    </w:p>
    <w:p>
      <w:pPr>
        <w:pStyle w:val="ListBullet"/>
      </w:pPr>
      <w:r>
        <w:t>Label + % sous chaque pilule</w:t>
      </w:r>
    </w:p>
    <w:p>
      <w:pPr>
        <w:pStyle w:val="ListBullet"/>
      </w:pPr>
      <w:r>
        <w:t xml:space="preserve">Flèches </w:t>
      </w:r>
      <w:r>
        <w:rPr>
          <w:b/>
        </w:rPr>
        <w:t>→</w:t>
      </w:r>
      <w:r>
        <w:t xml:space="preserve"> entre chaque pilule</w:t>
      </w:r>
    </w:p>
    <w:p>
      <w:r>
        <w:t>Cliquables : étapes futures (avancement) et étape courante (retour).</w:t>
      </w:r>
    </w:p>
    <w:p>
      <w:r>
        <w:t>#### Bloc Informations de l'opportunité</w:t>
      </w:r>
    </w:p>
    <w:p>
      <w:r>
        <w:t>Champs éditables :</w:t>
      </w:r>
    </w:p>
    <w:p>
      <w:pPr>
        <w:pStyle w:val="ListBullet"/>
      </w:pPr>
      <w:r>
        <w:t>Nom de l'opportunité (textarea 1 ligne)</w:t>
      </w:r>
    </w:p>
    <w:p>
      <w:pPr>
        <w:pStyle w:val="ListBullet"/>
      </w:pPr>
      <w:r>
        <w:t>Montant estimé (€, numeric)</w:t>
      </w:r>
    </w:p>
    <w:p>
      <w:pPr>
        <w:pStyle w:val="ListBullet"/>
      </w:pPr>
      <w:r>
        <w:t>Date de décision potentielle (date picker)</w:t>
      </w:r>
    </w:p>
    <w:p>
      <w:pPr>
        <w:pStyle w:val="ListBullet"/>
      </w:pPr>
      <w:r>
        <w:t>Besoin exprimé (textarea 2 lignes)</w:t>
      </w:r>
    </w:p>
    <w:p>
      <w:pPr>
        <w:pStyle w:val="ListBullet"/>
      </w:pPr>
      <w:r>
        <w:t>Concurrent actuel (input)</w:t>
      </w:r>
    </w:p>
    <w:p>
      <w:pPr>
        <w:pStyle w:val="ListBullet"/>
      </w:pPr>
      <w:r>
        <w:t>Montant concurrent (k€/an, numeric)</w:t>
      </w:r>
    </w:p>
    <w:p>
      <w:pPr>
        <w:pStyle w:val="ListBullet"/>
      </w:pPr>
      <w:r>
        <w:t>Échéance du contrat actuel chez le concurrent (date picker)</w:t>
      </w:r>
    </w:p>
    <w:p>
      <w:pPr>
        <w:pStyle w:val="ListBullet"/>
      </w:pPr>
      <w:r>
        <w:t>Notes internes (textarea 2 lignes)</w:t>
      </w:r>
    </w:p>
    <w:p>
      <w:r>
        <w:t xml:space="preserve">Tous éditables à tout moment, sauvegarde via le bouton </w:t>
      </w:r>
      <w:r>
        <w:rPr>
          <w:b/>
        </w:rPr>
        <w:t>💾 Enregistrer</w:t>
      </w:r>
      <w:r>
        <w:t xml:space="preserve"> (sans changer d'étape).</w:t>
      </w:r>
    </w:p>
    <w:p>
      <w:r>
        <w:t>#### Critères de passage</w:t>
      </w:r>
    </w:p>
    <w:p>
      <w:r>
        <w:t>Pour chaque étape cible, une checklist de critères de sortie :</w:t>
      </w:r>
    </w:p>
    <w:p>
      <w:r>
        <w:t>##### Critères pour passer en Approche</w:t>
      </w:r>
    </w:p>
    <w:p>
      <w:pPr>
        <w:pStyle w:val="ListBullet"/>
      </w:pPr>
      <w:r>
        <w:t>[ ] SIREN renseigné</w:t>
      </w:r>
    </w:p>
    <w:p>
      <w:pPr>
        <w:pStyle w:val="ListBullet"/>
      </w:pPr>
      <w:r>
        <w:t>[ ] Contact principal qualifié</w:t>
      </w:r>
    </w:p>
    <w:p>
      <w:pPr>
        <w:pStyle w:val="ListBullet"/>
      </w:pPr>
      <w:r>
        <w:t>[ ] Besoin exprimé documenté</w:t>
      </w:r>
    </w:p>
    <w:p>
      <w:pPr>
        <w:pStyle w:val="ListBullet"/>
      </w:pPr>
      <w:r>
        <w:t>[ ] Tier prospect défini</w:t>
      </w:r>
    </w:p>
    <w:p>
      <w:r>
        <w:t>##### Critères pour passer en Négociation</w:t>
      </w:r>
    </w:p>
    <w:p>
      <w:pPr>
        <w:pStyle w:val="ListBullet"/>
      </w:pPr>
      <w:r>
        <w:t>[ ] Rendez-vous client réalisé (présentiel ou visio)</w:t>
      </w:r>
    </w:p>
    <w:p>
      <w:pPr>
        <w:pStyle w:val="ListBullet"/>
      </w:pPr>
      <w:r>
        <w:t>[ ] Cartographie des décideurs (≥ 3 personnes)</w:t>
      </w:r>
    </w:p>
    <w:p>
      <w:pPr>
        <w:pStyle w:val="ListBullet"/>
      </w:pPr>
      <w:r>
        <w:t>[ ] Budget identifié (fourchette ou exact)</w:t>
      </w:r>
    </w:p>
    <w:p>
      <w:pPr>
        <w:pStyle w:val="ListBullet"/>
      </w:pPr>
      <w:r>
        <w:t>[ ] Concurrent identifié + offre concurrente analysée</w:t>
      </w:r>
    </w:p>
    <w:p>
      <w:r>
        <w:t>##### Critères pour passer en Conclusion</w:t>
      </w:r>
    </w:p>
    <w:p>
      <w:pPr>
        <w:pStyle w:val="ListBullet"/>
      </w:pPr>
      <w:r>
        <w:t>[ ] Devis chiffré envoyé</w:t>
      </w:r>
    </w:p>
    <w:p>
      <w:pPr>
        <w:pStyle w:val="ListBullet"/>
      </w:pPr>
      <w:r>
        <w:t>[ ] Présentation commerciale réalisée</w:t>
      </w:r>
    </w:p>
    <w:p>
      <w:pPr>
        <w:pStyle w:val="ListBullet"/>
      </w:pPr>
      <w:r>
        <w:t>[ ] Objections principales traitées</w:t>
      </w:r>
    </w:p>
    <w:p>
      <w:pPr>
        <w:pStyle w:val="ListBullet"/>
      </w:pPr>
      <w:r>
        <w:t>[ ] Date de décision validée</w:t>
      </w:r>
    </w:p>
    <w:p>
      <w:r>
        <w:t>##### Critères pour passer en Ordre</w:t>
      </w:r>
    </w:p>
    <w:p>
      <w:pPr>
        <w:pStyle w:val="ListBullet"/>
      </w:pPr>
      <w:r>
        <w:t>[ ] Conditions juridiques arrêtées</w:t>
      </w:r>
    </w:p>
    <w:p>
      <w:pPr>
        <w:pStyle w:val="ListBullet"/>
      </w:pPr>
      <w:r>
        <w:t>[ ] Bon de commande / Contrat d'engagement / Dossier de financement signé</w:t>
      </w:r>
    </w:p>
    <w:p>
      <w:pPr>
        <w:pStyle w:val="ListBullet"/>
      </w:pPr>
      <w:r>
        <w:t>[ ] Signataire confirmé</w:t>
      </w:r>
    </w:p>
    <w:p>
      <w:pPr>
        <w:pStyle w:val="ListBullet"/>
      </w:pPr>
      <w:r>
        <w:t>[ ] Modalités de paiement validées</w:t>
      </w:r>
    </w:p>
    <w:p>
      <w:r>
        <w:t>Si tous les critères ne sont pas validés, une modale de confirmation propose d'avancer malgré tout (avec log dans l'historique).</w:t>
      </w:r>
    </w:p>
    <w:p>
      <w:r>
        <w:t>#### Panneau Santé de l'opportunité</w:t>
      </w:r>
    </w:p>
    <w:p>
      <w:r>
        <w:t>Score sur 100 calculé à partir de :</w:t>
      </w:r>
    </w:p>
    <w:p>
      <w:pPr>
        <w:pStyle w:val="ListBullet"/>
      </w:pPr>
      <w:r>
        <w:rPr>
          <w:b/>
        </w:rPr>
        <w:t>Critères validés</w:t>
      </w:r>
      <w:r>
        <w:t xml:space="preserve"> (poids 50 %)</w:t>
      </w:r>
    </w:p>
    <w:p>
      <w:pPr>
        <w:pStyle w:val="ListBullet"/>
      </w:pPr>
      <w:r>
        <w:rPr>
          <w:b/>
        </w:rPr>
        <w:t>Probabilité du stage cible</w:t>
      </w:r>
      <w:r>
        <w:t xml:space="preserve"> (poids 50 %)</w:t>
      </w:r>
    </w:p>
    <w:p>
      <w:r>
        <w:t>Libellé qualitatif :</w:t>
      </w:r>
    </w:p>
    <w:p>
      <w:pPr>
        <w:pStyle w:val="ListBullet"/>
      </w:pPr>
      <w:r>
        <w:t xml:space="preserve">🟢 </w:t>
      </w:r>
      <w:r>
        <w:rPr>
          <w:b/>
        </w:rPr>
        <w:t>Saine</w:t>
      </w:r>
      <w:r>
        <w:t xml:space="preserve"> : score ≥ 70</w:t>
      </w:r>
    </w:p>
    <w:p>
      <w:pPr>
        <w:pStyle w:val="ListBullet"/>
      </w:pPr>
      <w:r>
        <w:t xml:space="preserve">🟡 </w:t>
      </w:r>
      <w:r>
        <w:rPr>
          <w:b/>
        </w:rPr>
        <w:t>À surveiller</w:t>
      </w:r>
      <w:r>
        <w:t xml:space="preserve"> : score 40–69</w:t>
      </w:r>
    </w:p>
    <w:p>
      <w:pPr>
        <w:pStyle w:val="ListBullet"/>
      </w:pPr>
      <w:r>
        <w:t xml:space="preserve">🔴 </w:t>
      </w:r>
      <w:r>
        <w:rPr>
          <w:b/>
        </w:rPr>
        <w:t>À risque</w:t>
      </w:r>
      <w:r>
        <w:t xml:space="preserve"> : score &lt; 40</w:t>
      </w:r>
    </w:p>
    <w:p>
      <w:r>
        <w:t>#### Panneau Impact si passage</w:t>
      </w:r>
    </w:p>
    <w:p>
      <w:r>
        <w:t>Affichage Avant/Après :</w:t>
      </w:r>
    </w:p>
    <w:p>
      <w:pPr>
        <w:pStyle w:val="ListBullet"/>
      </w:pPr>
      <w:r>
        <w:rPr>
          <w:b/>
        </w:rPr>
        <w:t>Avant</w:t>
      </w:r>
      <w:r>
        <w:t xml:space="preserve"> : montant × probabilité actuelle (barré)</w:t>
      </w:r>
    </w:p>
    <w:p>
      <w:pPr>
        <w:pStyle w:val="ListBullet"/>
      </w:pPr>
      <w:r>
        <w:rPr>
          <w:b/>
        </w:rPr>
        <w:t>Après</w:t>
      </w:r>
      <w:r>
        <w:t xml:space="preserve"> : montant × probabilité du stage cible (en gras)</w:t>
      </w:r>
    </w:p>
    <w:p>
      <w:pPr>
        <w:pStyle w:val="ListBullet"/>
      </w:pPr>
      <w:r>
        <w:rPr>
          <w:b/>
        </w:rPr>
        <w:t>Gain pondéré</w:t>
      </w:r>
      <w:r>
        <w:t xml:space="preserve"> : différence (vert si positif, rouge si négatif)</w:t>
      </w:r>
    </w:p>
    <w:p>
      <w:pPr>
        <w:pStyle w:val="Heading3"/>
      </w:pPr>
      <w:r>
        <w:rPr>
          <w:color w:val="3730A3"/>
          <w:sz w:val="24"/>
        </w:rPr>
        <w:t>10.3 Actions automatiques créées à chaque transition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F"/>
          </w:tcPr>
          <w:p>
            <w:r>
              <w:rPr>
                <w:b/>
                <w:color w:val="1F2942"/>
                <w:sz w:val="18"/>
              </w:rPr>
              <w:t>Transition</w:t>
            </w:r>
          </w:p>
        </w:tc>
        <w:tc>
          <w:tcPr>
            <w:tcW w:type="dxa" w:w="1994"/>
            <w:shd w:val="clear" w:color="auto" w:fill="EEF2FF"/>
          </w:tcPr>
          <w:p>
            <w:r>
              <w:rPr>
                <w:b/>
                <w:color w:val="1F2942"/>
                <w:sz w:val="18"/>
              </w:rPr>
              <w:t>Action créée</w:t>
            </w:r>
          </w:p>
        </w:tc>
        <w:tc>
          <w:tcPr>
            <w:tcW w:type="dxa" w:w="1994"/>
            <w:shd w:val="clear" w:color="auto" w:fill="EEF2FF"/>
          </w:tcPr>
          <w:p>
            <w:r>
              <w:rPr>
                <w:b/>
                <w:color w:val="1F2942"/>
                <w:sz w:val="18"/>
              </w:rPr>
              <w:t>Échéance</w:t>
            </w:r>
          </w:p>
        </w:tc>
        <w:tc>
          <w:tcPr>
            <w:tcW w:type="dxa" w:w="1994"/>
            <w:shd w:val="clear" w:color="auto" w:fill="EEF2FF"/>
          </w:tcPr>
          <w:p>
            <w:r>
              <w:rPr>
                <w:b/>
                <w:color w:val="1F2942"/>
                <w:sz w:val="18"/>
              </w:rPr>
              <w:t>Priorité</w:t>
            </w:r>
          </w:p>
        </w:tc>
        <w:tc>
          <w:tcPr>
            <w:tcW w:type="dxa" w:w="1994"/>
            <w:shd w:val="clear" w:color="auto" w:fill="EEF2FF"/>
          </w:tcPr>
          <w:p>
            <w:r>
              <w:rPr>
                <w:b/>
                <w:color w:val="1F2942"/>
                <w:sz w:val="18"/>
              </w:rPr>
              <w:t>Tag</w:t>
            </w:r>
          </w:p>
        </w:tc>
      </w:tr>
      <w:tr>
        <w:tc>
          <w:tcPr>
            <w:tcW w:type="dxa" w:w="1994"/>
          </w:tcPr>
          <w:p>
            <w:r>
              <w:rPr>
                <w:sz w:val="18"/>
              </w:rPr>
              <w:t>Prospect → Approche</w:t>
            </w:r>
          </w:p>
        </w:tc>
        <w:tc>
          <w:tcPr>
            <w:tcW w:type="dxa" w:w="1994"/>
          </w:tcPr>
          <w:p>
            <w:r>
              <w:rPr>
                <w:sz w:val="18"/>
              </w:rPr>
              <w:t>📝 Préparation de la rédaction de l'offre commerciale</w:t>
            </w:r>
          </w:p>
        </w:tc>
        <w:tc>
          <w:tcPr>
            <w:tcW w:type="dxa" w:w="1994"/>
          </w:tcPr>
          <w:p>
            <w:r>
              <w:rPr>
                <w:sz w:val="18"/>
              </w:rPr>
              <w:t>J+7</w:t>
            </w:r>
          </w:p>
        </w:tc>
        <w:tc>
          <w:tcPr>
            <w:tcW w:type="dxa" w:w="1994"/>
          </w:tcPr>
          <w:p>
            <w:r>
              <w:rPr>
                <w:sz w:val="18"/>
              </w:rPr>
              <w:t>Haute</w:t>
            </w:r>
          </w:p>
        </w:tc>
        <w:tc>
          <w:tcPr>
            <w:tcW w:type="dxa" w:w="1994"/>
          </w:tcPr>
          <w:p>
            <w:r>
              <w:rPr>
                <w:sz w:val="18"/>
              </w:rPr>
              <w:t>Préparation offre (bleu)</w:t>
            </w:r>
          </w:p>
        </w:tc>
      </w:tr>
      <w:tr>
        <w:tc>
          <w:tcPr>
            <w:tcW w:type="dxa" w:w="1994"/>
          </w:tcPr>
          <w:p>
            <w:r>
              <w:rPr>
                <w:sz w:val="18"/>
              </w:rPr>
              <w:t>Approche → Négociation</w:t>
            </w:r>
          </w:p>
        </w:tc>
        <w:tc>
          <w:tcPr>
            <w:tcW w:type="dxa" w:w="1994"/>
          </w:tcPr>
          <w:p>
            <w:r>
              <w:rPr>
                <w:sz w:val="18"/>
              </w:rPr>
              <w:t>✉ Envoi de l'offre commerciale</w:t>
            </w:r>
          </w:p>
        </w:tc>
        <w:tc>
          <w:tcPr>
            <w:tcW w:type="dxa" w:w="1994"/>
          </w:tcPr>
          <w:p>
            <w:r>
              <w:rPr>
                <w:sz w:val="18"/>
              </w:rPr>
              <w:t>J+5</w:t>
            </w:r>
          </w:p>
        </w:tc>
        <w:tc>
          <w:tcPr>
            <w:tcW w:type="dxa" w:w="1994"/>
          </w:tcPr>
          <w:p>
            <w:r>
              <w:rPr>
                <w:sz w:val="18"/>
              </w:rPr>
              <w:t>Haute</w:t>
            </w:r>
          </w:p>
        </w:tc>
        <w:tc>
          <w:tcPr>
            <w:tcW w:type="dxa" w:w="1994"/>
          </w:tcPr>
          <w:p>
            <w:r>
              <w:rPr>
                <w:sz w:val="18"/>
              </w:rPr>
              <w:t>Offre commerciale (violet)</w:t>
            </w:r>
          </w:p>
        </w:tc>
      </w:tr>
      <w:tr>
        <w:tc>
          <w:tcPr>
            <w:tcW w:type="dxa" w:w="1994"/>
          </w:tcPr>
          <w:p>
            <w:r>
              <w:rPr>
                <w:sz w:val="18"/>
              </w:rPr>
              <w:t>Négociation → Conclusion</w:t>
            </w:r>
          </w:p>
        </w:tc>
        <w:tc>
          <w:tcPr>
            <w:tcW w:type="dxa" w:w="1994"/>
          </w:tcPr>
          <w:p>
            <w:r>
              <w:rPr>
                <w:sz w:val="18"/>
              </w:rPr>
              <w:t>(À configurer)</w:t>
            </w:r>
          </w:p>
        </w:tc>
        <w:tc>
          <w:tcPr>
            <w:tcW w:type="dxa" w:w="1994"/>
          </w:tcPr>
          <w:p/>
        </w:tc>
        <w:tc>
          <w:tcPr>
            <w:tcW w:type="dxa" w:w="1994"/>
          </w:tcPr>
          <w:p/>
        </w:tc>
        <w:tc>
          <w:tcPr>
            <w:tcW w:type="dxa" w:w="1994"/>
          </w:tcPr>
          <w:p/>
        </w:tc>
      </w:tr>
      <w:tr>
        <w:tc>
          <w:tcPr>
            <w:tcW w:type="dxa" w:w="1994"/>
          </w:tcPr>
          <w:p>
            <w:r>
              <w:rPr>
                <w:sz w:val="18"/>
              </w:rPr>
              <w:t>Conclusion → Ordre</w:t>
            </w:r>
          </w:p>
        </w:tc>
        <w:tc>
          <w:tcPr>
            <w:tcW w:type="dxa" w:w="1994"/>
          </w:tcPr>
          <w:p>
            <w:r>
              <w:rPr>
                <w:sz w:val="18"/>
              </w:rPr>
              <w:t>Cascade automatique (cf. ci-dessous)</w:t>
            </w:r>
          </w:p>
        </w:tc>
        <w:tc>
          <w:tcPr>
            <w:tcW w:type="dxa" w:w="1994"/>
          </w:tcPr>
          <w:p/>
        </w:tc>
        <w:tc>
          <w:tcPr>
            <w:tcW w:type="dxa" w:w="1994"/>
          </w:tcPr>
          <w:p/>
        </w:tc>
        <w:tc>
          <w:tcPr>
            <w:tcW w:type="dxa" w:w="1994"/>
          </w:tcPr>
          <w:p/>
        </w:tc>
      </w:tr>
    </w:tbl>
    <w:p/>
    <w:p>
      <w:r>
        <w:t>Chaque action est rattachée au client + à l'opportunité, et affichée dans le bloc « Actions à mener » du CRM Pipeline et de la fiche client.</w:t>
      </w:r>
    </w:p>
    <w:p>
      <w:pPr>
        <w:pStyle w:val="Heading3"/>
      </w:pPr>
      <w:r>
        <w:rPr>
          <w:color w:val="3730A3"/>
          <w:sz w:val="24"/>
        </w:rPr>
        <w:t>10.4 Cascade automatique au passage en Ordre</w:t>
      </w:r>
    </w:p>
    <w:p>
      <w:r>
        <w:t xml:space="preserve">Au passage en stage </w:t>
      </w:r>
      <w:r>
        <w:rPr>
          <w:rFonts w:ascii="Consolas" w:hAnsi="Consolas"/>
          <w:sz w:val="18"/>
        </w:rPr>
        <w:t>won</w:t>
      </w:r>
      <w:r>
        <w:t xml:space="preserve"> (Ordre), le système déclenche automatiquement :</w:t>
      </w:r>
    </w:p>
    <w:p>
      <w:r>
        <w:t xml:space="preserve">1. </w:t>
      </w:r>
      <w:r>
        <w:rPr>
          <w:b/>
        </w:rPr>
        <w:t>Marquage de tous les devis non-transformés</w:t>
      </w:r>
      <w:r>
        <w:t xml:space="preserve"> de cette opp en statut </w:t>
      </w:r>
      <w:r>
        <w:rPr>
          <w:rFonts w:ascii="Consolas" w:hAnsi="Consolas"/>
          <w:sz w:val="18"/>
        </w:rPr>
        <w:t>accepté</w:t>
      </w:r>
    </w:p>
    <w:p>
      <w:r>
        <w:t xml:space="preserve">2. </w:t>
      </w:r>
      <w:r>
        <w:rPr>
          <w:b/>
        </w:rPr>
        <w:t>Transformation cascade</w:t>
      </w:r>
      <w:r>
        <w:t xml:space="preserve"> :</w:t>
      </w:r>
    </w:p>
    <w:p>
      <w:pPr>
        <w:pStyle w:val="ListBullet"/>
      </w:pPr>
      <w:r>
        <w:t>Chaque devis accepté → création d'une commande</w:t>
      </w:r>
    </w:p>
    <w:p>
      <w:pPr>
        <w:pStyle w:val="ListBullet"/>
      </w:pPr>
      <w:r>
        <w:t>Chaque commande → création d'un BL (bon de livraison)</w:t>
      </w:r>
    </w:p>
    <w:p>
      <w:r>
        <w:t xml:space="preserve">3. </w:t>
      </w:r>
      <w:r>
        <w:rPr>
          <w:b/>
        </w:rPr>
        <w:t>Création automatique d'un projet</w:t>
      </w:r>
      <w:r>
        <w:t xml:space="preserve"> dans le module Projets &amp; Livrables (si aucun déjà lié)</w:t>
      </w:r>
    </w:p>
    <w:p>
      <w:r>
        <w:t xml:space="preserve">4. </w:t>
      </w:r>
      <w:r>
        <w:rPr>
          <w:b/>
        </w:rPr>
        <w:t>Toast de récap</w:t>
      </w:r>
      <w:r>
        <w:t xml:space="preserve"> : « ✓ Opp passée en Ordre · N devis → commande · N BL créés · projet PRJ-XXXX créé »</w:t>
      </w:r>
    </w:p>
    <w:p>
      <w:pPr>
        <w:pStyle w:val="Heading3"/>
      </w:pPr>
      <w:r>
        <w:rPr>
          <w:color w:val="3730A3"/>
          <w:sz w:val="24"/>
        </w:rPr>
        <w:t>10.5 Boutons d'action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Bouton</w:t>
            </w:r>
          </w:p>
        </w:tc>
        <w:tc>
          <w:tcPr>
            <w:tcW w:type="dxa" w:w="3324"/>
            <w:shd w:val="clear" w:color="auto" w:fill="EEF2FF"/>
          </w:tcPr>
          <w:p>
            <w:r>
              <w:rPr>
                <w:b/>
                <w:color w:val="1F2942"/>
                <w:sz w:val="18"/>
              </w:rPr>
              <w:t>Couleur</w:t>
            </w:r>
          </w:p>
        </w:tc>
        <w:tc>
          <w:tcPr>
            <w:tcW w:type="dxa" w:w="3324"/>
            <w:shd w:val="clear" w:color="auto" w:fill="EEF2FF"/>
          </w:tcPr>
          <w:p>
            <w:r>
              <w:rPr>
                <w:b/>
                <w:color w:val="1F2942"/>
                <w:sz w:val="18"/>
              </w:rPr>
              <w:t>Action</w:t>
            </w:r>
          </w:p>
        </w:tc>
      </w:tr>
      <w:tr>
        <w:tc>
          <w:tcPr>
            <w:tcW w:type="dxa" w:w="3324"/>
          </w:tcPr>
          <w:p>
            <w:r>
              <w:rPr>
                <w:sz w:val="18"/>
              </w:rPr>
              <w:t>💾 Enregistrer</w:t>
            </w:r>
          </w:p>
        </w:tc>
        <w:tc>
          <w:tcPr>
            <w:tcW w:type="dxa" w:w="3324"/>
          </w:tcPr>
          <w:p>
            <w:r>
              <w:rPr>
                <w:sz w:val="18"/>
              </w:rPr>
              <w:t>Vert ghost</w:t>
            </w:r>
          </w:p>
        </w:tc>
        <w:tc>
          <w:tcPr>
            <w:tcW w:type="dxa" w:w="3324"/>
          </w:tcPr>
          <w:p>
            <w:r>
              <w:rPr>
                <w:sz w:val="18"/>
              </w:rPr>
              <w:t>Sauvegarde les champs sans changer d'étape</w:t>
            </w:r>
          </w:p>
        </w:tc>
      </w:tr>
      <w:tr>
        <w:tc>
          <w:tcPr>
            <w:tcW w:type="dxa" w:w="3324"/>
          </w:tcPr>
          <w:p>
            <w:r>
              <w:rPr>
                <w:sz w:val="18"/>
              </w:rPr>
              <w:t>📄 Créer un devis</w:t>
            </w:r>
          </w:p>
        </w:tc>
        <w:tc>
          <w:tcPr>
            <w:tcW w:type="dxa" w:w="3324"/>
          </w:tcPr>
          <w:p>
            <w:r>
              <w:rPr>
                <w:sz w:val="18"/>
              </w:rPr>
              <w:t>Orange ghost</w:t>
            </w:r>
          </w:p>
        </w:tc>
        <w:tc>
          <w:tcPr>
            <w:tcW w:type="dxa" w:w="3324"/>
          </w:tcPr>
          <w:p>
            <w:r>
              <w:rPr>
                <w:sz w:val="18"/>
              </w:rPr>
              <w:t xml:space="preserve">Ouvre </w:t>
            </w:r>
            <w:r>
              <w:rPr>
                <w:rFonts w:ascii="Consolas" w:hAnsi="Consolas"/>
                <w:sz w:val="18"/>
              </w:rPr>
              <w:t>/gestion-commerciale</w:t>
            </w:r>
            <w:r>
              <w:rPr>
                <w:sz w:val="18"/>
              </w:rPr>
              <w:t xml:space="preserve"> pré-rempli</w:t>
            </w:r>
          </w:p>
        </w:tc>
      </w:tr>
      <w:tr>
        <w:tc>
          <w:tcPr>
            <w:tcW w:type="dxa" w:w="3324"/>
          </w:tcPr>
          <w:p>
            <w:r>
              <w:rPr>
                <w:sz w:val="18"/>
              </w:rPr>
              <w:t>📋 Devis en cours</w:t>
            </w:r>
          </w:p>
        </w:tc>
        <w:tc>
          <w:tcPr>
            <w:tcW w:type="dxa" w:w="3324"/>
          </w:tcPr>
          <w:p>
            <w:r>
              <w:rPr>
                <w:sz w:val="18"/>
              </w:rPr>
              <w:t>Bleu ghost</w:t>
            </w:r>
          </w:p>
        </w:tc>
        <w:tc>
          <w:tcPr>
            <w:tcW w:type="dxa" w:w="3324"/>
          </w:tcPr>
          <w:p>
            <w:r>
              <w:rPr>
                <w:sz w:val="18"/>
              </w:rPr>
              <w:t>Raccourci vers les devis liés au client</w:t>
            </w:r>
          </w:p>
        </w:tc>
      </w:tr>
      <w:tr>
        <w:tc>
          <w:tcPr>
            <w:tcW w:type="dxa" w:w="3324"/>
          </w:tcPr>
          <w:p>
            <w:r>
              <w:rPr>
                <w:sz w:val="18"/>
              </w:rPr>
              <w:t>🗑 Supprimer</w:t>
            </w:r>
          </w:p>
        </w:tc>
        <w:tc>
          <w:tcPr>
            <w:tcW w:type="dxa" w:w="3324"/>
          </w:tcPr>
          <w:p>
            <w:r>
              <w:rPr>
                <w:sz w:val="18"/>
              </w:rPr>
              <w:t>Rouge ghost</w:t>
            </w:r>
          </w:p>
        </w:tc>
        <w:tc>
          <w:tcPr>
            <w:tcW w:type="dxa" w:w="3324"/>
          </w:tcPr>
          <w:p>
            <w:r>
              <w:rPr>
                <w:sz w:val="18"/>
              </w:rPr>
              <w:t>Suppression définitive avec confirmation</w:t>
            </w:r>
          </w:p>
        </w:tc>
      </w:tr>
      <w:tr>
        <w:tc>
          <w:tcPr>
            <w:tcW w:type="dxa" w:w="3324"/>
          </w:tcPr>
          <w:p>
            <w:r>
              <w:rPr>
                <w:sz w:val="18"/>
              </w:rPr>
              <w:t>✕ Marquer comme perdu</w:t>
            </w:r>
          </w:p>
        </w:tc>
        <w:tc>
          <w:tcPr>
            <w:tcW w:type="dxa" w:w="3324"/>
          </w:tcPr>
          <w:p>
            <w:r>
              <w:rPr>
                <w:sz w:val="18"/>
              </w:rPr>
              <w:t>Rouge plein</w:t>
            </w:r>
          </w:p>
        </w:tc>
        <w:tc>
          <w:tcPr>
            <w:tcW w:type="dxa" w:w="3324"/>
          </w:tcPr>
          <w:p>
            <w:r>
              <w:rPr>
                <w:sz w:val="18"/>
              </w:rPr>
              <w:t xml:space="preserve">Passe à 0 % proba, stage </w:t>
            </w:r>
            <w:r>
              <w:rPr>
                <w:rFonts w:ascii="Consolas" w:hAnsi="Consolas"/>
                <w:sz w:val="18"/>
              </w:rPr>
              <w:t>lost</w:t>
            </w:r>
          </w:p>
        </w:tc>
      </w:tr>
      <w:tr>
        <w:tc>
          <w:tcPr>
            <w:tcW w:type="dxa" w:w="3324"/>
          </w:tcPr>
          <w:p>
            <w:r>
              <w:rPr>
                <w:sz w:val="18"/>
              </w:rPr>
              <w:t>✓ Confirmer le passage</w:t>
            </w:r>
          </w:p>
        </w:tc>
        <w:tc>
          <w:tcPr>
            <w:tcW w:type="dxa" w:w="3324"/>
          </w:tcPr>
          <w:p>
            <w:r>
              <w:rPr>
                <w:sz w:val="18"/>
              </w:rPr>
              <w:t>Bleu indigo plein</w:t>
            </w:r>
          </w:p>
        </w:tc>
        <w:tc>
          <w:tcPr>
            <w:tcW w:type="dxa" w:w="3324"/>
          </w:tcPr>
          <w:p>
            <w:r>
              <w:rPr>
                <w:sz w:val="18"/>
              </w:rPr>
              <w:t>Déclenche l'avancement SPANCO</w:t>
            </w:r>
          </w:p>
        </w:tc>
      </w:tr>
    </w:tbl>
    <w:p/>
    <w:p>
      <w:pPr>
        <w:spacing w:before="80"/>
        <w:pBdr>
          <w:bottom w:val="single" w:sz="6" w:color="C0C7D2"/>
        </w:pBdr>
      </w:pPr>
    </w:p>
    <w:p>
      <w:pPr>
        <w:pStyle w:val="Heading2"/>
      </w:pPr>
      <w:r>
        <w:rPr>
          <w:color w:val="1F2942"/>
          <w:sz w:val="28"/>
        </w:rPr>
        <w:t>11. GESTION COMMERCIALE (DEVIS → COMMANDE → BL → FACTURE)</w:t>
      </w:r>
    </w:p>
    <w:p>
      <w:pPr>
        <w:pStyle w:val="Heading3"/>
      </w:pPr>
      <w:r>
        <w:rPr>
          <w:color w:val="3730A3"/>
          <w:sz w:val="24"/>
        </w:rPr>
        <w:t>11.1 Workflow Sage-like</w:t>
      </w:r>
    </w:p>
    <w:p>
      <w:r>
        <w:rPr>
          <w:b/>
        </w:rPr>
        <w:t>Route</w:t>
      </w:r>
      <w:r>
        <w:t xml:space="preserve"> : </w:t>
      </w:r>
      <w:r>
        <w:rPr>
          <w:rFonts w:ascii="Consolas" w:hAnsi="Consolas"/>
          <w:sz w:val="18"/>
        </w:rPr>
        <w:t>/gestion-commerciale</w:t>
      </w:r>
    </w:p>
    <w:p>
      <w:r>
        <w:t>Quatre types de documents reliés par une chaîne de transformation :</w:t>
      </w:r>
    </w:p>
    <w:p>
      <w:pPr>
        <w:shd w:val="clear" w:fill="F1F3F6"/>
      </w:pPr>
      <w:r>
        <w:rPr>
          <w:rFonts w:ascii="Consolas" w:hAnsi="Consolas"/>
          <w:sz w:val="17"/>
        </w:rPr>
        <w:t>Devis (DEV-2026-NNNN) [Brouillon → Envoyé → Accepté → Transformé]</w:t>
        <w:br/>
        <w:t xml:space="preserve">   ↓</w:t>
        <w:br/>
        <w:t>Commande client (CMD-2026-NNNN) [Brouillon → Acceptée → En cours → Transformée]</w:t>
        <w:br/>
        <w:t xml:space="preserve">   ↓</w:t>
        <w:br/>
        <w:t>Bon de livraison (BL-2026-NNNN) [Brouillon → En préparation → Livré → Transformé]</w:t>
        <w:br/>
        <w:t xml:space="preserve">   ↓</w:t>
        <w:br/>
        <w:t>Facture (FAC-2026-NNNN) [Brouillon → Émise → Payée]</w:t>
      </w:r>
    </w:p>
    <w:p>
      <w:r>
        <w:t>#### Règles de transformation</w:t>
      </w:r>
    </w:p>
    <w:p>
      <w:pPr>
        <w:pStyle w:val="ListBullet"/>
      </w:pPr>
      <w:r>
        <w:t xml:space="preserve">Un </w:t>
      </w:r>
      <w:r>
        <w:rPr>
          <w:b/>
        </w:rPr>
        <w:t>devis</w:t>
      </w:r>
      <w:r>
        <w:t xml:space="preserve"> doit être </w:t>
      </w:r>
      <w:r>
        <w:rPr>
          <w:b/>
        </w:rPr>
        <w:t>Accepté</w:t>
      </w:r>
      <w:r>
        <w:t xml:space="preserve"> pour être transformé en commande</w:t>
      </w:r>
    </w:p>
    <w:p>
      <w:pPr>
        <w:pStyle w:val="ListBullet"/>
      </w:pPr>
      <w:r>
        <w:t xml:space="preserve">Une </w:t>
      </w:r>
      <w:r>
        <w:rPr>
          <w:b/>
        </w:rPr>
        <w:t>commande</w:t>
      </w:r>
      <w:r>
        <w:t xml:space="preserve"> doit être </w:t>
      </w:r>
      <w:r>
        <w:rPr>
          <w:b/>
        </w:rPr>
        <w:t>Acceptée</w:t>
      </w:r>
      <w:r>
        <w:t xml:space="preserve"> pour générer un BL</w:t>
      </w:r>
    </w:p>
    <w:p>
      <w:pPr>
        <w:pStyle w:val="ListBullet"/>
      </w:pPr>
      <w:r>
        <w:t xml:space="preserve">Un </w:t>
      </w:r>
      <w:r>
        <w:rPr>
          <w:b/>
        </w:rPr>
        <w:t>BL</w:t>
      </w:r>
      <w:r>
        <w:t xml:space="preserve"> doit être </w:t>
      </w:r>
      <w:r>
        <w:rPr>
          <w:b/>
        </w:rPr>
        <w:t>Livré</w:t>
      </w:r>
      <w:r>
        <w:t xml:space="preserve"> pour produire une facture</w:t>
      </w:r>
    </w:p>
    <w:p>
      <w:pPr>
        <w:pStyle w:val="ListBullet"/>
      </w:pPr>
      <w:r>
        <w:rPr>
          <w:b/>
        </w:rPr>
        <w:t>Lignes et champs restent éditables</w:t>
      </w:r>
      <w:r>
        <w:t xml:space="preserve"> après transformation (ajout / modification / suppression autorisés sauf si statut figé)</w:t>
      </w:r>
    </w:p>
    <w:p>
      <w:r>
        <w:t>#### Devis figé</w:t>
      </w:r>
    </w:p>
    <w:p>
      <w:r>
        <w:t xml:space="preserve">Dès qu'un devis est en statut </w:t>
      </w:r>
      <w:r>
        <w:rPr>
          <w:b/>
        </w:rPr>
        <w:t>Accepté</w:t>
      </w:r>
      <w:r>
        <w:t xml:space="preserve"> ou </w:t>
      </w:r>
      <w:r>
        <w:rPr>
          <w:b/>
        </w:rPr>
        <w:t>Transformé</w:t>
      </w:r>
      <w:r>
        <w:t>, il bascule en lecture seule avec :</w:t>
      </w:r>
    </w:p>
    <w:p>
      <w:pPr>
        <w:pStyle w:val="ListBullet"/>
      </w:pPr>
      <w:r>
        <w:t>Bandeau « Devis figé · Doc transformé — lignes &amp; champs restent éditables »</w:t>
      </w:r>
    </w:p>
    <w:p>
      <w:pPr>
        <w:pStyle w:val="ListBullet"/>
      </w:pPr>
      <w:r>
        <w:t>Pastilles cliquables BC / BL au bandeau pour ouvrir les documents enfants</w:t>
      </w:r>
    </w:p>
    <w:p>
      <w:pPr>
        <w:pStyle w:val="ListBullet"/>
      </w:pPr>
      <w:r>
        <w:t>Boutons d'édition désactivés sauf pour les éditeurs ligne autorisés</w:t>
      </w:r>
    </w:p>
    <w:p>
      <w:r>
        <w:t>#### Synchronisation bidirectionnelle Commande ↔ BL</w:t>
      </w:r>
    </w:p>
    <w:p>
      <w:r>
        <w:t xml:space="preserve">Quand un utilisateur modifie une ligne sur la commande </w:t>
      </w:r>
      <w:r>
        <w:rPr>
          <w:b/>
        </w:rPr>
        <w:t>ou</w:t>
      </w:r>
      <w:r>
        <w:t xml:space="preserve"> le BL, l'autre document est synchronisé automatiquement (dernière modification gagne). Toast d'information : « ↔ Commande et BL synchronisés ».</w:t>
      </w:r>
    </w:p>
    <w:p>
      <w:pPr>
        <w:pStyle w:val="Heading3"/>
      </w:pPr>
      <w:r>
        <w:rPr>
          <w:color w:val="3730A3"/>
          <w:sz w:val="24"/>
        </w:rPr>
        <w:t>11.2 Layout de la page</w:t>
      </w:r>
    </w:p>
    <w:p>
      <w:r>
        <w:t>#### Sidebar gauche</w:t>
      </w:r>
    </w:p>
    <w:p>
      <w:pPr>
        <w:pStyle w:val="ListBullet"/>
      </w:pPr>
      <w:r>
        <w:t xml:space="preserve">Bouton proéminent </w:t>
      </w:r>
      <w:r>
        <w:rPr>
          <w:b/>
        </w:rPr>
        <w:t>+ Nouveau devis</w:t>
      </w:r>
    </w:p>
    <w:p>
      <w:pPr>
        <w:pStyle w:val="ListBullet"/>
      </w:pPr>
      <w:r>
        <w:t>Onglets : Devis (compteur), Commandes client, Bons livraison, Factures</w:t>
      </w:r>
    </w:p>
    <w:p>
      <w:pPr>
        <w:pStyle w:val="ListBullet"/>
      </w:pPr>
      <w:r>
        <w:t xml:space="preserve">Section Administration : Catalogue &amp; paramètres → </w:t>
      </w:r>
      <w:r>
        <w:rPr>
          <w:rFonts w:ascii="Consolas" w:hAnsi="Consolas"/>
          <w:sz w:val="18"/>
        </w:rPr>
        <w:t>/gestion-commerciale-admin</w:t>
      </w:r>
    </w:p>
    <w:p>
      <w:r>
        <w:t>#### Topbar</w:t>
      </w:r>
    </w:p>
    <w:p>
      <w:pPr>
        <w:pStyle w:val="ListBullet"/>
      </w:pPr>
      <w:r>
        <w:t>Titre du module + nombre de documents + somme TTC</w:t>
      </w:r>
    </w:p>
    <w:p>
      <w:pPr>
        <w:pStyle w:val="ListBullet"/>
      </w:pPr>
      <w:r>
        <w:t>Barre de recherche (raison sociale, référence, titre)</w:t>
      </w:r>
    </w:p>
    <w:p>
      <w:pPr>
        <w:pStyle w:val="ListBullet"/>
      </w:pPr>
      <w:r>
        <w:t>Filtre par plage de dates</w:t>
      </w:r>
    </w:p>
    <w:p>
      <w:pPr>
        <w:pStyle w:val="ListBullet"/>
      </w:pPr>
      <w:r>
        <w:t xml:space="preserve">Bouton </w:t>
      </w:r>
      <w:r>
        <w:rPr>
          <w:b/>
        </w:rPr>
        <w:t>+ Nouveau</w:t>
      </w:r>
    </w:p>
    <w:p>
      <w:r>
        <w:t>#### KPI strip</w:t>
      </w:r>
    </w:p>
    <w:p>
      <w:pPr>
        <w:pStyle w:val="ListBullet"/>
      </w:pPr>
      <w:r>
        <w:t>Total HT</w:t>
      </w:r>
    </w:p>
    <w:p>
      <w:pPr>
        <w:pStyle w:val="ListBullet"/>
      </w:pPr>
      <w:r>
        <w:t>Total TTC</w:t>
      </w:r>
    </w:p>
    <w:p>
      <w:pPr>
        <w:pStyle w:val="ListBullet"/>
      </w:pPr>
      <w:r>
        <w:t>En attente (compte des documents pending)</w:t>
      </w:r>
    </w:p>
    <w:p>
      <w:pPr>
        <w:pStyle w:val="ListBullet"/>
      </w:pPr>
      <w:r>
        <w:t>Documents (compteur global)</w:t>
      </w:r>
    </w:p>
    <w:p>
      <w:r>
        <w:t>#### Filtres</w:t>
      </w:r>
    </w:p>
    <w:p>
      <w:pPr>
        <w:pStyle w:val="ListBullet"/>
      </w:pPr>
      <w:r>
        <w:t>Onglets : Tous / Brouillons</w:t>
      </w:r>
    </w:p>
    <w:p>
      <w:pPr>
        <w:pStyle w:val="ListBullet"/>
      </w:pPr>
      <w:r>
        <w:t>Recherche : « raison sociale ou CLIxxx »</w:t>
      </w:r>
    </w:p>
    <w:p>
      <w:pPr>
        <w:pStyle w:val="ListBullet"/>
      </w:pPr>
      <w:r>
        <w:t>Plage de dates : DATE [du] → [au]</w:t>
      </w:r>
    </w:p>
    <w:p>
      <w:r>
        <w:t>#### Liste de documents (centre)</w:t>
      </w:r>
    </w:p>
    <w:p>
      <w:r>
        <w:t>Colonnes :</w:t>
      </w:r>
    </w:p>
    <w:p>
      <w:pPr>
        <w:pStyle w:val="ListBullet"/>
      </w:pPr>
      <w:r>
        <w:t>Référence (cliquable)</w:t>
      </w:r>
    </w:p>
    <w:p>
      <w:pPr>
        <w:pStyle w:val="ListBullet"/>
      </w:pPr>
      <w:r>
        <w:t>Code raison sociale (CLI-XXXX)</w:t>
      </w:r>
    </w:p>
    <w:p>
      <w:pPr>
        <w:pStyle w:val="ListBullet"/>
      </w:pPr>
      <w:r>
        <w:t>Date de la pièce</w:t>
      </w:r>
    </w:p>
    <w:p>
      <w:pPr>
        <w:pStyle w:val="ListBullet"/>
      </w:pPr>
      <w:r>
        <w:t>Nom de la raison sociale + Titre du document</w:t>
      </w:r>
    </w:p>
    <w:p>
      <w:pPr>
        <w:pStyle w:val="ListBullet"/>
      </w:pPr>
      <w:r>
        <w:t>Montant HT</w:t>
      </w:r>
    </w:p>
    <w:p>
      <w:pPr>
        <w:pStyle w:val="ListBullet"/>
      </w:pPr>
      <w:r>
        <w:t>Statut (pastille colorée)</w:t>
      </w:r>
    </w:p>
    <w:p>
      <w:r>
        <w:t>#### Panneau prévisualisation (droite, sticky)</w:t>
      </w:r>
    </w:p>
    <w:p>
      <w:r>
        <w:t>Au clic sur un document, affichage live :</w:t>
      </w:r>
    </w:p>
    <w:p>
      <w:pPr>
        <w:pStyle w:val="ListBullet"/>
      </w:pPr>
      <w:r>
        <w:t>Référence + statut + horloge mise à jour</w:t>
      </w:r>
    </w:p>
    <w:p>
      <w:pPr>
        <w:pStyle w:val="ListBullet"/>
      </w:pPr>
      <w:r>
        <w:t>Workflow Sage en cours (D → C → B → F avec pastilles colorées)</w:t>
      </w:r>
    </w:p>
    <w:p>
      <w:pPr>
        <w:pStyle w:val="ListBullet"/>
      </w:pPr>
      <w:r>
        <w:t>Client + date</w:t>
      </w:r>
    </w:p>
    <w:p>
      <w:pPr>
        <w:pStyle w:val="ListBullet"/>
      </w:pPr>
      <w:r>
        <w:t>Lignes du document (libellé + SKU + qty × PU)</w:t>
      </w:r>
    </w:p>
    <w:p>
      <w:pPr>
        <w:pStyle w:val="ListBullet"/>
      </w:pPr>
      <w:r>
        <w:t xml:space="preserve">Bouton </w:t>
      </w:r>
      <w:r>
        <w:rPr>
          <w:b/>
        </w:rPr>
        <w:t>Ouvrir</w:t>
      </w:r>
      <w:r>
        <w:t xml:space="preserve"> plein écran</w:t>
      </w:r>
    </w:p>
    <w:p>
      <w:pPr>
        <w:pStyle w:val="ListBullet"/>
      </w:pPr>
      <w:r>
        <w:t>Totaux HT / TVA / TTC</w:t>
      </w:r>
    </w:p>
    <w:p>
      <w:pPr>
        <w:pStyle w:val="Heading3"/>
      </w:pPr>
      <w:r>
        <w:rPr>
          <w:color w:val="3730A3"/>
          <w:sz w:val="24"/>
        </w:rPr>
        <w:t>11.3 Édition d'un document</w:t>
      </w:r>
    </w:p>
    <w:p>
      <w:r>
        <w:t>#### En-tête</w:t>
      </w:r>
    </w:p>
    <w:p>
      <w:pPr>
        <w:pStyle w:val="ListBullet"/>
      </w:pPr>
      <w:r>
        <w:t>Référence (cliquable pour copier)</w:t>
      </w:r>
    </w:p>
    <w:p>
      <w:pPr>
        <w:pStyle w:val="ListBullet"/>
      </w:pPr>
      <w:r>
        <w:t>Type (badge coloré)</w:t>
      </w:r>
    </w:p>
    <w:p>
      <w:pPr>
        <w:pStyle w:val="ListBullet"/>
      </w:pPr>
      <w:r>
        <w:t>Client (recherche + sélection)</w:t>
      </w:r>
    </w:p>
    <w:p>
      <w:pPr>
        <w:pStyle w:val="ListBullet"/>
      </w:pPr>
      <w:r>
        <w:t>Date de la pièce</w:t>
      </w:r>
    </w:p>
    <w:p>
      <w:pPr>
        <w:pStyle w:val="ListBullet"/>
      </w:pPr>
      <w:r>
        <w:t>Validité (devis) ou Échéance (facture)</w:t>
      </w:r>
    </w:p>
    <w:p>
      <w:pPr>
        <w:pStyle w:val="ListBullet"/>
      </w:pPr>
      <w:r>
        <w:t>Statut (sélecteur)</w:t>
      </w:r>
    </w:p>
    <w:p>
      <w:r>
        <w:t>#### Section Conditions commerciales</w:t>
      </w:r>
    </w:p>
    <w:p>
      <w:pPr>
        <w:pStyle w:val="ListBullet"/>
      </w:pPr>
      <w:r>
        <w:t>Délai de paiement (selecteur dropdown)</w:t>
      </w:r>
    </w:p>
    <w:p>
      <w:pPr>
        <w:pStyle w:val="ListBullet"/>
      </w:pPr>
      <w:r>
        <w:t>Acompte demandé (% ou montant fixe)</w:t>
      </w:r>
    </w:p>
    <w:p>
      <w:pPr>
        <w:pStyle w:val="ListBullet"/>
      </w:pPr>
      <w:r>
        <w:t>Pénalités de retard (taux standard 10 %)</w:t>
      </w:r>
    </w:p>
    <w:p>
      <w:pPr>
        <w:pStyle w:val="ListBullet"/>
      </w:pPr>
      <w:r>
        <w:t>Conditions particulières (textarea libre)</w:t>
      </w:r>
    </w:p>
    <w:p>
      <w:r>
        <w:t>#### Section Lignes</w:t>
      </w:r>
    </w:p>
    <w:p>
      <w:r>
        <w:t>Pour chaque ligne :</w:t>
      </w:r>
    </w:p>
    <w:p>
      <w:pPr>
        <w:pStyle w:val="ListBullet"/>
      </w:pPr>
      <w:r>
        <w:rPr>
          <w:b/>
        </w:rPr>
        <w:t>N° ligne</w:t>
      </w:r>
      <w:r>
        <w:t xml:space="preserve"> (automatique)</w:t>
      </w:r>
    </w:p>
    <w:p>
      <w:pPr>
        <w:pStyle w:val="ListBullet"/>
      </w:pPr>
      <w:r>
        <w:rPr>
          <w:b/>
        </w:rPr>
        <w:t>N° article</w:t>
      </w:r>
      <w:r>
        <w:t xml:space="preserve"> (recherche catalogue ou libre)</w:t>
      </w:r>
    </w:p>
    <w:p>
      <w:pPr>
        <w:pStyle w:val="ListBullet"/>
      </w:pPr>
      <w:r>
        <w:rPr>
          <w:b/>
        </w:rPr>
        <w:t>Désignation</w:t>
      </w:r>
      <w:r>
        <w:t xml:space="preserve"> (auto-remplie depuis le catalogue, en lecture seule si article catalogue)</w:t>
      </w:r>
    </w:p>
    <w:p>
      <w:pPr>
        <w:pStyle w:val="ListBullet"/>
      </w:pPr>
      <w:r>
        <w:rPr>
          <w:b/>
        </w:rPr>
        <w:t>Description (champ libre)</w:t>
      </w:r>
      <w:r>
        <w:t xml:space="preserve"> : ajout d'un texte enrichi (gras, italique, souligné) repris à l'identique sur le PDF</w:t>
      </w:r>
    </w:p>
    <w:p>
      <w:pPr>
        <w:pStyle w:val="ListBullet"/>
      </w:pPr>
      <w:r>
        <w:rPr>
          <w:b/>
        </w:rPr>
        <w:t>Quantité</w:t>
      </w:r>
      <w:r>
        <w:t xml:space="preserve"> + </w:t>
      </w:r>
      <w:r>
        <w:rPr>
          <w:b/>
        </w:rPr>
        <w:t>Unité</w:t>
      </w:r>
    </w:p>
    <w:p>
      <w:pPr>
        <w:pStyle w:val="ListBullet"/>
      </w:pPr>
      <w:r>
        <w:rPr>
          <w:b/>
        </w:rPr>
        <w:t>Prix unitaire HT</w:t>
      </w:r>
    </w:p>
    <w:p>
      <w:pPr>
        <w:pStyle w:val="ListBullet"/>
      </w:pPr>
      <w:r>
        <w:rPr>
          <w:b/>
        </w:rPr>
        <w:t>Remise %</w:t>
      </w:r>
      <w:r>
        <w:t xml:space="preserve"> (optionnelle)</w:t>
      </w:r>
    </w:p>
    <w:p>
      <w:pPr>
        <w:pStyle w:val="ListBullet"/>
      </w:pPr>
      <w:r>
        <w:rPr>
          <w:b/>
        </w:rPr>
        <w:t>Taux TVA</w:t>
      </w:r>
      <w:r>
        <w:t xml:space="preserve"> (sélecteur)</w:t>
      </w:r>
    </w:p>
    <w:p>
      <w:pPr>
        <w:pStyle w:val="ListBullet"/>
      </w:pPr>
      <w:r>
        <w:rPr>
          <w:b/>
        </w:rPr>
        <w:t>Total HT</w:t>
      </w:r>
      <w:r>
        <w:t xml:space="preserve"> (calculé)</w:t>
      </w:r>
    </w:p>
    <w:p>
      <w:pPr>
        <w:pStyle w:val="ListBullet"/>
      </w:pPr>
      <w:r>
        <w:rPr>
          <w:b/>
        </w:rPr>
        <w:t>Référence constructeur (interne — non imprimée)</w:t>
      </w:r>
    </w:p>
    <w:p>
      <w:pPr>
        <w:pStyle w:val="ListBullet"/>
      </w:pPr>
      <w:r>
        <w:rPr>
          <w:b/>
        </w:rPr>
        <w:t>Fournisseur (interne)</w:t>
      </w:r>
    </w:p>
    <w:p>
      <w:pPr>
        <w:pStyle w:val="ListBullet"/>
      </w:pPr>
      <w:r>
        <w:rPr>
          <w:b/>
        </w:rPr>
        <w:t>Prix d'achat indicatif (interne — non imprimé)</w:t>
      </w:r>
      <w:r>
        <w:t xml:space="preserve"> : marge calculée automatiquement</w:t>
      </w:r>
    </w:p>
    <w:p>
      <w:r>
        <w:t>Lignes ajoutables via :</w:t>
      </w:r>
    </w:p>
    <w:p>
      <w:pPr>
        <w:pStyle w:val="ListBullet"/>
      </w:pPr>
      <w:r>
        <w:t xml:space="preserve">Bouton </w:t>
      </w:r>
      <w:r>
        <w:rPr>
          <w:b/>
        </w:rPr>
        <w:t>+ Ligne libre</w:t>
      </w:r>
    </w:p>
    <w:p>
      <w:pPr>
        <w:pStyle w:val="ListBullet"/>
      </w:pPr>
      <w:r>
        <w:t xml:space="preserve">Bouton </w:t>
      </w:r>
      <w:r>
        <w:rPr>
          <w:b/>
        </w:rPr>
        <w:t>🔍 Rechercher un article…</w:t>
      </w:r>
      <w:r>
        <w:t xml:space="preserve"> (modale smart search avec IA)</w:t>
      </w:r>
    </w:p>
    <w:p>
      <w:pPr>
        <w:pStyle w:val="ListBullet"/>
      </w:pPr>
      <w:r>
        <w:t xml:space="preserve">Sélecteur </w:t>
      </w:r>
      <w:r>
        <w:rPr>
          <w:b/>
        </w:rPr>
        <w:t>+ Ajouter article du catalogue</w:t>
      </w:r>
    </w:p>
    <w:p>
      <w:r>
        <w:t>#### Section Note interne (visible techniciens uniquement)</w:t>
      </w:r>
    </w:p>
    <w:p>
      <w:r>
        <w:t>Bloc jaune ocre sous les totaux avec :</w:t>
      </w:r>
    </w:p>
    <w:p>
      <w:pPr>
        <w:pStyle w:val="ListBullet"/>
      </w:pPr>
      <w:r>
        <w:t>Badge 🔒 « Note interne — visible techniciens uniquement »</w:t>
      </w:r>
    </w:p>
    <w:p>
      <w:pPr>
        <w:pStyle w:val="ListBullet"/>
      </w:pPr>
      <w:r>
        <w:t>Badge NON IMPRIMÉE (jamais affichée sur le PDF client)</w:t>
      </w:r>
    </w:p>
    <w:p>
      <w:pPr>
        <w:pStyle w:val="ListBullet"/>
      </w:pPr>
      <w:r>
        <w:t>Textarea 5 lignes (configs techniques, accès admin, contraintes infra, contacts internes)</w:t>
      </w:r>
    </w:p>
    <w:p>
      <w:pPr>
        <w:pStyle w:val="ListBullet"/>
      </w:pPr>
      <w:r>
        <w:t>Compteur caractères</w:t>
      </w:r>
    </w:p>
    <w:p>
      <w:pPr>
        <w:pStyle w:val="ListBullet"/>
      </w:pPr>
      <w:r>
        <w:t>Propagation automatique de devis → commande → BL → facture lors des transformations</w:t>
      </w:r>
    </w:p>
    <w:p>
      <w:r>
        <w:t>#### Section Totaux</w:t>
      </w:r>
    </w:p>
    <w:p>
      <w:r>
        <w:t>Tableau récapitulatif HT / TVA / TTC en bas à droite.</w:t>
      </w:r>
    </w:p>
    <w:p>
      <w:r>
        <w:t>#### Boutons d'action</w:t>
      </w:r>
    </w:p>
    <w:p>
      <w:pPr>
        <w:pStyle w:val="ListBullet"/>
      </w:pPr>
      <w:r>
        <w:rPr>
          <w:b/>
        </w:rPr>
        <w:t>💾 Enregistrer</w:t>
      </w:r>
      <w:r>
        <w:t xml:space="preserve"> (vert)</w:t>
      </w:r>
    </w:p>
    <w:p>
      <w:pPr>
        <w:pStyle w:val="ListBullet"/>
      </w:pPr>
      <w:r>
        <w:rPr>
          <w:b/>
        </w:rPr>
        <w:t>📄 Aperçu PDF</w:t>
      </w:r>
      <w:r>
        <w:t xml:space="preserve"> (rouge)</w:t>
      </w:r>
    </w:p>
    <w:p>
      <w:pPr>
        <w:pStyle w:val="ListBullet"/>
      </w:pPr>
      <w:r>
        <w:rPr>
          <w:b/>
        </w:rPr>
        <w:t>📧 Envoyer par email</w:t>
      </w:r>
    </w:p>
    <w:p>
      <w:pPr>
        <w:pStyle w:val="ListBullet"/>
      </w:pPr>
      <w:r>
        <w:rPr>
          <w:b/>
        </w:rPr>
        <w:t>🖨 Imprimer</w:t>
      </w:r>
    </w:p>
    <w:p>
      <w:pPr>
        <w:pStyle w:val="ListBullet"/>
      </w:pPr>
      <w:r>
        <w:rPr>
          <w:b/>
        </w:rPr>
        <w:t>🔄 Transformer en …</w:t>
      </w:r>
      <w:r>
        <w:t xml:space="preserve"> (selon le type courant)</w:t>
      </w:r>
    </w:p>
    <w:p>
      <w:pPr>
        <w:pStyle w:val="ListBullet"/>
      </w:pPr>
      <w:r>
        <w:rPr>
          <w:b/>
        </w:rPr>
        <w:t>🗑 Supprimer</w:t>
      </w:r>
    </w:p>
    <w:p>
      <w:pPr>
        <w:pStyle w:val="Heading3"/>
      </w:pPr>
      <w:r>
        <w:rPr>
          <w:color w:val="3730A3"/>
          <w:sz w:val="24"/>
        </w:rPr>
        <w:t>11.4 Génération PDF du devis</w:t>
      </w:r>
    </w:p>
    <w:p>
      <w:r>
        <w:t>Layout détaillé du PDF :</w:t>
      </w:r>
    </w:p>
    <w:p>
      <w:r>
        <w:t>#### Header</w:t>
      </w:r>
    </w:p>
    <w:p>
      <w:pPr>
        <w:pStyle w:val="ListBullet"/>
      </w:pPr>
      <w:r>
        <w:t>Logo Astorya SVG (300 × 85 px) en haut à gauche</w:t>
      </w:r>
    </w:p>
    <w:p>
      <w:pPr>
        <w:pStyle w:val="ListBullet"/>
      </w:pPr>
      <w:r>
        <w:t>Identité société émettrice (ASTORYA SGI + SIRET) à droite</w:t>
      </w:r>
    </w:p>
    <w:p>
      <w:pPr>
        <w:pStyle w:val="ListBullet"/>
      </w:pPr>
      <w:r>
        <w:t>Bande rouge fine de séparation</w:t>
      </w:r>
    </w:p>
    <w:p>
      <w:r>
        <w:t>#### Bloc identification (sous le header)</w:t>
      </w:r>
    </w:p>
    <w:p>
      <w:pPr>
        <w:pStyle w:val="ListBullet"/>
      </w:pPr>
      <w:r>
        <w:t>Cadre société émettrice (gauche) : raison sociale, adresse, SIRET, contacts</w:t>
      </w:r>
    </w:p>
    <w:p>
      <w:pPr>
        <w:pStyle w:val="ListBullet"/>
      </w:pPr>
      <w:r>
        <w:t>Cadre destinataire (droite) : raison sociale client, adresse, SIREN, contact principal</w:t>
      </w:r>
    </w:p>
    <w:p>
      <w:pPr>
        <w:pStyle w:val="ListBullet"/>
      </w:pPr>
      <w:r>
        <w:t>Date de la pièce + Validité + Référence (centré)</w:t>
      </w:r>
    </w:p>
    <w:p>
      <w:r>
        <w:t>#### Tableau lignes</w:t>
      </w:r>
    </w:p>
    <w:p>
      <w:pPr>
        <w:pStyle w:val="ListBullet"/>
      </w:pPr>
      <w:r>
        <w:t>Colonnes : N°, Article, Désignation, Qté, PU HT, Montant HT</w:t>
      </w:r>
    </w:p>
    <w:p>
      <w:pPr>
        <w:pStyle w:val="ListBullet"/>
      </w:pPr>
      <w:r>
        <w:t>Lignes texte-only en italique grisé</w:t>
      </w:r>
    </w:p>
    <w:p>
      <w:pPr>
        <w:pStyle w:val="ListBullet"/>
      </w:pPr>
      <w:r>
        <w:t>Description champ libre reprise à l'identique</w:t>
      </w:r>
    </w:p>
    <w:p>
      <w:pPr>
        <w:pStyle w:val="ListBullet"/>
      </w:pPr>
      <w:r>
        <w:t>Total HT en bas</w:t>
      </w:r>
    </w:p>
    <w:p>
      <w:r>
        <w:t>#### Tableau récap TVA (gauche)</w:t>
      </w:r>
    </w:p>
    <w:p>
      <w:pPr>
        <w:pStyle w:val="ListBullet"/>
      </w:pPr>
      <w:r>
        <w:t>Code (T20, T10, T5.5, T2.1, T0)</w:t>
      </w:r>
    </w:p>
    <w:p>
      <w:pPr>
        <w:pStyle w:val="ListBullet"/>
      </w:pPr>
      <w:r>
        <w:t>Base HT</w:t>
      </w:r>
    </w:p>
    <w:p>
      <w:pPr>
        <w:pStyle w:val="ListBullet"/>
      </w:pPr>
      <w:r>
        <w:t>Taux TVA (%)</w:t>
      </w:r>
    </w:p>
    <w:p>
      <w:pPr>
        <w:pStyle w:val="ListBullet"/>
      </w:pPr>
      <w:r>
        <w:t>Montant TVA</w:t>
      </w:r>
    </w:p>
    <w:p>
      <w:pPr>
        <w:pStyle w:val="ListBullet"/>
      </w:pPr>
      <w:r>
        <w:rPr>
          <w:b/>
        </w:rPr>
        <w:t>Montant TTC</w:t>
      </w:r>
      <w:r>
        <w:t xml:space="preserve"> (par taux)</w:t>
      </w:r>
    </w:p>
    <w:p>
      <w:r>
        <w:t>#### Bloc Totaux (droite)</w:t>
      </w:r>
    </w:p>
    <w:p>
      <w:pPr>
        <w:pStyle w:val="ListBullet"/>
      </w:pPr>
      <w:r>
        <w:t>Total HT</w:t>
      </w:r>
    </w:p>
    <w:p>
      <w:pPr>
        <w:pStyle w:val="ListBullet"/>
      </w:pPr>
      <w:r>
        <w:t>Total TVA</w:t>
      </w:r>
    </w:p>
    <w:p>
      <w:pPr>
        <w:pStyle w:val="ListBullet"/>
      </w:pPr>
      <w:r>
        <w:rPr>
          <w:b/>
        </w:rPr>
        <w:t>Total TTC</w:t>
      </w:r>
    </w:p>
    <w:p>
      <w:pPr>
        <w:pStyle w:val="ListBullet"/>
      </w:pPr>
      <w:r>
        <w:rPr>
          <w:b/>
        </w:rPr>
        <w:t>NET A PAYER</w:t>
      </w:r>
      <w:r>
        <w:t xml:space="preserve"> (noir/blanc highlighté en bas)</w:t>
      </w:r>
    </w:p>
    <w:p>
      <w:r>
        <w:t>#### Bloc signature (footer dernière page uniquement)</w:t>
      </w:r>
    </w:p>
    <w:p>
      <w:pPr>
        <w:pStyle w:val="ListBullet"/>
      </w:pPr>
      <w:r>
        <w:t>« Devis suivi par : &lt;nom commercial&gt; · email · tel »</w:t>
      </w:r>
    </w:p>
    <w:p>
      <w:pPr>
        <w:pStyle w:val="ListBullet"/>
      </w:pPr>
      <w:r>
        <w:t>« IBAN : FR76 XXXX · BIC : XXXX »</w:t>
      </w:r>
    </w:p>
    <w:p>
      <w:pPr>
        <w:pStyle w:val="ListBullet"/>
      </w:pPr>
      <w:r>
        <w:t>« Bon pour accord · Date · Signature »</w:t>
      </w:r>
    </w:p>
    <w:p>
      <w:r>
        <w:t>#### Footer (toutes pages)</w:t>
      </w:r>
    </w:p>
    <w:p>
      <w:pPr>
        <w:pStyle w:val="ListBullet"/>
      </w:pPr>
      <w:r>
        <w:t>3 colonnes contacts : Service Commercial / Administratif / Comptabilité</w:t>
      </w:r>
    </w:p>
    <w:p>
      <w:pPr>
        <w:pStyle w:val="ListBullet"/>
      </w:pPr>
      <w:r>
        <w:t>Réserve de propriété (mention légale)</w:t>
      </w:r>
    </w:p>
    <w:p>
      <w:pPr>
        <w:pStyle w:val="ListBullet"/>
      </w:pPr>
      <w:r>
        <w:t>Pagination « Page N / M »</w:t>
      </w:r>
    </w:p>
    <w:p>
      <w:r>
        <w:t>#### Verso des devis : CGV ASTORYA 2025</w:t>
      </w:r>
    </w:p>
    <w:p>
      <w:pPr>
        <w:pStyle w:val="ListBullet"/>
      </w:pPr>
      <w:r>
        <w:rPr>
          <w:b/>
        </w:rPr>
        <w:t>Saut de page</w:t>
      </w:r>
      <w:r>
        <w:t xml:space="preserve"> automatique (</w:t>
      </w:r>
      <w:r>
        <w:rPr>
          <w:rFonts w:ascii="Consolas" w:hAnsi="Consolas"/>
          <w:sz w:val="18"/>
        </w:rPr>
        <w:t>pageBreak: "before"</w:t>
      </w:r>
      <w:r>
        <w:t>)</w:t>
      </w:r>
    </w:p>
    <w:p>
      <w:pPr>
        <w:pStyle w:val="ListBullet"/>
      </w:pPr>
      <w:r>
        <w:t>Titre rouge centré « CONDITIONS GÉNÉRALES DE VENTE »</w:t>
      </w:r>
    </w:p>
    <w:p>
      <w:pPr>
        <w:pStyle w:val="ListBullet"/>
      </w:pPr>
      <w:r>
        <w:t>Sous-titre identité Astorya SGI + SIRET</w:t>
      </w:r>
    </w:p>
    <w:p>
      <w:pPr>
        <w:pStyle w:val="ListBullet"/>
      </w:pPr>
      <w:r>
        <w:rPr>
          <w:b/>
        </w:rPr>
        <w:t>10 articles répartis en 2 colonnes</w:t>
      </w:r>
      <w:r>
        <w:t xml:space="preserve"> justifiées</w:t>
      </w:r>
    </w:p>
    <w:p>
      <w:pPr>
        <w:pStyle w:val="ListBullet"/>
      </w:pPr>
      <w:r>
        <w:t>fontSize 7 pour tenir sur 1 page</w:t>
      </w:r>
    </w:p>
    <w:p>
      <w:pPr>
        <w:pStyle w:val="ListBullet"/>
      </w:pPr>
      <w:r>
        <w:t>Articles : Acceptation de la commande, Réserve de propriété, Types et modèles, Prix et paiement, Litiges et retour, Service après-vente, Limitation de responsabilité, Loi applicable, Modification des CGV, Données personnelles</w:t>
      </w:r>
    </w:p>
    <w:p>
      <w:r>
        <w:t xml:space="preserve">Uniquement pour les </w:t>
      </w:r>
      <w:r>
        <w:rPr>
          <w:b/>
        </w:rPr>
        <w:t>devis</w:t>
      </w:r>
      <w:r>
        <w:t xml:space="preserve"> (pas pour les commandes, BL ou factures).</w:t>
      </w:r>
    </w:p>
    <w:p>
      <w:pPr>
        <w:pStyle w:val="Heading3"/>
      </w:pPr>
      <w:r>
        <w:rPr>
          <w:color w:val="3730A3"/>
          <w:sz w:val="24"/>
        </w:rPr>
        <w:t>11.5 Catalogue articles</w:t>
      </w:r>
    </w:p>
    <w:p>
      <w:r>
        <w:rPr>
          <w:b/>
        </w:rPr>
        <w:t>Route</w:t>
      </w:r>
      <w:r>
        <w:t xml:space="preserve"> : </w:t>
      </w:r>
      <w:r>
        <w:rPr>
          <w:rFonts w:ascii="Consolas" w:hAnsi="Consolas"/>
          <w:sz w:val="18"/>
        </w:rPr>
        <w:t>/gestion-commerciale-admin</w:t>
      </w:r>
    </w:p>
    <w:p>
      <w:r>
        <w:t>#### Familles uniformisées</w:t>
      </w:r>
    </w:p>
    <w:p>
      <w:pPr>
        <w:pStyle w:val="ListBullet"/>
      </w:pPr>
      <w:r>
        <w:t>HUB (Astorya Hub)</w:t>
      </w:r>
    </w:p>
    <w:p>
      <w:pPr>
        <w:pStyle w:val="ListBullet"/>
      </w:pPr>
      <w:r>
        <w:t>MAINT (Maintenance informatique)</w:t>
      </w:r>
    </w:p>
    <w:p>
      <w:pPr>
        <w:pStyle w:val="ListBullet"/>
      </w:pPr>
      <w:r>
        <w:t>HEBE (Hébergement)</w:t>
      </w:r>
    </w:p>
    <w:p>
      <w:pPr>
        <w:pStyle w:val="ListBullet"/>
      </w:pPr>
      <w:r>
        <w:t>TEL (Téléphonie)</w:t>
      </w:r>
    </w:p>
    <w:p>
      <w:pPr>
        <w:pStyle w:val="ListBullet"/>
      </w:pPr>
      <w:r>
        <w:t>IMPR (Impression / Page Pack)</w:t>
      </w:r>
    </w:p>
    <w:p>
      <w:pPr>
        <w:pStyle w:val="ListBullet"/>
      </w:pPr>
      <w:r>
        <w:t>LIC (Licences logicielles)</w:t>
      </w:r>
    </w:p>
    <w:p>
      <w:pPr>
        <w:pStyle w:val="ListBullet"/>
      </w:pPr>
      <w:r>
        <w:t>MAT (Matériel)</w:t>
      </w:r>
    </w:p>
    <w:p>
      <w:pPr>
        <w:pStyle w:val="ListBullet"/>
      </w:pPr>
      <w:r>
        <w:t>SVC (Services divers)</w:t>
      </w:r>
    </w:p>
    <w:p>
      <w:r>
        <w:t xml:space="preserve">#### Codes au format </w:t>
      </w:r>
      <w:r>
        <w:rPr>
          <w:rFonts w:ascii="Consolas" w:hAnsi="Consolas"/>
          <w:sz w:val="18"/>
        </w:rPr>
        <w:t>&lt;FAMILLE&gt;-&lt;MARQUE&gt;-&lt;MODÈLE&gt;</w:t>
      </w:r>
    </w:p>
    <w:p>
      <w:r>
        <w:t>Exemples :</w:t>
      </w:r>
    </w:p>
    <w:p>
      <w:pPr>
        <w:pStyle w:val="ListBullet"/>
      </w:pPr>
      <w:r>
        <w:rPr>
          <w:rFonts w:ascii="Consolas" w:hAnsi="Consolas"/>
          <w:sz w:val="18"/>
        </w:rPr>
        <w:t>AST-HUB-USR</w:t>
      </w:r>
      <w:r>
        <w:t xml:space="preserve"> (Astorya Hub utilisateur)</w:t>
      </w:r>
    </w:p>
    <w:p>
      <w:pPr>
        <w:pStyle w:val="ListBullet"/>
      </w:pPr>
      <w:r>
        <w:rPr>
          <w:rFonts w:ascii="Consolas" w:hAnsi="Consolas"/>
          <w:sz w:val="18"/>
        </w:rPr>
        <w:t>AST-CYBER</w:t>
      </w:r>
      <w:r>
        <w:t xml:space="preserve"> (Module Cyber)</w:t>
      </w:r>
    </w:p>
    <w:p>
      <w:pPr>
        <w:pStyle w:val="ListBullet"/>
      </w:pPr>
      <w:r>
        <w:rPr>
          <w:rFonts w:ascii="Consolas" w:hAnsi="Consolas"/>
          <w:sz w:val="18"/>
        </w:rPr>
        <w:t>MAINT-HP-EB840</w:t>
      </w:r>
      <w:r>
        <w:t xml:space="preserve"> (Maintenance HP EliteBook 840)</w:t>
      </w:r>
    </w:p>
    <w:p>
      <w:pPr>
        <w:pStyle w:val="ListBullet"/>
      </w:pPr>
      <w:r>
        <w:rPr>
          <w:rFonts w:ascii="Consolas" w:hAnsi="Consolas"/>
          <w:sz w:val="18"/>
        </w:rPr>
        <w:t>TEL-3CX-EXT</w:t>
      </w:r>
      <w:r>
        <w:t xml:space="preserve"> (Extension 3CX)</w:t>
      </w:r>
    </w:p>
    <w:p>
      <w:r>
        <w:t>#### 95 articles dédupliqués (version 3)</w:t>
      </w:r>
    </w:p>
    <w:p>
      <w:r>
        <w:t>Désignations en sentence case strict, pas d'all-caps. Champs annexes :</w:t>
      </w:r>
    </w:p>
    <w:p>
      <w:pPr>
        <w:pStyle w:val="ListBullet"/>
      </w:pPr>
      <w:r>
        <w:t>Référence fournisseur (interne, jamais imprimée)</w:t>
      </w:r>
    </w:p>
    <w:p>
      <w:pPr>
        <w:pStyle w:val="ListBullet"/>
      </w:pPr>
      <w:r>
        <w:t>Prix d'achat indicatif (interne, calcul marge)</w:t>
      </w:r>
    </w:p>
    <w:p>
      <w:pPr>
        <w:pStyle w:val="ListBullet"/>
      </w:pPr>
      <w:r>
        <w:t>Stock disponible (si géré)</w:t>
      </w:r>
    </w:p>
    <w:p>
      <w:r>
        <w:t>#### Smart search avec IA</w:t>
      </w:r>
    </w:p>
    <w:p>
      <w:pPr>
        <w:pStyle w:val="ListBullet"/>
      </w:pPr>
      <w:r>
        <w:t>Recherche dans le catalogue par mots-clés</w:t>
      </w:r>
    </w:p>
    <w:p>
      <w:pPr>
        <w:pStyle w:val="ListBullet"/>
      </w:pPr>
      <w:r>
        <w:t>Si aucun résultat : suggestion par LLM Anthropic (création de ligne libre pré-rempli)</w:t>
      </w:r>
    </w:p>
    <w:p>
      <w:pPr>
        <w:pStyle w:val="ListBullet"/>
      </w:pPr>
      <w:r>
        <w:t>Possibilité de créer un nouvel article catalogue depuis la modale</w:t>
      </w:r>
    </w:p>
    <w:p>
      <w:pPr>
        <w:spacing w:before="80"/>
        <w:pBdr>
          <w:bottom w:val="single" w:sz="6" w:color="C0C7D2"/>
        </w:pBdr>
      </w:pPr>
    </w:p>
    <w:p>
      <w:pPr>
        <w:pStyle w:val="Heading2"/>
      </w:pPr>
      <w:r>
        <w:rPr>
          <w:color w:val="1F2942"/>
          <w:sz w:val="28"/>
        </w:rPr>
        <w:t>12. CONTRATS ET SIGNATURE ÉLECTRONIQUE</w:t>
      </w:r>
    </w:p>
    <w:p>
      <w:pPr>
        <w:pStyle w:val="Heading3"/>
      </w:pPr>
      <w:r>
        <w:rPr>
          <w:color w:val="3730A3"/>
          <w:sz w:val="24"/>
        </w:rPr>
        <w:t>12.1 Page Nouveau contrat</w:t>
      </w:r>
    </w:p>
    <w:p>
      <w:r>
        <w:rPr>
          <w:b/>
        </w:rPr>
        <w:t>Route</w:t>
      </w:r>
      <w:r>
        <w:t xml:space="preserve"> : </w:t>
      </w:r>
      <w:r>
        <w:rPr>
          <w:rFonts w:ascii="Consolas" w:hAnsi="Consolas"/>
          <w:sz w:val="18"/>
        </w:rPr>
        <w:t>/nouveau-contrat</w:t>
      </w:r>
    </w:p>
    <w:p>
      <w:r>
        <w:t>5 sections successives avec stepper en pilules :</w:t>
      </w:r>
    </w:p>
    <w:p>
      <w:r>
        <w:t>#### Stepper SPANCO contrat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Stage</w:t>
            </w:r>
          </w:p>
        </w:tc>
        <w:tc>
          <w:tcPr>
            <w:tcW w:type="dxa" w:w="2493"/>
            <w:shd w:val="clear" w:color="auto" w:fill="EEF2FF"/>
          </w:tcPr>
          <w:p>
            <w:r>
              <w:rPr>
                <w:b/>
                <w:color w:val="1F2942"/>
                <w:sz w:val="18"/>
              </w:rPr>
              <w:t>Couleur</w:t>
            </w:r>
          </w:p>
        </w:tc>
        <w:tc>
          <w:tcPr>
            <w:tcW w:type="dxa" w:w="2493"/>
            <w:shd w:val="clear" w:color="auto" w:fill="EEF2FF"/>
          </w:tcPr>
          <w:p>
            <w:r>
              <w:rPr>
                <w:b/>
                <w:color w:val="1F2942"/>
                <w:sz w:val="18"/>
              </w:rPr>
              <w:t>Letter</w:t>
            </w:r>
          </w:p>
        </w:tc>
        <w:tc>
          <w:tcPr>
            <w:tcW w:type="dxa" w:w="2493"/>
            <w:shd w:val="clear" w:color="auto" w:fill="EEF2FF"/>
          </w:tcPr>
          <w:p>
            <w:r>
              <w:rPr>
                <w:b/>
                <w:color w:val="1F2942"/>
                <w:sz w:val="18"/>
              </w:rPr>
              <w:t>%</w:t>
            </w:r>
          </w:p>
        </w:tc>
      </w:tr>
      <w:tr>
        <w:tc>
          <w:tcPr>
            <w:tcW w:type="dxa" w:w="2493"/>
          </w:tcPr>
          <w:p>
            <w:r>
              <w:rPr>
                <w:sz w:val="18"/>
              </w:rPr>
              <w:t>Type &amp; rattachement</w:t>
            </w:r>
          </w:p>
        </w:tc>
        <w:tc>
          <w:tcPr>
            <w:tcW w:type="dxa" w:w="2493"/>
          </w:tcPr>
          <w:p>
            <w:r>
              <w:rPr>
                <w:sz w:val="18"/>
              </w:rPr>
              <w:t>Gris #94a3b8</w:t>
            </w:r>
          </w:p>
        </w:tc>
        <w:tc>
          <w:tcPr>
            <w:tcW w:type="dxa" w:w="2493"/>
          </w:tcPr>
          <w:p>
            <w:r>
              <w:rPr>
                <w:sz w:val="18"/>
              </w:rPr>
              <w:t>T</w:t>
            </w:r>
          </w:p>
        </w:tc>
        <w:tc>
          <w:tcPr>
            <w:tcW w:type="dxa" w:w="2493"/>
          </w:tcPr>
          <w:p>
            <w:r>
              <w:rPr>
                <w:sz w:val="18"/>
              </w:rPr>
              <w:t>15</w:t>
            </w:r>
          </w:p>
        </w:tc>
      </w:tr>
      <w:tr>
        <w:tc>
          <w:tcPr>
            <w:tcW w:type="dxa" w:w="2493"/>
          </w:tcPr>
          <w:p>
            <w:r>
              <w:rPr>
                <w:sz w:val="18"/>
              </w:rPr>
              <w:t>Client &amp; contact</w:t>
            </w:r>
          </w:p>
        </w:tc>
        <w:tc>
          <w:tcPr>
            <w:tcW w:type="dxa" w:w="2493"/>
          </w:tcPr>
          <w:p>
            <w:r>
              <w:rPr>
                <w:sz w:val="18"/>
              </w:rPr>
              <w:t>Bleu #3b82f6</w:t>
            </w:r>
          </w:p>
        </w:tc>
        <w:tc>
          <w:tcPr>
            <w:tcW w:type="dxa" w:w="2493"/>
          </w:tcPr>
          <w:p>
            <w:r>
              <w:rPr>
                <w:sz w:val="18"/>
              </w:rPr>
              <w:t>C</w:t>
            </w:r>
          </w:p>
        </w:tc>
        <w:tc>
          <w:tcPr>
            <w:tcW w:type="dxa" w:w="2493"/>
          </w:tcPr>
          <w:p>
            <w:r>
              <w:rPr>
                <w:sz w:val="18"/>
              </w:rPr>
              <w:t>35</w:t>
            </w:r>
          </w:p>
        </w:tc>
      </w:tr>
      <w:tr>
        <w:tc>
          <w:tcPr>
            <w:tcW w:type="dxa" w:w="2493"/>
          </w:tcPr>
          <w:p>
            <w:r>
              <w:rPr>
                <w:sz w:val="18"/>
              </w:rPr>
              <w:t>Produits &amp; pricing</w:t>
            </w:r>
          </w:p>
        </w:tc>
        <w:tc>
          <w:tcPr>
            <w:tcW w:type="dxa" w:w="2493"/>
          </w:tcPr>
          <w:p>
            <w:r>
              <w:rPr>
                <w:sz w:val="18"/>
              </w:rPr>
              <w:t>Violet #a855f7</w:t>
            </w:r>
          </w:p>
        </w:tc>
        <w:tc>
          <w:tcPr>
            <w:tcW w:type="dxa" w:w="2493"/>
          </w:tcPr>
          <w:p>
            <w:r>
              <w:rPr>
                <w:sz w:val="18"/>
              </w:rPr>
              <w:t>P</w:t>
            </w:r>
          </w:p>
        </w:tc>
        <w:tc>
          <w:tcPr>
            <w:tcW w:type="dxa" w:w="2493"/>
          </w:tcPr>
          <w:p>
            <w:r>
              <w:rPr>
                <w:sz w:val="18"/>
              </w:rPr>
              <w:t>60</w:t>
            </w:r>
          </w:p>
        </w:tc>
      </w:tr>
      <w:tr>
        <w:tc>
          <w:tcPr>
            <w:tcW w:type="dxa" w:w="2493"/>
          </w:tcPr>
          <w:p>
            <w:r>
              <w:rPr>
                <w:sz w:val="18"/>
              </w:rPr>
              <w:t>Conditions juridiques</w:t>
            </w:r>
          </w:p>
        </w:tc>
        <w:tc>
          <w:tcPr>
            <w:tcW w:type="dxa" w:w="2493"/>
          </w:tcPr>
          <w:p>
            <w:r>
              <w:rPr>
                <w:sz w:val="18"/>
              </w:rPr>
              <w:t>Orange #ea580c</w:t>
            </w:r>
          </w:p>
        </w:tc>
        <w:tc>
          <w:tcPr>
            <w:tcW w:type="dxa" w:w="2493"/>
          </w:tcPr>
          <w:p>
            <w:r>
              <w:rPr>
                <w:sz w:val="18"/>
              </w:rPr>
              <w:t>J</w:t>
            </w:r>
          </w:p>
        </w:tc>
        <w:tc>
          <w:tcPr>
            <w:tcW w:type="dxa" w:w="2493"/>
          </w:tcPr>
          <w:p>
            <w:r>
              <w:rPr>
                <w:sz w:val="18"/>
              </w:rPr>
              <w:t>85</w:t>
            </w:r>
          </w:p>
        </w:tc>
      </w:tr>
      <w:tr>
        <w:tc>
          <w:tcPr>
            <w:tcW w:type="dxa" w:w="2493"/>
          </w:tcPr>
          <w:p>
            <w:r>
              <w:rPr>
                <w:sz w:val="18"/>
              </w:rPr>
              <w:t>Signature &amp; envoi</w:t>
            </w:r>
          </w:p>
        </w:tc>
        <w:tc>
          <w:tcPr>
            <w:tcW w:type="dxa" w:w="2493"/>
          </w:tcPr>
          <w:p>
            <w:r>
              <w:rPr>
                <w:sz w:val="18"/>
              </w:rPr>
              <w:t>Vert #10b981</w:t>
            </w:r>
          </w:p>
        </w:tc>
        <w:tc>
          <w:tcPr>
            <w:tcW w:type="dxa" w:w="2493"/>
          </w:tcPr>
          <w:p>
            <w:r>
              <w:rPr>
                <w:sz w:val="18"/>
              </w:rPr>
              <w:t>S</w:t>
            </w:r>
          </w:p>
        </w:tc>
        <w:tc>
          <w:tcPr>
            <w:tcW w:type="dxa" w:w="2493"/>
          </w:tcPr>
          <w:p>
            <w:r>
              <w:rPr>
                <w:sz w:val="18"/>
              </w:rPr>
              <w:t>100</w:t>
            </w:r>
          </w:p>
        </w:tc>
      </w:tr>
    </w:tbl>
    <w:p/>
    <w:p>
      <w:r>
        <w:t>Calcul automatique de l'étape courante selon le remplissage du formulaire.</w:t>
      </w:r>
    </w:p>
    <w:p>
      <w:r>
        <w:t>#### Section 1 — Type &amp; rattachement</w:t>
      </w:r>
    </w:p>
    <w:p>
      <w:pPr>
        <w:pStyle w:val="ListBullet"/>
      </w:pPr>
      <w:r>
        <w:rPr>
          <w:b/>
        </w:rPr>
        <w:t>Type de contrat</w:t>
      </w:r>
      <w:r>
        <w:t xml:space="preserve"> : Abonnement SaaS / Licence perpétuelle / Prestation / Renouvellement</w:t>
      </w:r>
    </w:p>
    <w:p>
      <w:pPr>
        <w:pStyle w:val="ListBullet"/>
      </w:pPr>
      <w:r>
        <w:rPr>
          <w:b/>
        </w:rPr>
        <w:t>Catégorie</w:t>
      </w:r>
      <w:r>
        <w:t xml:space="preserve"> : Nouveau / Extension / Upsell</w:t>
      </w:r>
    </w:p>
    <w:p>
      <w:pPr>
        <w:pStyle w:val="ListBullet"/>
      </w:pPr>
      <w:r>
        <w:rPr>
          <w:b/>
        </w:rPr>
        <w:t>Opportunité d'origine</w:t>
      </w:r>
      <w:r>
        <w:t xml:space="preserve"> (auto-rattachement si </w:t>
      </w:r>
      <w:r>
        <w:rPr>
          <w:rFonts w:ascii="Consolas" w:hAnsi="Consolas"/>
          <w:sz w:val="18"/>
        </w:rPr>
        <w:t>?opp=</w:t>
      </w:r>
      <w:r>
        <w:t>)</w:t>
      </w:r>
    </w:p>
    <w:p>
      <w:pPr>
        <w:pStyle w:val="ListBullet"/>
      </w:pPr>
      <w:r>
        <w:t>Reprise automatique des conditions négociées (montant, durée, etc.)</w:t>
      </w:r>
    </w:p>
    <w:p>
      <w:r>
        <w:t>#### Section 2 — Client &amp; contact signataire</w:t>
      </w:r>
    </w:p>
    <w:p>
      <w:pPr>
        <w:pStyle w:val="ListBullet"/>
      </w:pPr>
      <w:r>
        <w:rPr>
          <w:b/>
        </w:rPr>
        <w:t>Entité contractante</w:t>
      </w:r>
      <w:r>
        <w:t xml:space="preserve"> : auto-remplie depuis le client</w:t>
      </w:r>
    </w:p>
    <w:p>
      <w:pPr>
        <w:pStyle w:val="ListBullet"/>
      </w:pPr>
      <w:r>
        <w:rPr>
          <w:b/>
        </w:rPr>
        <w:t>Signataire habilité</w:t>
      </w:r>
      <w:r>
        <w:t xml:space="preserve"> :</w:t>
      </w:r>
    </w:p>
    <w:p>
      <w:pPr>
        <w:pStyle w:val="ListBullet"/>
      </w:pPr>
      <w:r>
        <w:t>Choix dans la liste des contacts existants (dropdown)</w:t>
      </w:r>
    </w:p>
    <w:p>
      <w:pPr>
        <w:pStyle w:val="ListBullet"/>
      </w:pPr>
      <w:r>
        <w:t>Ou création inline (prénom, nom, fonction, email, téléphone)</w:t>
      </w:r>
    </w:p>
    <w:p>
      <w:pPr>
        <w:pStyle w:val="ListBullet"/>
      </w:pPr>
      <w:r>
        <w:t xml:space="preserve">Bouton </w:t>
      </w:r>
      <w:r>
        <w:rPr>
          <w:b/>
        </w:rPr>
        <w:t>+ Ajouter un nouveau contact pour ce client</w:t>
      </w:r>
    </w:p>
    <w:p>
      <w:r>
        <w:t>#### Section 3 — Produits &amp; pricing</w:t>
      </w:r>
    </w:p>
    <w:p>
      <w:pPr>
        <w:pStyle w:val="ListBullet"/>
      </w:pPr>
      <w:r>
        <w:rPr>
          <w:b/>
        </w:rPr>
        <w:t>Lignes catalogue éditables</w:t>
      </w:r>
      <w:r>
        <w:t xml:space="preserve"> : libellé, SKU, PU HT, Qté, périodicité (annuel/oneshot)</w:t>
      </w:r>
    </w:p>
    <w:p>
      <w:pPr>
        <w:pStyle w:val="ListBullet"/>
      </w:pPr>
      <w:r>
        <w:rPr>
          <w:b/>
        </w:rPr>
        <w:t>Conditions commerciales</w:t>
      </w:r>
      <w:r>
        <w:t xml:space="preserve"> :</w:t>
      </w:r>
    </w:p>
    <w:p>
      <w:pPr>
        <w:pStyle w:val="ListBullet"/>
      </w:pPr>
      <w:r>
        <w:t>Durée d'engagement (12 / 36 / 60 mois)</w:t>
      </w:r>
    </w:p>
    <w:p>
      <w:pPr>
        <w:pStyle w:val="ListBullet"/>
      </w:pPr>
      <w:r>
        <w:t>Tacite reconduction (préavis 90 j ou désactivée)</w:t>
      </w:r>
    </w:p>
    <w:p>
      <w:pPr>
        <w:pStyle w:val="ListBullet"/>
      </w:pPr>
      <w:r>
        <w:t>Indexation annuelle (Aucune / SYNTEC / INSEE IPC, plafonnée à N %)</w:t>
      </w:r>
    </w:p>
    <w:p>
      <w:pPr>
        <w:pStyle w:val="ListBullet"/>
      </w:pPr>
      <w:r>
        <w:t>Délai paiement (15 j / 30 j net / 45 j fdm / 60 j)</w:t>
      </w:r>
    </w:p>
    <w:p>
      <w:pPr>
        <w:pStyle w:val="ListBullet"/>
      </w:pPr>
      <w:r>
        <w:t>Périodicité facturation (Mensuel / Trim. / Trim. terme à échoir / Annuel avance)</w:t>
      </w:r>
    </w:p>
    <w:p>
      <w:pPr>
        <w:pStyle w:val="ListBullet"/>
      </w:pPr>
      <w:r>
        <w:rPr>
          <w:b/>
        </w:rPr>
        <w:t>Récapitulatif financier</w:t>
      </w:r>
      <w:r>
        <w:t xml:space="preserve"> : Sous-total abonnement / Sous-total services / Total HT année 1 / TVA / Total TTC année 1</w:t>
      </w:r>
    </w:p>
    <w:p>
      <w:pPr>
        <w:pStyle w:val="ListBullet"/>
      </w:pPr>
      <w:r>
        <w:rPr>
          <w:b/>
        </w:rPr>
        <w:t>Bloc TCV</w:t>
      </w:r>
      <w:r>
        <w:t xml:space="preserve"> (Total Contract Value sur la durée d'engagement) avec coûts estimés + marge nette</w:t>
      </w:r>
    </w:p>
    <w:p>
      <w:r>
        <w:t>#### Section 4 — Conditions juridiques &amp; dates</w:t>
      </w:r>
    </w:p>
    <w:p>
      <w:pPr>
        <w:pStyle w:val="ListBullet"/>
      </w:pPr>
      <w:r>
        <w:rPr>
          <w:b/>
        </w:rPr>
        <w:t>Date de début</w:t>
      </w:r>
      <w:r>
        <w:t xml:space="preserve"> (défaut : 1er du mois prochain)</w:t>
      </w:r>
    </w:p>
    <w:p>
      <w:pPr>
        <w:pStyle w:val="ListBullet"/>
      </w:pPr>
      <w:r>
        <w:rPr>
          <w:b/>
        </w:rPr>
        <w:t>Date de fin</w:t>
      </w:r>
      <w:r>
        <w:t xml:space="preserve"> (auto-calculée selon la durée)</w:t>
      </w:r>
    </w:p>
    <w:p>
      <w:pPr>
        <w:pStyle w:val="ListBullet"/>
      </w:pPr>
      <w:r>
        <w:rPr>
          <w:b/>
        </w:rPr>
        <w:t>Devise</w:t>
      </w:r>
      <w:r>
        <w:t xml:space="preserve"> : EUR verrouillée</w:t>
      </w:r>
    </w:p>
    <w:p>
      <w:pPr>
        <w:pStyle w:val="ListBullet"/>
      </w:pPr>
      <w:r>
        <w:rPr>
          <w:b/>
        </w:rPr>
        <w:t>Modèle juridique</w:t>
      </w:r>
      <w:r>
        <w:t xml:space="preserve"> (CGV PDF uploadé via administration)</w:t>
      </w:r>
    </w:p>
    <w:p>
      <w:pPr>
        <w:pStyle w:val="ListBullet"/>
      </w:pPr>
      <w:r>
        <w:rPr>
          <w:b/>
        </w:rPr>
        <w:t>Annexes</w:t>
      </w:r>
      <w:r>
        <w:t xml:space="preserve"> : SLA niveau Premium, DPA RGPD, RIB, autres (modifiables)</w:t>
      </w:r>
    </w:p>
    <w:p>
      <w:pPr>
        <w:pStyle w:val="ListBullet"/>
      </w:pPr>
      <w:r>
        <w:rPr>
          <w:b/>
        </w:rPr>
        <w:t>Clauses spécifiques</w:t>
      </w:r>
      <w:r>
        <w:t xml:space="preserve"> négociées (tag NÉGOCIÉ + texte libre)</w:t>
      </w:r>
    </w:p>
    <w:p>
      <w:r>
        <w:t>##### Panneau « 📑 Articles du contrat » (16 articles éditables)</w:t>
      </w:r>
    </w:p>
    <w:p>
      <w:r>
        <w:t>Ouvert par défaut, accessible aussi via raccourci topbar « 📑 Articles du contrat [16] ».</w:t>
      </w:r>
    </w:p>
    <w:p>
      <w:r>
        <w:t xml:space="preserve">Liste des 16 articles pré-remplis depuis </w:t>
      </w:r>
      <w:r>
        <w:rPr>
          <w:rFonts w:ascii="Consolas" w:hAnsi="Consolas"/>
          <w:sz w:val="18"/>
        </w:rPr>
        <w:t>window.HubContractArticles</w:t>
      </w:r>
      <w:r>
        <w:t xml:space="preserve"> (extraits du Contrat de Services Hub Astorya) :</w:t>
      </w:r>
    </w:p>
    <w:p>
      <w:r>
        <w:t>1. Objet du contrat</w:t>
      </w:r>
    </w:p>
    <w:p>
      <w:r>
        <w:t>2. Durée et reconduction</w:t>
      </w:r>
    </w:p>
    <w:p>
      <w:r>
        <w:t>3. Description des prestations (hébergement, BDD, SSL, sauvegardes, maintenance, TMA, support)</w:t>
      </w:r>
    </w:p>
    <w:p>
      <w:r>
        <w:t>4. Tarification et facturation</w:t>
      </w:r>
    </w:p>
    <w:p>
      <w:r>
        <w:t>5. Niveaux de service (SLA) — P1, P2, P3</w:t>
      </w:r>
    </w:p>
    <w:p>
      <w:r>
        <w:t>6. Obligations du Prestataire</w:t>
      </w:r>
    </w:p>
    <w:p>
      <w:r>
        <w:t>7. Obligations du Client</w:t>
      </w:r>
    </w:p>
    <w:p>
      <w:r>
        <w:t>8. Responsabilité (plafond 1× CA annuel)</w:t>
      </w:r>
    </w:p>
    <w:p>
      <w:r>
        <w:t>9. Restauration et remise en fonctionnement (3 paliers tarifaires)</w:t>
      </w:r>
    </w:p>
    <w:p>
      <w:r>
        <w:t>10. Propriété intellectuelle</w:t>
      </w:r>
    </w:p>
    <w:p>
      <w:r>
        <w:t>11. Confidentialité</w:t>
      </w:r>
    </w:p>
    <w:p>
      <w:r>
        <w:t>12. Assurances (cyber obligatoire)</w:t>
      </w:r>
    </w:p>
    <w:p>
      <w:r>
        <w:t>13. Résiliation</w:t>
      </w:r>
    </w:p>
    <w:p>
      <w:r>
        <w:t>14. Force majeure</w:t>
      </w:r>
    </w:p>
    <w:p>
      <w:r>
        <w:t>15. Droit applicable et juridiction</w:t>
      </w:r>
    </w:p>
    <w:p>
      <w:r>
        <w:t>16. Dispositions diverses</w:t>
      </w:r>
    </w:p>
    <w:p>
      <w:r>
        <w:t>Chaque article :</w:t>
      </w:r>
    </w:p>
    <w:p>
      <w:pPr>
        <w:pStyle w:val="ListBullet"/>
      </w:pPr>
      <w:r>
        <w:t>Header cliquable (badge violet « Art. N » + titre + badge MODIFIÉ si edited)</w:t>
      </w:r>
    </w:p>
    <w:p>
      <w:pPr>
        <w:pStyle w:val="ListBullet"/>
      </w:pPr>
      <w:r>
        <w:rPr>
          <w:b/>
        </w:rPr>
        <w:t>Textarea monospace</w:t>
      </w:r>
      <w:r>
        <w:t xml:space="preserve"> pleine largeur (</w:t>
      </w:r>
      <w:r>
        <w:rPr>
          <w:rFonts w:ascii="Consolas" w:hAnsi="Consolas"/>
          <w:sz w:val="18"/>
        </w:rPr>
        <w:t>font-family: 'SF Mono', Consolas, monospace</w:t>
      </w:r>
      <w:r>
        <w:t>)</w:t>
      </w:r>
    </w:p>
    <w:p>
      <w:pPr>
        <w:pStyle w:val="ListBullet"/>
      </w:pPr>
      <w:r>
        <w:t xml:space="preserve">Hauteur auto : </w:t>
      </w:r>
      <w:r>
        <w:rPr>
          <w:rFonts w:ascii="Consolas" w:hAnsi="Consolas"/>
          <w:sz w:val="18"/>
        </w:rPr>
        <w:t>Math.min(20, Math.max(6, body.split("\n").length + 1))</w:t>
      </w:r>
      <w:r>
        <w:t xml:space="preserve"> lignes</w:t>
      </w:r>
    </w:p>
    <w:p>
      <w:pPr>
        <w:pStyle w:val="ListBullet"/>
      </w:pPr>
      <w:r>
        <w:t>Compteur caractères / mots</w:t>
      </w:r>
    </w:p>
    <w:p>
      <w:pPr>
        <w:pStyle w:val="ListBullet"/>
      </w:pPr>
      <w:r>
        <w:t xml:space="preserve">Bouton </w:t>
      </w:r>
      <w:r>
        <w:rPr>
          <w:b/>
        </w:rPr>
        <w:t>↺ Restaurer le texte original</w:t>
      </w:r>
      <w:r>
        <w:t xml:space="preserve"> si modifié</w:t>
      </w:r>
    </w:p>
    <w:p>
      <w:r>
        <w:t>Les diffs (</w:t>
      </w:r>
      <w:r>
        <w:rPr>
          <w:rFonts w:ascii="Consolas" w:hAnsi="Consolas"/>
          <w:sz w:val="18"/>
        </w:rPr>
        <w:t>articles_overrides</w:t>
      </w:r>
      <w:r>
        <w:t>) sont sauvegardés avec le contrat. Le PDF généré utilise les versions modifiées au lieu du modèle standard.</w:t>
      </w:r>
    </w:p>
    <w:p>
      <w:r>
        <w:t>#### Section 5 — Signature &amp; workflow</w:t>
      </w:r>
    </w:p>
    <w:p>
      <w:r>
        <w:t>Trois modes de signature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Mode</w:t>
            </w:r>
          </w:p>
        </w:tc>
        <w:tc>
          <w:tcPr>
            <w:tcW w:type="dxa" w:w="2493"/>
            <w:shd w:val="clear" w:color="auto" w:fill="EEF2FF"/>
          </w:tcPr>
          <w:p>
            <w:r>
              <w:rPr>
                <w:b/>
                <w:color w:val="1F2942"/>
                <w:sz w:val="18"/>
              </w:rPr>
              <w:t>Description</w:t>
            </w:r>
          </w:p>
        </w:tc>
        <w:tc>
          <w:tcPr>
            <w:tcW w:type="dxa" w:w="2493"/>
            <w:shd w:val="clear" w:color="auto" w:fill="EEF2FF"/>
          </w:tcPr>
          <w:p>
            <w:r>
              <w:rPr>
                <w:b/>
                <w:color w:val="1F2942"/>
                <w:sz w:val="18"/>
              </w:rPr>
              <w:t>Délai moyen</w:t>
            </w:r>
          </w:p>
        </w:tc>
        <w:tc>
          <w:tcPr>
            <w:tcW w:type="dxa" w:w="2493"/>
            <w:shd w:val="clear" w:color="auto" w:fill="EEF2FF"/>
          </w:tcPr>
          <w:p>
            <w:r>
              <w:rPr>
                <w:b/>
                <w:color w:val="1F2942"/>
                <w:sz w:val="18"/>
              </w:rPr>
              <w:t>Valeur juridique</w:t>
            </w:r>
          </w:p>
        </w:tc>
      </w:tr>
      <w:tr>
        <w:tc>
          <w:tcPr>
            <w:tcW w:type="dxa" w:w="2493"/>
          </w:tcPr>
          <w:p>
            <w:r>
              <w:rPr>
                <w:sz w:val="18"/>
              </w:rPr>
              <w:t>✍ Signature électronique qualifiée</w:t>
            </w:r>
          </w:p>
        </w:tc>
        <w:tc>
          <w:tcPr>
            <w:tcW w:type="dxa" w:w="2493"/>
          </w:tcPr>
          <w:p>
            <w:r>
              <w:rPr>
                <w:sz w:val="18"/>
              </w:rPr>
              <w:t>Via DocuSign (eIDAS)</w:t>
            </w:r>
          </w:p>
        </w:tc>
        <w:tc>
          <w:tcPr>
            <w:tcW w:type="dxa" w:w="2493"/>
          </w:tcPr>
          <w:p>
            <w:r>
              <w:rPr>
                <w:sz w:val="18"/>
              </w:rPr>
              <w:t>2 jours</w:t>
            </w:r>
          </w:p>
        </w:tc>
        <w:tc>
          <w:tcPr>
            <w:tcW w:type="dxa" w:w="2493"/>
          </w:tcPr>
          <w:p>
            <w:r>
              <w:rPr>
                <w:sz w:val="18"/>
              </w:rPr>
              <w:t>Probante</w:t>
            </w:r>
          </w:p>
        </w:tc>
      </w:tr>
      <w:tr>
        <w:tc>
          <w:tcPr>
            <w:tcW w:type="dxa" w:w="2493"/>
          </w:tcPr>
          <w:p>
            <w:r>
              <w:rPr>
                <w:sz w:val="18"/>
              </w:rPr>
              <w:t>📧 Signature simple</w:t>
            </w:r>
          </w:p>
        </w:tc>
        <w:tc>
          <w:tcPr>
            <w:tcW w:type="dxa" w:w="2493"/>
          </w:tcPr>
          <w:p>
            <w:r>
              <w:rPr>
                <w:sz w:val="18"/>
              </w:rPr>
              <w:t>Scan retour PDF</w:t>
            </w:r>
          </w:p>
        </w:tc>
        <w:tc>
          <w:tcPr>
            <w:tcW w:type="dxa" w:w="2493"/>
          </w:tcPr>
          <w:p>
            <w:r>
              <w:rPr>
                <w:sz w:val="18"/>
              </w:rPr>
              <w:t>5 jours</w:t>
            </w:r>
          </w:p>
        </w:tc>
        <w:tc>
          <w:tcPr>
            <w:tcW w:type="dxa" w:w="2493"/>
          </w:tcPr>
          <w:p>
            <w:r>
              <w:rPr>
                <w:sz w:val="18"/>
              </w:rPr>
              <w:t>Acceptable &lt; 50 k€</w:t>
            </w:r>
          </w:p>
        </w:tc>
      </w:tr>
      <w:tr>
        <w:tc>
          <w:tcPr>
            <w:tcW w:type="dxa" w:w="2493"/>
          </w:tcPr>
          <w:p>
            <w:r>
              <w:rPr>
                <w:sz w:val="18"/>
              </w:rPr>
              <w:t>🖋 Signature manuscrite</w:t>
            </w:r>
          </w:p>
        </w:tc>
        <w:tc>
          <w:tcPr>
            <w:tcW w:type="dxa" w:w="2493"/>
          </w:tcPr>
          <w:p>
            <w:r>
              <w:rPr>
                <w:sz w:val="18"/>
              </w:rPr>
              <w:t>Original papier, RDV physique</w:t>
            </w:r>
          </w:p>
        </w:tc>
        <w:tc>
          <w:tcPr>
            <w:tcW w:type="dxa" w:w="2493"/>
          </w:tcPr>
          <w:p>
            <w:r>
              <w:rPr>
                <w:sz w:val="18"/>
              </w:rPr>
              <w:t>10–15 jours</w:t>
            </w:r>
          </w:p>
        </w:tc>
        <w:tc>
          <w:tcPr>
            <w:tcW w:type="dxa" w:w="2493"/>
          </w:tcPr>
          <w:p>
            <w:r>
              <w:rPr>
                <w:sz w:val="18"/>
              </w:rPr>
              <w:t>Probante</w:t>
            </w:r>
          </w:p>
        </w:tc>
      </w:tr>
    </w:tbl>
    <w:p/>
    <w:p>
      <w:r>
        <w:rPr>
          <w:b/>
        </w:rPr>
        <w:t>Bandeau d'aperçu PDF</w:t>
      </w:r>
      <w:r>
        <w:t xml:space="preserve"> rosé avec :</w:t>
      </w:r>
    </w:p>
    <w:p>
      <w:pPr>
        <w:pStyle w:val="ListBullet"/>
      </w:pPr>
      <w:r>
        <w:t>Titre « 📄 Aperçu du contrat pré-rempli »</w:t>
      </w:r>
    </w:p>
    <w:p>
      <w:pPr>
        <w:pStyle w:val="ListBullet"/>
      </w:pPr>
      <w:r>
        <w:t>Sous-titre dynamique selon mode choisi : « électronique qualifiée DocuSign » / « simple par scan retour » / « manuscrite — original papier »</w:t>
      </w:r>
    </w:p>
    <w:p>
      <w:pPr>
        <w:pStyle w:val="ListBullet"/>
      </w:pPr>
      <w:r>
        <w:t xml:space="preserve">Bouton </w:t>
      </w:r>
      <w:r>
        <w:rPr>
          <w:b/>
        </w:rPr>
        <w:t>📄 Voir l'aperçu PDF complet</w:t>
      </w:r>
      <w:r>
        <w:t xml:space="preserve"> (déclenche la génération)</w:t>
      </w:r>
    </w:p>
    <w:p>
      <w:pPr>
        <w:pStyle w:val="Heading3"/>
      </w:pPr>
      <w:r>
        <w:rPr>
          <w:color w:val="3730A3"/>
          <w:sz w:val="24"/>
        </w:rPr>
        <w:t>12.2 Génération PDF du contrat</w:t>
      </w:r>
    </w:p>
    <w:p>
      <w:r>
        <w:t>#### Détection automatique du modèle</w:t>
      </w:r>
    </w:p>
    <w:p>
      <w:r>
        <w:t>6 types de contrats :</w:t>
      </w:r>
    </w:p>
    <w:p>
      <w:pPr>
        <w:pStyle w:val="ListBullet"/>
      </w:pPr>
      <w:r>
        <w:rPr>
          <w:b/>
        </w:rPr>
        <w:t>Hébergement</w:t>
      </w:r>
      <w:r>
        <w:t xml:space="preserve"> (hosting) : patterns SKU </w:t>
      </w:r>
      <w:r>
        <w:rPr>
          <w:rFonts w:ascii="Consolas" w:hAnsi="Consolas"/>
          <w:sz w:val="18"/>
        </w:rPr>
        <w:t>HOST, HEBE, SERV, TSE, 365, EXCH, M365</w:t>
      </w:r>
    </w:p>
    <w:p>
      <w:pPr>
        <w:pStyle w:val="ListBullet"/>
      </w:pPr>
      <w:r>
        <w:rPr>
          <w:b/>
        </w:rPr>
        <w:t>Téléphonie</w:t>
      </w:r>
      <w:r>
        <w:t xml:space="preserve"> (phone) : </w:t>
      </w:r>
      <w:r>
        <w:rPr>
          <w:rFonts w:ascii="Consolas" w:hAnsi="Consolas"/>
          <w:sz w:val="18"/>
        </w:rPr>
        <w:t>TEL, PHONE, ABO, 4G, SDA, FIBRE, ADSL, VDSL, SDSL</w:t>
      </w:r>
    </w:p>
    <w:p>
      <w:pPr>
        <w:pStyle w:val="ListBullet"/>
      </w:pPr>
      <w:r>
        <w:rPr>
          <w:b/>
        </w:rPr>
        <w:t>Maintenance</w:t>
      </w:r>
      <w:r>
        <w:t xml:space="preserve"> (maintenance) : </w:t>
      </w:r>
      <w:r>
        <w:rPr>
          <w:rFonts w:ascii="Consolas" w:hAnsi="Consolas"/>
          <w:sz w:val="18"/>
        </w:rPr>
        <w:t>MAINT, HOTLINE, SUPPORT, ASSIST, INFOG, NAS</w:t>
      </w:r>
    </w:p>
    <w:p>
      <w:pPr>
        <w:pStyle w:val="ListBullet"/>
      </w:pPr>
      <w:r>
        <w:rPr>
          <w:b/>
        </w:rPr>
        <w:t>Service</w:t>
      </w:r>
      <w:r>
        <w:t xml:space="preserve"> (service) : </w:t>
      </w:r>
      <w:r>
        <w:rPr>
          <w:rFonts w:ascii="Consolas" w:hAnsi="Consolas"/>
          <w:sz w:val="18"/>
        </w:rPr>
        <w:t>SVC, SERV, PREST</w:t>
      </w:r>
    </w:p>
    <w:p>
      <w:pPr>
        <w:pStyle w:val="ListBullet"/>
      </w:pPr>
      <w:r>
        <w:rPr>
          <w:b/>
        </w:rPr>
        <w:t>Page Pack</w:t>
      </w:r>
      <w:r>
        <w:t xml:space="preserve"> (page_pack) : </w:t>
      </w:r>
      <w:r>
        <w:rPr>
          <w:rFonts w:ascii="Consolas" w:hAnsi="Consolas"/>
          <w:sz w:val="18"/>
        </w:rPr>
        <w:t>PAGE, PACK, PRINT, COPI, MFP, TONER</w:t>
      </w:r>
    </w:p>
    <w:p>
      <w:pPr>
        <w:pStyle w:val="ListBullet"/>
      </w:pPr>
      <w:r>
        <w:rPr>
          <w:b/>
        </w:rPr>
        <w:t>Auto</w:t>
      </w:r>
      <w:r>
        <w:t xml:space="preserve"> : détection automatique selon les SKU des produits</w:t>
      </w:r>
    </w:p>
    <w:p>
      <w:r>
        <w:t>#### Contenu PDF</w:t>
      </w:r>
    </w:p>
    <w:p>
      <w:pPr>
        <w:pStyle w:val="ListBullet"/>
      </w:pPr>
      <w:r>
        <w:t>Header logo + titres (CONTRAT D'HÉBERGEMENT / TÉLÉPHONIQUE / etc.)</w:t>
      </w:r>
    </w:p>
    <w:p>
      <w:pPr>
        <w:pStyle w:val="ListBullet"/>
      </w:pPr>
      <w:r>
        <w:t>Sous-titre « Conditions Particulières »</w:t>
      </w:r>
    </w:p>
    <w:p>
      <w:pPr>
        <w:pStyle w:val="ListBullet"/>
      </w:pPr>
      <w:r>
        <w:t>Identification des parties (Prestataire ASTORYA + Client avec champs vides à remplir si non renseignés)</w:t>
      </w:r>
    </w:p>
    <w:p>
      <w:pPr>
        <w:pStyle w:val="ListBullet"/>
      </w:pPr>
      <w:r>
        <w:t>Description de la prestation</w:t>
      </w:r>
    </w:p>
    <w:p>
      <w:pPr>
        <w:pStyle w:val="ListBullet"/>
      </w:pPr>
      <w:r>
        <w:t>Tableau capacité (volume serveur / abonnements / parc / volume pages selon type)</w:t>
      </w:r>
    </w:p>
    <w:p>
      <w:pPr>
        <w:pStyle w:val="ListBullet"/>
      </w:pPr>
      <w:r>
        <w:t>Conditions financières (coût mensuel + tableau facturation + périodicité + email facturation)</w:t>
      </w:r>
    </w:p>
    <w:p>
      <w:pPr>
        <w:pStyle w:val="ListBullet"/>
      </w:pPr>
      <w:r>
        <w:t>Conditions particulières (sites couverts, durée + tacite, référent client, délai paiement, indexation)</w:t>
      </w:r>
    </w:p>
    <w:p>
      <w:pPr>
        <w:pStyle w:val="ListBullet"/>
      </w:pPr>
      <w:r>
        <w:t>Bloc signature (Fait à / Le / Cachet et signature)</w:t>
      </w:r>
    </w:p>
    <w:p>
      <w:pPr>
        <w:pStyle w:val="ListBullet"/>
      </w:pPr>
      <w:r>
        <w:rPr>
          <w:b/>
        </w:rPr>
        <w:t>16 articles personnalisés</w:t>
      </w:r>
      <w:r>
        <w:t xml:space="preserve"> (depuis le panneau dépliable) — remplacent les CGV génériques quand </w:t>
      </w:r>
      <w:r>
        <w:rPr>
          <w:rFonts w:ascii="Consolas" w:hAnsi="Consolas"/>
          <w:sz w:val="18"/>
        </w:rPr>
        <w:t>payload.articles</w:t>
      </w:r>
      <w:r>
        <w:t xml:space="preserve"> est fourni</w:t>
      </w:r>
    </w:p>
    <w:p>
      <w:pPr>
        <w:pStyle w:val="ListBullet"/>
      </w:pPr>
      <w:r>
        <w:t>Mandat SEPA (selon type, pré-rempli)</w:t>
      </w:r>
    </w:p>
    <w:p>
      <w:pPr>
        <w:pStyle w:val="ListBullet"/>
      </w:pPr>
      <w:r>
        <w:t>Footer pagination + identité Astorya</w:t>
      </w:r>
    </w:p>
    <w:p>
      <w:pPr>
        <w:pStyle w:val="Heading3"/>
      </w:pPr>
      <w:r>
        <w:rPr>
          <w:color w:val="3730A3"/>
          <w:sz w:val="24"/>
        </w:rPr>
        <w:t>12.3 Workflow signature</w:t>
      </w:r>
    </w:p>
    <w:p>
      <w:r>
        <w:t xml:space="preserve">1. </w:t>
      </w:r>
      <w:r>
        <w:rPr>
          <w:b/>
        </w:rPr>
        <w:t>Aperçu PDF</w:t>
      </w:r>
      <w:r>
        <w:t xml:space="preserve"> par le commercial</w:t>
      </w:r>
    </w:p>
    <w:p>
      <w:r>
        <w:t xml:space="preserve">2. </w:t>
      </w:r>
      <w:r>
        <w:rPr>
          <w:b/>
        </w:rPr>
        <w:t>Envoi pour signature</w:t>
      </w:r>
      <w:r>
        <w:t xml:space="preserve"> via DocuSign (mode qualifiée) ou email PDF</w:t>
      </w:r>
    </w:p>
    <w:p>
      <w:r>
        <w:t xml:space="preserve">3. </w:t>
      </w:r>
      <w:r>
        <w:rPr>
          <w:b/>
        </w:rPr>
        <w:t>Création automatique d'une action de suivi</w:t>
      </w:r>
      <w:r>
        <w:t xml:space="preserve"> « Suivi signature contrat CTR-XXXX » (5 jours)</w:t>
      </w:r>
    </w:p>
    <w:p>
      <w:r>
        <w:t xml:space="preserve">4. </w:t>
      </w:r>
      <w:r>
        <w:rPr>
          <w:b/>
        </w:rPr>
        <w:t>Notification</w:t>
      </w:r>
      <w:r>
        <w:t xml:space="preserve"> au commercial quand signé</w:t>
      </w:r>
    </w:p>
    <w:p>
      <w:r>
        <w:t xml:space="preserve">5. </w:t>
      </w:r>
      <w:r>
        <w:rPr>
          <w:b/>
        </w:rPr>
        <w:t>Mise à jour du statut contrat</w:t>
      </w:r>
      <w:r>
        <w:t xml:space="preserve"> : </w:t>
      </w:r>
      <w:r>
        <w:rPr>
          <w:rFonts w:ascii="Consolas" w:hAnsi="Consolas"/>
          <w:sz w:val="18"/>
        </w:rPr>
        <w:t>signed</w:t>
      </w:r>
    </w:p>
    <w:p>
      <w:r>
        <w:t xml:space="preserve">6. </w:t>
      </w:r>
      <w:r>
        <w:rPr>
          <w:b/>
        </w:rPr>
        <w:t>Déclenchement de la cascade</w:t>
      </w:r>
      <w:r>
        <w:t xml:space="preserve"> : création projet, première facture, etc.</w:t>
      </w:r>
    </w:p>
    <w:p>
      <w:pPr>
        <w:spacing w:before="80"/>
        <w:pBdr>
          <w:bottom w:val="single" w:sz="6" w:color="C0C7D2"/>
        </w:pBdr>
      </w:pPr>
    </w:p>
    <w:p>
      <w:pPr>
        <w:pStyle w:val="Heading2"/>
      </w:pPr>
      <w:r>
        <w:rPr>
          <w:color w:val="1F2942"/>
          <w:sz w:val="28"/>
        </w:rPr>
        <w:t>13. PLANNING COMMERCIAL</w:t>
      </w:r>
    </w:p>
    <w:p>
      <w:pPr>
        <w:pStyle w:val="Heading3"/>
      </w:pPr>
      <w:r>
        <w:rPr>
          <w:color w:val="3730A3"/>
          <w:sz w:val="24"/>
        </w:rPr>
        <w:t>13.1 Vue calendrier mensuel</w:t>
      </w:r>
    </w:p>
    <w:p>
      <w:r>
        <w:rPr>
          <w:b/>
        </w:rPr>
        <w:t>Route</w:t>
      </w:r>
      <w:r>
        <w:t xml:space="preserve"> : </w:t>
      </w:r>
      <w:r>
        <w:rPr>
          <w:rFonts w:ascii="Consolas" w:hAnsi="Consolas"/>
          <w:sz w:val="18"/>
        </w:rPr>
        <w:t>/planning-commercial</w:t>
      </w:r>
    </w:p>
    <w:p>
      <w:r>
        <w:t>#### Structure</w:t>
      </w:r>
    </w:p>
    <w:p>
      <w:pPr>
        <w:pStyle w:val="ListBullet"/>
      </w:pPr>
      <w:r>
        <w:t>Grille 7 colonnes Lundi → Dimanche</w:t>
      </w:r>
    </w:p>
    <w:p>
      <w:pPr>
        <w:pStyle w:val="ListBullet"/>
      </w:pPr>
      <w:r>
        <w:t>5 à 6 lignes (semaines du mois)</w:t>
      </w:r>
    </w:p>
    <w:p>
      <w:pPr>
        <w:pStyle w:val="ListBullet"/>
      </w:pPr>
      <w:r>
        <w:t>Cellules jour 110 px de haut</w:t>
      </w:r>
    </w:p>
    <w:p>
      <w:r>
        <w:t>#### Navigation</w:t>
      </w:r>
    </w:p>
    <w:p>
      <w:pPr>
        <w:pStyle w:val="ListBullet"/>
      </w:pPr>
      <w:r>
        <w:t xml:space="preserve">Bouton </w:t>
      </w:r>
      <w:r>
        <w:rPr>
          <w:b/>
        </w:rPr>
        <w:t>‹</w:t>
      </w:r>
      <w:r>
        <w:t xml:space="preserve"> : mois précédent</w:t>
      </w:r>
    </w:p>
    <w:p>
      <w:pPr>
        <w:pStyle w:val="ListBullet"/>
      </w:pPr>
      <w:r>
        <w:t xml:space="preserve">Bouton </w:t>
      </w:r>
      <w:r>
        <w:rPr>
          <w:b/>
        </w:rPr>
        <w:t>Aujourd'hui</w:t>
      </w:r>
      <w:r>
        <w:t xml:space="preserve"> : retour au mois courant</w:t>
      </w:r>
    </w:p>
    <w:p>
      <w:pPr>
        <w:pStyle w:val="ListBullet"/>
      </w:pPr>
      <w:r>
        <w:t xml:space="preserve">Bouton </w:t>
      </w:r>
      <w:r>
        <w:rPr>
          <w:b/>
        </w:rPr>
        <w:t>›</w:t>
      </w:r>
      <w:r>
        <w:t xml:space="preserve"> : mois suivant</w:t>
      </w:r>
    </w:p>
    <w:p>
      <w:pPr>
        <w:pStyle w:val="ListBullet"/>
      </w:pPr>
      <w:r>
        <w:t>Affichage du mois courant en grand à droite</w:t>
      </w:r>
    </w:p>
    <w:p>
      <w:r>
        <w:t>#### Cellules</w:t>
      </w:r>
    </w:p>
    <w:p>
      <w:pPr>
        <w:pStyle w:val="ListBullet"/>
      </w:pPr>
      <w:r>
        <w:t>Numéro du jour en haut à gauche</w:t>
      </w:r>
    </w:p>
    <w:p>
      <w:pPr>
        <w:pStyle w:val="ListBullet"/>
      </w:pPr>
      <w:r>
        <w:t>Cerclé rouge si aujourd'hui</w:t>
      </w:r>
    </w:p>
    <w:p>
      <w:pPr>
        <w:pStyle w:val="ListBullet"/>
      </w:pPr>
      <w:r>
        <w:t>Fond gris pâle pour les week-ends et jours hors-mois</w:t>
      </w:r>
    </w:p>
    <w:p>
      <w:pPr>
        <w:pStyle w:val="ListBullet"/>
      </w:pPr>
      <w:r>
        <w:t>Compteur d'événements en haut à droite</w:t>
      </w:r>
    </w:p>
    <w:p>
      <w:r>
        <w:t>#### Événements (pilules colorées)</w:t>
      </w:r>
    </w:p>
    <w:p>
      <w:pPr>
        <w:pStyle w:val="ListBullet"/>
      </w:pPr>
      <w:r>
        <w:rPr>
          <w:b/>
        </w:rPr>
        <w:t>Violet</w:t>
      </w:r>
      <w:r>
        <w:t xml:space="preserve"> : Date de décision potentielle (close_date)</w:t>
      </w:r>
    </w:p>
    <w:p>
      <w:pPr>
        <w:pStyle w:val="ListBullet"/>
      </w:pPr>
      <w:r>
        <w:rPr>
          <w:b/>
        </w:rPr>
        <w:t>Cyan</w:t>
      </w:r>
      <w:r>
        <w:t xml:space="preserve"> : Échéance contrat concurrent (contract_end)</w:t>
      </w:r>
    </w:p>
    <w:p>
      <w:pPr>
        <w:pStyle w:val="ListBullet"/>
      </w:pPr>
      <w:r>
        <w:t>Bordure gauche colorée + fond pastel</w:t>
      </w:r>
    </w:p>
    <w:p>
      <w:pPr>
        <w:pStyle w:val="ListBullet"/>
      </w:pPr>
      <w:r>
        <w:t>Pastille couleur stage SPANCO devant le nom</w:t>
      </w:r>
    </w:p>
    <w:p>
      <w:pPr>
        <w:pStyle w:val="ListBullet"/>
      </w:pPr>
      <w:r>
        <w:t>Texte tronqué avec ellipsis si trop long</w:t>
      </w:r>
    </w:p>
    <w:p>
      <w:pPr>
        <w:pStyle w:val="ListBullet"/>
      </w:pPr>
      <w:r>
        <w:t>Tooltip au survol : nom complet + client + type + montant</w:t>
      </w:r>
    </w:p>
    <w:p>
      <w:r>
        <w:t>#### Limite et popup détaillé</w:t>
      </w:r>
    </w:p>
    <w:p>
      <w:pPr>
        <w:pStyle w:val="ListBullet"/>
      </w:pPr>
      <w:r>
        <w:rPr>
          <w:b/>
        </w:rPr>
        <w:t>3 événements max</w:t>
      </w:r>
      <w:r>
        <w:t xml:space="preserve"> affichés par cellule</w:t>
      </w:r>
    </w:p>
    <w:p>
      <w:pPr>
        <w:pStyle w:val="ListBullet"/>
      </w:pPr>
      <w:r>
        <w:t xml:space="preserve">Lien </w:t>
      </w:r>
      <w:r>
        <w:rPr>
          <w:b/>
        </w:rPr>
        <w:t>« + N de plus »</w:t>
      </w:r>
      <w:r>
        <w:t xml:space="preserve"> ouvre une popup centrée</w:t>
      </w:r>
    </w:p>
    <w:p>
      <w:pPr>
        <w:pStyle w:val="ListBullet"/>
      </w:pPr>
      <w:r>
        <w:t>Popup : tous les événements du jour avec montant + stage + type, cliquables</w:t>
      </w:r>
    </w:p>
    <w:p>
      <w:r>
        <w:t>#### Filtres</w:t>
      </w:r>
    </w:p>
    <w:p>
      <w:pPr>
        <w:pStyle w:val="ListBullet"/>
      </w:pPr>
      <w:r>
        <w:rPr>
          <w:b/>
        </w:rPr>
        <w:t>Toutes les échéances</w:t>
      </w:r>
    </w:p>
    <w:p>
      <w:pPr>
        <w:pStyle w:val="ListBullet"/>
      </w:pPr>
      <w:r>
        <w:rPr>
          <w:b/>
        </w:rPr>
        <w:t>Décision potentielle uniquement</w:t>
      </w:r>
    </w:p>
    <w:p>
      <w:pPr>
        <w:pStyle w:val="ListBullet"/>
      </w:pPr>
      <w:r>
        <w:rPr>
          <w:b/>
        </w:rPr>
        <w:t>Contrat concurrent uniquement</w:t>
      </w:r>
    </w:p>
    <w:p>
      <w:r>
        <w:t>#### Légende</w:t>
      </w:r>
    </w:p>
    <w:p>
      <w:pPr>
        <w:pStyle w:val="ListBullet"/>
      </w:pPr>
      <w:r>
        <w:t>Pastille violet « Date de décision potentielle »</w:t>
      </w:r>
    </w:p>
    <w:p>
      <w:pPr>
        <w:pStyle w:val="ListBullet"/>
      </w:pPr>
      <w:r>
        <w:t>Pastille cyan « Échéance contrat concurrent »</w:t>
      </w:r>
    </w:p>
    <w:p>
      <w:pPr>
        <w:pStyle w:val="Heading3"/>
      </w:pPr>
      <w:r>
        <w:rPr>
          <w:color w:val="3730A3"/>
          <w:sz w:val="24"/>
        </w:rPr>
        <w:t>13.2 Source de données</w:t>
      </w:r>
    </w:p>
    <w:p>
      <w:pPr>
        <w:pStyle w:val="ListBullet"/>
      </w:pPr>
      <w:r>
        <w:rPr>
          <w:rFonts w:ascii="Consolas" w:hAnsi="Consolas"/>
          <w:sz w:val="18"/>
        </w:rPr>
        <w:t>api.opportunities.list()</w:t>
      </w:r>
      <w:r>
        <w:t xml:space="preserve"> (même flux que CRMPipeline)</w:t>
      </w:r>
    </w:p>
    <w:p>
      <w:pPr>
        <w:pStyle w:val="ListBullet"/>
      </w:pPr>
      <w:r>
        <w:t xml:space="preserve">Opportunités perdues (stage </w:t>
      </w:r>
      <w:r>
        <w:rPr>
          <w:rFonts w:ascii="Consolas" w:hAnsi="Consolas"/>
          <w:sz w:val="18"/>
        </w:rPr>
        <w:t>lost</w:t>
      </w:r>
      <w:r>
        <w:t>) exclues</w:t>
      </w:r>
    </w:p>
    <w:p>
      <w:pPr>
        <w:pStyle w:val="ListBullet"/>
      </w:pPr>
      <w:r>
        <w:t>Chaque opp génère 1 ou 2 entrées selon les dates renseignées</w:t>
      </w:r>
    </w:p>
    <w:p>
      <w:pPr>
        <w:pStyle w:val="ListBullet"/>
      </w:pPr>
      <w:r>
        <w:t>Tri chronologique ascendant</w:t>
      </w:r>
    </w:p>
    <w:p>
      <w:pPr>
        <w:pStyle w:val="Heading3"/>
      </w:pPr>
      <w:r>
        <w:rPr>
          <w:color w:val="3730A3"/>
          <w:sz w:val="24"/>
        </w:rPr>
        <w:t>13.3 Cas d'usage</w:t>
      </w:r>
    </w:p>
    <w:p>
      <w:pPr>
        <w:pStyle w:val="ListBullet"/>
      </w:pPr>
      <w:r>
        <w:rPr>
          <w:b/>
        </w:rPr>
        <w:t>Préparation de relances</w:t>
      </w:r>
      <w:r>
        <w:t xml:space="preserve"> : voir les fins de contrat concurrent à 30 jours et déclencher la relance</w:t>
      </w:r>
    </w:p>
    <w:p>
      <w:pPr>
        <w:pStyle w:val="ListBullet"/>
      </w:pPr>
      <w:r>
        <w:rPr>
          <w:b/>
        </w:rPr>
        <w:t>Pilotage du mois</w:t>
      </w:r>
      <w:r>
        <w:t xml:space="preserve"> : visualiser la charge des dates de décision potentielles</w:t>
      </w:r>
    </w:p>
    <w:p>
      <w:pPr>
        <w:pStyle w:val="ListBullet"/>
      </w:pPr>
      <w:r>
        <w:rPr>
          <w:b/>
        </w:rPr>
        <w:t>Reporting hebdomadaire</w:t>
      </w:r>
      <w:r>
        <w:t xml:space="preserve"> : compter les opps à conclure cette semaine</w:t>
      </w:r>
    </w:p>
    <w:p>
      <w:pPr>
        <w:pStyle w:val="ListBullet"/>
      </w:pPr>
      <w:r>
        <w:rPr>
          <w:b/>
        </w:rPr>
        <w:t>Anticipation creux</w:t>
      </w:r>
      <w:r>
        <w:t xml:space="preserve"> : identifier les périodes sans deal pour intensifier la prospection</w:t>
      </w:r>
    </w:p>
    <w:p>
      <w:pPr>
        <w:spacing w:before="80"/>
        <w:pBdr>
          <w:bottom w:val="single" w:sz="6" w:color="C0C7D2"/>
        </w:pBdr>
      </w:pPr>
    </w:p>
    <w:p>
      <w:pPr>
        <w:pStyle w:val="Heading2"/>
      </w:pPr>
      <w:r>
        <w:rPr>
          <w:color w:val="1F2942"/>
          <w:sz w:val="28"/>
        </w:rPr>
        <w:t>14. TICKETS ET HOTLINE 3CX</w:t>
      </w:r>
    </w:p>
    <w:p>
      <w:pPr>
        <w:pStyle w:val="Heading3"/>
      </w:pPr>
      <w:r>
        <w:rPr>
          <w:color w:val="3730A3"/>
          <w:sz w:val="24"/>
        </w:rPr>
        <w:t>14.1 Module Ticketing</w:t>
      </w:r>
    </w:p>
    <w:p>
      <w:r>
        <w:rPr>
          <w:b/>
        </w:rPr>
        <w:t>Route</w:t>
      </w:r>
      <w:r>
        <w:t xml:space="preserve"> : </w:t>
      </w:r>
      <w:r>
        <w:rPr>
          <w:rFonts w:ascii="Consolas" w:hAnsi="Consolas"/>
          <w:sz w:val="18"/>
        </w:rPr>
        <w:t>/ticketing</w:t>
      </w:r>
    </w:p>
    <w:p>
      <w:r>
        <w:t>#### Liste des tickets</w:t>
      </w:r>
    </w:p>
    <w:p>
      <w:r>
        <w:t>Filtres en bandeau :</w:t>
      </w:r>
    </w:p>
    <w:p>
      <w:pPr>
        <w:pStyle w:val="ListBullet"/>
      </w:pPr>
      <w:r>
        <w:rPr>
          <w:b/>
        </w:rPr>
        <w:t>Priorité</w:t>
      </w:r>
      <w:r>
        <w:t xml:space="preserve"> : P1 (critique), P2 (haute), P3 (normale), P4 (basse)</w:t>
      </w:r>
    </w:p>
    <w:p>
      <w:pPr>
        <w:pStyle w:val="ListBullet"/>
      </w:pPr>
      <w:r>
        <w:rPr>
          <w:b/>
        </w:rPr>
        <w:t>Statut</w:t>
      </w:r>
      <w:r>
        <w:t xml:space="preserve"> : Ouvert / En cours / En attente client / Résolu / Clos</w:t>
      </w:r>
    </w:p>
    <w:p>
      <w:pPr>
        <w:pStyle w:val="ListBullet"/>
      </w:pPr>
      <w:r>
        <w:rPr>
          <w:b/>
        </w:rPr>
        <w:t>Type</w:t>
      </w:r>
      <w:r>
        <w:t xml:space="preserve"> : Incident / Demande / Question / Bug / Suggestion</w:t>
      </w:r>
    </w:p>
    <w:p>
      <w:pPr>
        <w:pStyle w:val="ListBullet"/>
      </w:pPr>
      <w:r>
        <w:rPr>
          <w:b/>
        </w:rPr>
        <w:t>Owner</w:t>
      </w:r>
      <w:r>
        <w:t xml:space="preserve"> : assigné à</w:t>
      </w:r>
    </w:p>
    <w:p>
      <w:pPr>
        <w:pStyle w:val="ListBullet"/>
      </w:pPr>
      <w:r>
        <w:rPr>
          <w:b/>
        </w:rPr>
        <w:t>Client</w:t>
      </w:r>
      <w:r>
        <w:t xml:space="preserve"> : tous ou spécifique</w:t>
      </w:r>
    </w:p>
    <w:p>
      <w:r>
        <w:t>#### Compteur P1</w:t>
      </w:r>
    </w:p>
    <w:p>
      <w:r>
        <w:t>Badge clignotant rouge si &gt; 0 ticket P1 ouvert. Visible depuis toutes les pages dans la sidebar.</w:t>
      </w:r>
    </w:p>
    <w:p>
      <w:r>
        <w:t>#### Création d'un ticket</w:t>
      </w:r>
    </w:p>
    <w:p>
      <w:pPr>
        <w:pStyle w:val="ListBullet"/>
      </w:pPr>
      <w:r>
        <w:rPr>
          <w:b/>
        </w:rPr>
        <w:t>Sujet</w:t>
      </w:r>
      <w:r>
        <w:t xml:space="preserve"> (libre)</w:t>
      </w:r>
    </w:p>
    <w:p>
      <w:pPr>
        <w:pStyle w:val="ListBullet"/>
      </w:pPr>
      <w:r>
        <w:rPr>
          <w:b/>
        </w:rPr>
        <w:t>Client</w:t>
      </w:r>
      <w:r>
        <w:t xml:space="preserve"> (recherche + sélection)</w:t>
      </w:r>
    </w:p>
    <w:p>
      <w:pPr>
        <w:pStyle w:val="ListBullet"/>
      </w:pPr>
      <w:r>
        <w:rPr>
          <w:b/>
        </w:rPr>
        <w:t>Contact</w:t>
      </w:r>
      <w:r>
        <w:t xml:space="preserve"> (parmi les contacts du client)</w:t>
      </w:r>
    </w:p>
    <w:p>
      <w:pPr>
        <w:pStyle w:val="ListBullet"/>
      </w:pPr>
      <w:r>
        <w:rPr>
          <w:b/>
        </w:rPr>
        <w:t>Priorité</w:t>
      </w:r>
      <w:r>
        <w:t xml:space="preserve"> : selon impact (SLA déclenché automatiquement)</w:t>
      </w:r>
    </w:p>
    <w:p>
      <w:pPr>
        <w:pStyle w:val="ListBullet"/>
      </w:pPr>
      <w:r>
        <w:rPr>
          <w:b/>
        </w:rPr>
        <w:t>Type</w:t>
      </w:r>
    </w:p>
    <w:p>
      <w:pPr>
        <w:pStyle w:val="ListBullet"/>
      </w:pPr>
      <w:r>
        <w:rPr>
          <w:b/>
        </w:rPr>
        <w:t>Description</w:t>
      </w:r>
      <w:r>
        <w:t xml:space="preserve"> (textarea avec rich-text)</w:t>
      </w:r>
    </w:p>
    <w:p>
      <w:pPr>
        <w:pStyle w:val="ListBullet"/>
      </w:pPr>
      <w:r>
        <w:rPr>
          <w:b/>
        </w:rPr>
        <w:t>Pièces jointes</w:t>
      </w:r>
      <w:r>
        <w:t xml:space="preserve"> (drag-and-drop)</w:t>
      </w:r>
    </w:p>
    <w:p>
      <w:pPr>
        <w:pStyle w:val="ListBullet"/>
      </w:pPr>
      <w:r>
        <w:rPr>
          <w:b/>
        </w:rPr>
        <w:t>Assigné à</w:t>
      </w:r>
      <w:r>
        <w:t xml:space="preserve"> (sélecteur technicien)</w:t>
      </w:r>
    </w:p>
    <w:p>
      <w:r>
        <w:t>#### Détail d'un ticket</w:t>
      </w:r>
    </w:p>
    <w:p>
      <w:r>
        <w:t>Layout 2 colonnes :</w:t>
      </w:r>
    </w:p>
    <w:p>
      <w:r>
        <w:t>##### Gauche : Timeline</w:t>
      </w:r>
    </w:p>
    <w:p>
      <w:pPr>
        <w:pStyle w:val="ListBullet"/>
      </w:pPr>
      <w:r>
        <w:t>Création du ticket (date + auteur)</w:t>
      </w:r>
    </w:p>
    <w:p>
      <w:pPr>
        <w:pStyle w:val="ListBullet"/>
      </w:pPr>
      <w:r>
        <w:t>Échanges chronologiques (messages client, réponses technicien, modifications de statut)</w:t>
      </w:r>
    </w:p>
    <w:p>
      <w:pPr>
        <w:pStyle w:val="ListBullet"/>
      </w:pPr>
      <w:r>
        <w:t>Pièces jointes embarquées</w:t>
      </w:r>
    </w:p>
    <w:p>
      <w:pPr>
        <w:pStyle w:val="ListBullet"/>
      </w:pPr>
      <w:r>
        <w:t>Logs d'actions (escalade, réassignation, fermeture)</w:t>
      </w:r>
    </w:p>
    <w:p>
      <w:r>
        <w:t>##### Droite : Méta</w:t>
      </w:r>
    </w:p>
    <w:p>
      <w:pPr>
        <w:pStyle w:val="ListBullet"/>
      </w:pPr>
      <w:r>
        <w:t>Référence TKT-XXXX</w:t>
      </w:r>
    </w:p>
    <w:p>
      <w:pPr>
        <w:pStyle w:val="ListBullet"/>
      </w:pPr>
      <w:r>
        <w:t>Statut + Priorité + SLA restant</w:t>
      </w:r>
    </w:p>
    <w:p>
      <w:pPr>
        <w:pStyle w:val="ListBullet"/>
      </w:pPr>
      <w:r>
        <w:t>Client + contact (cliquables)</w:t>
      </w:r>
    </w:p>
    <w:p>
      <w:pPr>
        <w:pStyle w:val="ListBullet"/>
      </w:pPr>
      <w:r>
        <w:t>Type + Catégorie</w:t>
      </w:r>
    </w:p>
    <w:p>
      <w:pPr>
        <w:pStyle w:val="ListBullet"/>
      </w:pPr>
      <w:r>
        <w:t>Assigné à (modifiable)</w:t>
      </w:r>
    </w:p>
    <w:p>
      <w:pPr>
        <w:pStyle w:val="ListBullet"/>
      </w:pPr>
      <w:r>
        <w:t>Date de création + Date de dernière maj</w:t>
      </w:r>
    </w:p>
    <w:p>
      <w:pPr>
        <w:pStyle w:val="ListBullet"/>
      </w:pPr>
      <w:r>
        <w:t>Procédure standard (badge à appliquer)</w:t>
      </w:r>
    </w:p>
    <w:p>
      <w:r>
        <w:t>#### Procédure badge</w:t>
      </w:r>
    </w:p>
    <w:p>
      <w:r>
        <w:t>Sur chaque ticket, badge cliquable indiquant la procédure standard à suivre :</w:t>
      </w:r>
    </w:p>
    <w:p>
      <w:pPr>
        <w:pStyle w:val="ListBullet"/>
      </w:pPr>
      <w:r>
        <w:rPr>
          <w:b/>
        </w:rPr>
        <w:t>RAS</w:t>
      </w:r>
      <w:r>
        <w:t xml:space="preserve"> : pas d'intervention, qualification suffisante</w:t>
      </w:r>
    </w:p>
    <w:p>
      <w:pPr>
        <w:pStyle w:val="ListBullet"/>
      </w:pPr>
      <w:r>
        <w:rPr>
          <w:b/>
        </w:rPr>
        <w:t>Escalade N2</w:t>
      </w:r>
      <w:r>
        <w:t xml:space="preserve"> : remontée au technicien senior</w:t>
      </w:r>
    </w:p>
    <w:p>
      <w:pPr>
        <w:pStyle w:val="ListBullet"/>
      </w:pPr>
      <w:r>
        <w:rPr>
          <w:b/>
        </w:rPr>
        <w:t>Intervention sur site</w:t>
      </w:r>
      <w:r>
        <w:t xml:space="preserve"> : déplacement nécessaire</w:t>
      </w:r>
    </w:p>
    <w:p>
      <w:pPr>
        <w:pStyle w:val="ListBullet"/>
      </w:pPr>
      <w:r>
        <w:rPr>
          <w:b/>
        </w:rPr>
        <w:t>Devis nécessaire</w:t>
      </w:r>
      <w:r>
        <w:t xml:space="preserve"> : prestation hors contrat → bascule en gestion commerciale</w:t>
      </w:r>
    </w:p>
    <w:p>
      <w:r>
        <w:t>Chaque badge déclenche une checklist de qualification.</w:t>
      </w:r>
    </w:p>
    <w:p>
      <w:pPr>
        <w:pStyle w:val="Heading3"/>
      </w:pPr>
      <w:r>
        <w:rPr>
          <w:color w:val="3730A3"/>
          <w:sz w:val="24"/>
        </w:rPr>
        <w:t>14.2 Hotline 3CX</w:t>
      </w:r>
    </w:p>
    <w:p>
      <w:r>
        <w:t>#### Hotline popup</w:t>
      </w:r>
    </w:p>
    <w:p>
      <w:r>
        <w:t>Notification temps réel :</w:t>
      </w:r>
    </w:p>
    <w:p>
      <w:pPr>
        <w:pStyle w:val="ListBullet"/>
      </w:pPr>
      <w:r>
        <w:rPr>
          <w:b/>
        </w:rPr>
        <w:t>Pop-up clignotant rouge</w:t>
      </w:r>
      <w:r>
        <w:t xml:space="preserve"> sur P1 entrant</w:t>
      </w:r>
    </w:p>
    <w:p>
      <w:pPr>
        <w:pStyle w:val="ListBullet"/>
      </w:pPr>
      <w:r>
        <w:rPr>
          <w:b/>
        </w:rPr>
        <w:t>Toast bleu</w:t>
      </w:r>
      <w:r>
        <w:t xml:space="preserve"> sur P2</w:t>
      </w:r>
    </w:p>
    <w:p>
      <w:pPr>
        <w:pStyle w:val="ListBullet"/>
      </w:pPr>
      <w:r>
        <w:t>Son d'alerte (configurable)</w:t>
      </w:r>
    </w:p>
    <w:p>
      <w:pPr>
        <w:pStyle w:val="ListBullet"/>
      </w:pPr>
      <w:r>
        <w:t>Affichage de :</w:t>
      </w:r>
    </w:p>
    <w:p>
      <w:pPr>
        <w:pStyle w:val="ListBullet"/>
      </w:pPr>
      <w:r>
        <w:t>Numéro de téléphone appelant</w:t>
      </w:r>
    </w:p>
    <w:p>
      <w:pPr>
        <w:pStyle w:val="ListBullet"/>
      </w:pPr>
      <w:r>
        <w:t>Nom du client (si reconnu dans la base)</w:t>
      </w:r>
    </w:p>
    <w:p>
      <w:pPr>
        <w:pStyle w:val="ListBullet"/>
      </w:pPr>
      <w:r>
        <w:t>Sujet déclaré</w:t>
      </w:r>
    </w:p>
    <w:p>
      <w:pPr>
        <w:pStyle w:val="ListBullet"/>
      </w:pPr>
      <w:r>
        <w:t xml:space="preserve">Lien direct </w:t>
      </w:r>
      <w:r>
        <w:rPr>
          <w:b/>
        </w:rPr>
        <w:t>« Ouvrir le ticket »</w:t>
      </w:r>
    </w:p>
    <w:p>
      <w:pPr>
        <w:pStyle w:val="ListBullet"/>
      </w:pPr>
      <w:r>
        <w:rPr>
          <w:b/>
        </w:rPr>
        <w:t>Acquittement obligatoire</w:t>
      </w:r>
      <w:r>
        <w:t xml:space="preserve"> (clic pour confirmer prise en charge)</w:t>
      </w:r>
    </w:p>
    <w:p>
      <w:r>
        <w:t>#### Intégration 3CX Web Client</w:t>
      </w:r>
    </w:p>
    <w:p>
      <w:pPr>
        <w:pStyle w:val="ListBullet"/>
      </w:pPr>
      <w:r>
        <w:t>Au clic sur l'icône téléphone d'un contact : ouverture de 3CX Web Client dans un onglet séparé avec deep-link dialer</w:t>
      </w:r>
    </w:p>
    <w:p>
      <w:pPr>
        <w:pStyle w:val="ListBullet"/>
      </w:pPr>
      <w:r>
        <w:t xml:space="preserve">URL : </w:t>
      </w:r>
      <w:r>
        <w:rPr>
          <w:rFonts w:ascii="Consolas" w:hAnsi="Consolas"/>
          <w:sz w:val="18"/>
        </w:rPr>
        <w:t>https://telcomastorya.my3cx.fr:5001/webclient/#/dialer/&lt;tel&gt;</w:t>
      </w:r>
    </w:p>
    <w:p>
      <w:pPr>
        <w:pStyle w:val="ListBullet"/>
      </w:pPr>
      <w:r>
        <w:t xml:space="preserve">Configuration du serveur 3CX dans </w:t>
      </w:r>
      <w:r>
        <w:rPr>
          <w:rFonts w:ascii="Consolas" w:hAnsi="Consolas"/>
          <w:sz w:val="18"/>
        </w:rPr>
        <w:t>app_settings</w:t>
      </w:r>
      <w:r>
        <w:t xml:space="preserve"> (clé </w:t>
      </w:r>
      <w:r>
        <w:rPr>
          <w:rFonts w:ascii="Consolas" w:hAnsi="Consolas"/>
          <w:sz w:val="18"/>
        </w:rPr>
        <w:t>3cx_server_url</w:t>
      </w:r>
      <w:r>
        <w:t>)</w:t>
      </w:r>
    </w:p>
    <w:p>
      <w:pPr>
        <w:pStyle w:val="ListBullet"/>
      </w:pPr>
      <w:r>
        <w:t>Pas besoin d'installer un client local</w:t>
      </w:r>
    </w:p>
    <w:p>
      <w:pPr>
        <w:pStyle w:val="Heading3"/>
      </w:pPr>
      <w:r>
        <w:rPr>
          <w:color w:val="3730A3"/>
          <w:sz w:val="24"/>
        </w:rPr>
        <w:t>14.3 SLA contractuel</w:t>
      </w:r>
    </w:p>
    <w:p>
      <w:r>
        <w:t>Délais de réponse et de résolution par formule :</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F"/>
          </w:tcPr>
          <w:p>
            <w:r>
              <w:rPr>
                <w:b/>
                <w:color w:val="1F2942"/>
                <w:sz w:val="18"/>
              </w:rPr>
              <w:t>Formule</w:t>
            </w:r>
          </w:p>
        </w:tc>
        <w:tc>
          <w:tcPr>
            <w:tcW w:type="dxa" w:w="1994"/>
            <w:shd w:val="clear" w:color="auto" w:fill="EEF2FF"/>
          </w:tcPr>
          <w:p>
            <w:r>
              <w:rPr>
                <w:b/>
                <w:color w:val="1F2942"/>
                <w:sz w:val="18"/>
              </w:rPr>
              <w:t>P1 (critique)</w:t>
            </w:r>
          </w:p>
        </w:tc>
        <w:tc>
          <w:tcPr>
            <w:tcW w:type="dxa" w:w="1994"/>
            <w:shd w:val="clear" w:color="auto" w:fill="EEF2FF"/>
          </w:tcPr>
          <w:p>
            <w:r>
              <w:rPr>
                <w:b/>
                <w:color w:val="1F2942"/>
                <w:sz w:val="18"/>
              </w:rPr>
              <w:t>P2 (haute)</w:t>
            </w:r>
          </w:p>
        </w:tc>
        <w:tc>
          <w:tcPr>
            <w:tcW w:type="dxa" w:w="1994"/>
            <w:shd w:val="clear" w:color="auto" w:fill="EEF2FF"/>
          </w:tcPr>
          <w:p>
            <w:r>
              <w:rPr>
                <w:b/>
                <w:color w:val="1F2942"/>
                <w:sz w:val="18"/>
              </w:rPr>
              <w:t>P3 (normale)</w:t>
            </w:r>
          </w:p>
        </w:tc>
        <w:tc>
          <w:tcPr>
            <w:tcW w:type="dxa" w:w="1994"/>
            <w:shd w:val="clear" w:color="auto" w:fill="EEF2FF"/>
          </w:tcPr>
          <w:p>
            <w:r>
              <w:rPr>
                <w:b/>
                <w:color w:val="1F2942"/>
                <w:sz w:val="18"/>
              </w:rPr>
              <w:t>P4 (basse)</w:t>
            </w:r>
          </w:p>
        </w:tc>
      </w:tr>
      <w:tr>
        <w:tc>
          <w:tcPr>
            <w:tcW w:type="dxa" w:w="1994"/>
          </w:tcPr>
          <w:p>
            <w:r>
              <w:rPr>
                <w:sz w:val="18"/>
              </w:rPr>
              <w:t>Essentiel</w:t>
            </w:r>
          </w:p>
        </w:tc>
        <w:tc>
          <w:tcPr>
            <w:tcW w:type="dxa" w:w="1994"/>
          </w:tcPr>
          <w:p>
            <w:r>
              <w:rPr>
                <w:sz w:val="18"/>
              </w:rPr>
              <w:t>Prise en compte 4h, résolution 8h</w:t>
            </w:r>
          </w:p>
        </w:tc>
        <w:tc>
          <w:tcPr>
            <w:tcW w:type="dxa" w:w="1994"/>
          </w:tcPr>
          <w:p>
            <w:r>
              <w:rPr>
                <w:sz w:val="18"/>
              </w:rPr>
              <w:t>8h ouvrées</w:t>
            </w:r>
          </w:p>
        </w:tc>
        <w:tc>
          <w:tcPr>
            <w:tcW w:type="dxa" w:w="1994"/>
          </w:tcPr>
          <w:p>
            <w:r>
              <w:rPr>
                <w:sz w:val="18"/>
              </w:rPr>
              <w:t>2 j ouvrés</w:t>
            </w:r>
          </w:p>
        </w:tc>
        <w:tc>
          <w:tcPr>
            <w:tcW w:type="dxa" w:w="1994"/>
          </w:tcPr>
          <w:p>
            <w:r>
              <w:rPr>
                <w:sz w:val="18"/>
              </w:rPr>
              <w:t>5 j ouvrés</w:t>
            </w:r>
          </w:p>
        </w:tc>
      </w:tr>
      <w:tr>
        <w:tc>
          <w:tcPr>
            <w:tcW w:type="dxa" w:w="1994"/>
          </w:tcPr>
          <w:p>
            <w:r>
              <w:rPr>
                <w:sz w:val="18"/>
              </w:rPr>
              <w:t>Business</w:t>
            </w:r>
          </w:p>
        </w:tc>
        <w:tc>
          <w:tcPr>
            <w:tcW w:type="dxa" w:w="1994"/>
          </w:tcPr>
          <w:p>
            <w:r>
              <w:rPr>
                <w:sz w:val="18"/>
              </w:rPr>
              <w:t>Prise en compte 2h, résolution 4h</w:t>
            </w:r>
          </w:p>
        </w:tc>
        <w:tc>
          <w:tcPr>
            <w:tcW w:type="dxa" w:w="1994"/>
          </w:tcPr>
          <w:p>
            <w:r>
              <w:rPr>
                <w:sz w:val="18"/>
              </w:rPr>
              <w:t>4h ouvrées</w:t>
            </w:r>
          </w:p>
        </w:tc>
        <w:tc>
          <w:tcPr>
            <w:tcW w:type="dxa" w:w="1994"/>
          </w:tcPr>
          <w:p>
            <w:r>
              <w:rPr>
                <w:sz w:val="18"/>
              </w:rPr>
              <w:t>1 j ouvré</w:t>
            </w:r>
          </w:p>
        </w:tc>
        <w:tc>
          <w:tcPr>
            <w:tcW w:type="dxa" w:w="1994"/>
          </w:tcPr>
          <w:p>
            <w:r>
              <w:rPr>
                <w:sz w:val="18"/>
              </w:rPr>
              <w:t>3 j ouvrés</w:t>
            </w:r>
          </w:p>
        </w:tc>
      </w:tr>
      <w:tr>
        <w:tc>
          <w:tcPr>
            <w:tcW w:type="dxa" w:w="1994"/>
          </w:tcPr>
          <w:p>
            <w:r>
              <w:rPr>
                <w:sz w:val="18"/>
              </w:rPr>
              <w:t>Premium</w:t>
            </w:r>
          </w:p>
        </w:tc>
        <w:tc>
          <w:tcPr>
            <w:tcW w:type="dxa" w:w="1994"/>
          </w:tcPr>
          <w:p>
            <w:r>
              <w:rPr>
                <w:sz w:val="18"/>
              </w:rPr>
              <w:t>Prise en compte 1h, résolution 2h</w:t>
            </w:r>
          </w:p>
        </w:tc>
        <w:tc>
          <w:tcPr>
            <w:tcW w:type="dxa" w:w="1994"/>
          </w:tcPr>
          <w:p>
            <w:r>
              <w:rPr>
                <w:sz w:val="18"/>
              </w:rPr>
              <w:t>2h ouvrées</w:t>
            </w:r>
          </w:p>
        </w:tc>
        <w:tc>
          <w:tcPr>
            <w:tcW w:type="dxa" w:w="1994"/>
          </w:tcPr>
          <w:p>
            <w:r>
              <w:rPr>
                <w:sz w:val="18"/>
              </w:rPr>
              <w:t>4h ouvrées</w:t>
            </w:r>
          </w:p>
        </w:tc>
        <w:tc>
          <w:tcPr>
            <w:tcW w:type="dxa" w:w="1994"/>
          </w:tcPr>
          <w:p>
            <w:r>
              <w:rPr>
                <w:sz w:val="18"/>
              </w:rPr>
              <w:t>1 j ouvré</w:t>
            </w:r>
          </w:p>
        </w:tc>
      </w:tr>
    </w:tbl>
    <w:p/>
    <w:p>
      <w:r>
        <w:t>Le SLA est affiché en temps réel sur chaque ticket avec un compte à rebours. Dépassement → escalade automatique + notification manager.</w:t>
      </w:r>
    </w:p>
    <w:p>
      <w:pPr>
        <w:pStyle w:val="Heading3"/>
      </w:pPr>
      <w:r>
        <w:rPr>
          <w:color w:val="3730A3"/>
          <w:sz w:val="24"/>
        </w:rPr>
        <w:t>14.4 Notifications Teams</w:t>
      </w:r>
    </w:p>
    <w:p>
      <w:r>
        <w:t>Webhook Teams configurable pour recevoir les alertes critiques (P1 entrant, SLA dépassé, ticket fermé important) dans un canal dédié.</w:t>
      </w:r>
    </w:p>
    <w:p>
      <w:pPr>
        <w:spacing w:before="80"/>
        <w:pBdr>
          <w:bottom w:val="single" w:sz="6" w:color="C0C7D2"/>
        </w:pBdr>
      </w:pPr>
    </w:p>
    <w:p>
      <w:pPr>
        <w:pStyle w:val="Heading2"/>
      </w:pPr>
      <w:r>
        <w:rPr>
          <w:color w:val="1F2942"/>
          <w:sz w:val="28"/>
        </w:rPr>
        <w:t>15. PROJETS ET LIVRABLES</w:t>
      </w:r>
    </w:p>
    <w:p>
      <w:pPr>
        <w:pStyle w:val="Heading3"/>
      </w:pPr>
      <w:r>
        <w:rPr>
          <w:color w:val="3730A3"/>
          <w:sz w:val="24"/>
        </w:rPr>
        <w:t>15.1 Vues multiples</w:t>
      </w:r>
    </w:p>
    <w:p>
      <w:r>
        <w:t>5 routes proposant différentes représentations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Route</w:t>
            </w:r>
          </w:p>
        </w:tc>
        <w:tc>
          <w:tcPr>
            <w:tcW w:type="dxa" w:w="3324"/>
            <w:shd w:val="clear" w:color="auto" w:fill="EEF2FF"/>
          </w:tcPr>
          <w:p>
            <w:r>
              <w:rPr>
                <w:b/>
                <w:color w:val="1F2942"/>
                <w:sz w:val="18"/>
              </w:rPr>
              <w:t>Vue</w:t>
            </w:r>
          </w:p>
        </w:tc>
        <w:tc>
          <w:tcPr>
            <w:tcW w:type="dxa" w:w="3324"/>
            <w:shd w:val="clear" w:color="auto" w:fill="EEF2FF"/>
          </w:tcPr>
          <w:p>
            <w:r>
              <w:rPr>
                <w:b/>
                <w:color w:val="1F2942"/>
                <w:sz w:val="18"/>
              </w:rPr>
              <w:t>Usage</w:t>
            </w:r>
          </w:p>
        </w:tc>
      </w:tr>
      <w:tr>
        <w:tc>
          <w:tcPr>
            <w:tcW w:type="dxa" w:w="3324"/>
          </w:tcPr>
          <w:p>
            <w:r>
              <w:rPr>
                <w:rFonts w:ascii="Consolas" w:hAnsi="Consolas"/>
                <w:sz w:val="18"/>
              </w:rPr>
              <w:t>/projets</w:t>
            </w:r>
          </w:p>
        </w:tc>
        <w:tc>
          <w:tcPr>
            <w:tcW w:type="dxa" w:w="3324"/>
          </w:tcPr>
          <w:p>
            <w:r>
              <w:rPr>
                <w:sz w:val="18"/>
              </w:rPr>
              <w:t>Liste maîtresse</w:t>
            </w:r>
          </w:p>
        </w:tc>
        <w:tc>
          <w:tcPr>
            <w:tcW w:type="dxa" w:w="3324"/>
          </w:tcPr>
          <w:p>
            <w:r>
              <w:rPr>
                <w:sz w:val="18"/>
              </w:rPr>
              <w:t>Gestion globale, tri / filtre</w:t>
            </w:r>
          </w:p>
        </w:tc>
      </w:tr>
      <w:tr>
        <w:tc>
          <w:tcPr>
            <w:tcW w:type="dxa" w:w="3324"/>
          </w:tcPr>
          <w:p>
            <w:r>
              <w:rPr>
                <w:rFonts w:ascii="Consolas" w:hAnsi="Consolas"/>
                <w:sz w:val="18"/>
              </w:rPr>
              <w:t>/projets-tableau</w:t>
            </w:r>
          </w:p>
        </w:tc>
        <w:tc>
          <w:tcPr>
            <w:tcW w:type="dxa" w:w="3324"/>
          </w:tcPr>
          <w:p>
            <w:r>
              <w:rPr>
                <w:sz w:val="18"/>
              </w:rPr>
              <w:t>Table triable</w:t>
            </w:r>
          </w:p>
        </w:tc>
        <w:tc>
          <w:tcPr>
            <w:tcW w:type="dxa" w:w="3324"/>
          </w:tcPr>
          <w:p>
            <w:r>
              <w:rPr>
                <w:sz w:val="18"/>
              </w:rPr>
              <w:t>Vue analytique avec colonnes paramétrables</w:t>
            </w:r>
          </w:p>
        </w:tc>
      </w:tr>
      <w:tr>
        <w:tc>
          <w:tcPr>
            <w:tcW w:type="dxa" w:w="3324"/>
          </w:tcPr>
          <w:p>
            <w:r>
              <w:rPr>
                <w:rFonts w:ascii="Consolas" w:hAnsi="Consolas"/>
                <w:sz w:val="18"/>
              </w:rPr>
              <w:t>/projets-kanban</w:t>
            </w:r>
          </w:p>
        </w:tc>
        <w:tc>
          <w:tcPr>
            <w:tcW w:type="dxa" w:w="3324"/>
          </w:tcPr>
          <w:p>
            <w:r>
              <w:rPr>
                <w:sz w:val="18"/>
              </w:rPr>
              <w:t>Kanban par statut</w:t>
            </w:r>
          </w:p>
        </w:tc>
        <w:tc>
          <w:tcPr>
            <w:tcW w:type="dxa" w:w="3324"/>
          </w:tcPr>
          <w:p>
            <w:r>
              <w:rPr>
                <w:sz w:val="18"/>
              </w:rPr>
              <w:t>Pilotage opérationnel par phase</w:t>
            </w:r>
          </w:p>
        </w:tc>
      </w:tr>
      <w:tr>
        <w:tc>
          <w:tcPr>
            <w:tcW w:type="dxa" w:w="3324"/>
          </w:tcPr>
          <w:p>
            <w:r>
              <w:rPr>
                <w:rFonts w:ascii="Consolas" w:hAnsi="Consolas"/>
                <w:sz w:val="18"/>
              </w:rPr>
              <w:t>/projets-calendrier</w:t>
            </w:r>
          </w:p>
        </w:tc>
        <w:tc>
          <w:tcPr>
            <w:tcW w:type="dxa" w:w="3324"/>
          </w:tcPr>
          <w:p>
            <w:r>
              <w:rPr>
                <w:sz w:val="18"/>
              </w:rPr>
              <w:t>Calendrier mensuel</w:t>
            </w:r>
          </w:p>
        </w:tc>
        <w:tc>
          <w:tcPr>
            <w:tcW w:type="dxa" w:w="3324"/>
          </w:tcPr>
          <w:p>
            <w:r>
              <w:rPr>
                <w:sz w:val="18"/>
              </w:rPr>
              <w:t>Planning de charge</w:t>
            </w:r>
          </w:p>
        </w:tc>
      </w:tr>
      <w:tr>
        <w:tc>
          <w:tcPr>
            <w:tcW w:type="dxa" w:w="3324"/>
          </w:tcPr>
          <w:p>
            <w:r>
              <w:rPr>
                <w:rFonts w:ascii="Consolas" w:hAnsi="Consolas"/>
                <w:sz w:val="18"/>
              </w:rPr>
              <w:t>/projets-gantt</w:t>
            </w:r>
          </w:p>
        </w:tc>
        <w:tc>
          <w:tcPr>
            <w:tcW w:type="dxa" w:w="3324"/>
          </w:tcPr>
          <w:p>
            <w:r>
              <w:rPr>
                <w:sz w:val="18"/>
              </w:rPr>
              <w:t>Diagramme de Gantt</w:t>
            </w:r>
          </w:p>
        </w:tc>
        <w:tc>
          <w:tcPr>
            <w:tcW w:type="dxa" w:w="3324"/>
          </w:tcPr>
          <w:p>
            <w:r>
              <w:rPr>
                <w:sz w:val="18"/>
              </w:rPr>
              <w:t>Dépendances et chemin critique</w:t>
            </w:r>
          </w:p>
        </w:tc>
      </w:tr>
      <w:tr>
        <w:tc>
          <w:tcPr>
            <w:tcW w:type="dxa" w:w="3324"/>
          </w:tcPr>
          <w:p>
            <w:r>
              <w:rPr>
                <w:rFonts w:ascii="Consolas" w:hAnsi="Consolas"/>
                <w:sz w:val="18"/>
              </w:rPr>
              <w:t>/projet?id=&lt;id&gt;</w:t>
            </w:r>
          </w:p>
        </w:tc>
        <w:tc>
          <w:tcPr>
            <w:tcW w:type="dxa" w:w="3324"/>
          </w:tcPr>
          <w:p>
            <w:r>
              <w:rPr>
                <w:sz w:val="18"/>
              </w:rPr>
              <w:t>Détail projet</w:t>
            </w:r>
          </w:p>
        </w:tc>
        <w:tc>
          <w:tcPr>
            <w:tcW w:type="dxa" w:w="3324"/>
          </w:tcPr>
          <w:p>
            <w:r>
              <w:rPr>
                <w:sz w:val="18"/>
              </w:rPr>
              <w:t>Fiche complète d'un projet</w:t>
            </w:r>
          </w:p>
        </w:tc>
      </w:tr>
    </w:tbl>
    <w:p/>
    <w:p>
      <w:pPr>
        <w:pStyle w:val="Heading3"/>
      </w:pPr>
      <w:r>
        <w:rPr>
          <w:color w:val="3730A3"/>
          <w:sz w:val="24"/>
        </w:rPr>
        <w:t>15.2 Auto-création depuis opportunité</w:t>
      </w:r>
    </w:p>
    <w:p>
      <w:r>
        <w:t xml:space="preserve">Quand une opportunité passe en stage </w:t>
      </w:r>
      <w:r>
        <w:rPr>
          <w:rFonts w:ascii="Consolas" w:hAnsi="Consolas"/>
          <w:sz w:val="18"/>
        </w:rPr>
        <w:t>won</w:t>
      </w:r>
      <w:r>
        <w:t xml:space="preserve"> (Ordre), un projet est automatiquement créé avec :</w:t>
      </w:r>
    </w:p>
    <w:p>
      <w:pPr>
        <w:pStyle w:val="ListBullet"/>
      </w:pPr>
      <w:r>
        <w:rPr>
          <w:rFonts w:ascii="Consolas" w:hAnsi="Consolas"/>
          <w:sz w:val="18"/>
        </w:rPr>
        <w:t>name</w:t>
      </w:r>
      <w:r>
        <w:t xml:space="preserve"> = nom de l'opportunité</w:t>
      </w:r>
    </w:p>
    <w:p>
      <w:pPr>
        <w:pStyle w:val="ListBullet"/>
      </w:pPr>
      <w:r>
        <w:rPr>
          <w:rFonts w:ascii="Consolas" w:hAnsi="Consolas"/>
          <w:sz w:val="18"/>
        </w:rPr>
        <w:t>client_id</w:t>
      </w:r>
      <w:r>
        <w:t xml:space="preserve"> = client de l'opp</w:t>
      </w:r>
    </w:p>
    <w:p>
      <w:pPr>
        <w:pStyle w:val="ListBullet"/>
      </w:pPr>
      <w:r>
        <w:rPr>
          <w:rFonts w:ascii="Consolas" w:hAnsi="Consolas"/>
          <w:sz w:val="18"/>
        </w:rPr>
        <w:t>opportunity_id</w:t>
      </w:r>
      <w:r>
        <w:t xml:space="preserve"> = ref de l'opp</w:t>
      </w:r>
    </w:p>
    <w:p>
      <w:pPr>
        <w:pStyle w:val="ListBullet"/>
      </w:pPr>
      <w:r>
        <w:rPr>
          <w:rFonts w:ascii="Consolas" w:hAnsi="Consolas"/>
          <w:sz w:val="18"/>
        </w:rPr>
        <w:t>status</w:t>
      </w:r>
      <w:r>
        <w:t xml:space="preserve"> = "Prévu"</w:t>
      </w:r>
    </w:p>
    <w:p>
      <w:pPr>
        <w:pStyle w:val="ListBullet"/>
      </w:pPr>
      <w:r>
        <w:rPr>
          <w:rFonts w:ascii="Consolas" w:hAnsi="Consolas"/>
          <w:sz w:val="18"/>
        </w:rPr>
        <w:t>responsible</w:t>
      </w:r>
      <w:r>
        <w:t xml:space="preserve"> = owner de l'opp</w:t>
      </w:r>
    </w:p>
    <w:p>
      <w:pPr>
        <w:pStyle w:val="ListBullet"/>
      </w:pPr>
      <w:r>
        <w:rPr>
          <w:rFonts w:ascii="Consolas" w:hAnsi="Consolas"/>
          <w:sz w:val="18"/>
        </w:rPr>
        <w:t>start_date</w:t>
      </w:r>
      <w:r>
        <w:t xml:space="preserve"> = aujourd'hui</w:t>
      </w:r>
    </w:p>
    <w:p>
      <w:pPr>
        <w:pStyle w:val="ListBullet"/>
      </w:pPr>
      <w:r>
        <w:rPr>
          <w:rFonts w:ascii="Consolas" w:hAnsi="Consolas"/>
          <w:sz w:val="18"/>
        </w:rPr>
        <w:t>end_date</w:t>
      </w:r>
      <w:r>
        <w:t xml:space="preserve"> = aujourd'hui + 90 jours (configurable)</w:t>
      </w:r>
    </w:p>
    <w:p>
      <w:pPr>
        <w:pStyle w:val="ListBullet"/>
      </w:pPr>
      <w:r>
        <w:rPr>
          <w:rFonts w:ascii="Consolas" w:hAnsi="Consolas"/>
          <w:sz w:val="18"/>
        </w:rPr>
        <w:t>commercial_docs</w:t>
      </w:r>
      <w:r>
        <w:t xml:space="preserve"> = refs des devis/commandes/BL</w:t>
      </w:r>
    </w:p>
    <w:p>
      <w:pPr>
        <w:pStyle w:val="Heading3"/>
      </w:pPr>
      <w:r>
        <w:rPr>
          <w:color w:val="3730A3"/>
          <w:sz w:val="24"/>
        </w:rPr>
        <w:t>15.3 Statuts de projet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Statut</w:t>
            </w:r>
          </w:p>
        </w:tc>
        <w:tc>
          <w:tcPr>
            <w:tcW w:type="dxa" w:w="3324"/>
            <w:shd w:val="clear" w:color="auto" w:fill="EEF2FF"/>
          </w:tcPr>
          <w:p>
            <w:r>
              <w:rPr>
                <w:b/>
                <w:color w:val="1F2942"/>
                <w:sz w:val="18"/>
              </w:rPr>
              <w:t>Couleur</w:t>
            </w:r>
          </w:p>
        </w:tc>
        <w:tc>
          <w:tcPr>
            <w:tcW w:type="dxa" w:w="3324"/>
            <w:shd w:val="clear" w:color="auto" w:fill="EEF2FF"/>
          </w:tcPr>
          <w:p>
            <w:r>
              <w:rPr>
                <w:b/>
                <w:color w:val="1F2942"/>
                <w:sz w:val="18"/>
              </w:rPr>
              <w:t>Description</w:t>
            </w:r>
          </w:p>
        </w:tc>
      </w:tr>
      <w:tr>
        <w:tc>
          <w:tcPr>
            <w:tcW w:type="dxa" w:w="3324"/>
          </w:tcPr>
          <w:p>
            <w:r>
              <w:rPr>
                <w:sz w:val="18"/>
              </w:rPr>
              <w:t>Prévu</w:t>
            </w:r>
          </w:p>
        </w:tc>
        <w:tc>
          <w:tcPr>
            <w:tcW w:type="dxa" w:w="3324"/>
          </w:tcPr>
          <w:p>
            <w:r>
              <w:rPr>
                <w:sz w:val="18"/>
              </w:rPr>
              <w:t>Gris</w:t>
            </w:r>
          </w:p>
        </w:tc>
        <w:tc>
          <w:tcPr>
            <w:tcW w:type="dxa" w:w="3324"/>
          </w:tcPr>
          <w:p>
            <w:r>
              <w:rPr>
                <w:sz w:val="18"/>
              </w:rPr>
              <w:t>Projet créé, pas encore démarré</w:t>
            </w:r>
          </w:p>
        </w:tc>
      </w:tr>
      <w:tr>
        <w:tc>
          <w:tcPr>
            <w:tcW w:type="dxa" w:w="3324"/>
          </w:tcPr>
          <w:p>
            <w:r>
              <w:rPr>
                <w:sz w:val="18"/>
              </w:rPr>
              <w:t>En cours</w:t>
            </w:r>
          </w:p>
        </w:tc>
        <w:tc>
          <w:tcPr>
            <w:tcW w:type="dxa" w:w="3324"/>
          </w:tcPr>
          <w:p>
            <w:r>
              <w:rPr>
                <w:sz w:val="18"/>
              </w:rPr>
              <w:t>Bleu</w:t>
            </w:r>
          </w:p>
        </w:tc>
        <w:tc>
          <w:tcPr>
            <w:tcW w:type="dxa" w:w="3324"/>
          </w:tcPr>
          <w:p>
            <w:r>
              <w:rPr>
                <w:sz w:val="18"/>
              </w:rPr>
              <w:t>Travaux en cours</w:t>
            </w:r>
          </w:p>
        </w:tc>
      </w:tr>
      <w:tr>
        <w:tc>
          <w:tcPr>
            <w:tcW w:type="dxa" w:w="3324"/>
          </w:tcPr>
          <w:p>
            <w:r>
              <w:rPr>
                <w:sz w:val="18"/>
              </w:rPr>
              <w:t>En pause</w:t>
            </w:r>
          </w:p>
        </w:tc>
        <w:tc>
          <w:tcPr>
            <w:tcW w:type="dxa" w:w="3324"/>
          </w:tcPr>
          <w:p>
            <w:r>
              <w:rPr>
                <w:sz w:val="18"/>
              </w:rPr>
              <w:t>Orange</w:t>
            </w:r>
          </w:p>
        </w:tc>
        <w:tc>
          <w:tcPr>
            <w:tcW w:type="dxa" w:w="3324"/>
          </w:tcPr>
          <w:p>
            <w:r>
              <w:rPr>
                <w:sz w:val="18"/>
              </w:rPr>
              <w:t>Suspendu (client en retard, blocage technique)</w:t>
            </w:r>
          </w:p>
        </w:tc>
      </w:tr>
      <w:tr>
        <w:tc>
          <w:tcPr>
            <w:tcW w:type="dxa" w:w="3324"/>
          </w:tcPr>
          <w:p>
            <w:r>
              <w:rPr>
                <w:sz w:val="18"/>
              </w:rPr>
              <w:t>Terminé</w:t>
            </w:r>
          </w:p>
        </w:tc>
        <w:tc>
          <w:tcPr>
            <w:tcW w:type="dxa" w:w="3324"/>
          </w:tcPr>
          <w:p>
            <w:r>
              <w:rPr>
                <w:sz w:val="18"/>
              </w:rPr>
              <w:t>Vert</w:t>
            </w:r>
          </w:p>
        </w:tc>
        <w:tc>
          <w:tcPr>
            <w:tcW w:type="dxa" w:w="3324"/>
          </w:tcPr>
          <w:p>
            <w:r>
              <w:rPr>
                <w:sz w:val="18"/>
              </w:rPr>
              <w:t>Livraison validée</w:t>
            </w:r>
          </w:p>
        </w:tc>
      </w:tr>
      <w:tr>
        <w:tc>
          <w:tcPr>
            <w:tcW w:type="dxa" w:w="3324"/>
          </w:tcPr>
          <w:p>
            <w:r>
              <w:rPr>
                <w:sz w:val="18"/>
              </w:rPr>
              <w:t>Annulé</w:t>
            </w:r>
          </w:p>
        </w:tc>
        <w:tc>
          <w:tcPr>
            <w:tcW w:type="dxa" w:w="3324"/>
          </w:tcPr>
          <w:p>
            <w:r>
              <w:rPr>
                <w:sz w:val="18"/>
              </w:rPr>
              <w:t>Rouge</w:t>
            </w:r>
          </w:p>
        </w:tc>
        <w:tc>
          <w:tcPr>
            <w:tcW w:type="dxa" w:w="3324"/>
          </w:tcPr>
          <w:p>
            <w:r>
              <w:rPr>
                <w:sz w:val="18"/>
              </w:rPr>
              <w:t>Abandon (avec motif obligatoire)</w:t>
            </w:r>
          </w:p>
        </w:tc>
      </w:tr>
    </w:tbl>
    <w:p/>
    <w:p>
      <w:pPr>
        <w:pStyle w:val="Heading3"/>
      </w:pPr>
      <w:r>
        <w:rPr>
          <w:color w:val="3730A3"/>
          <w:sz w:val="24"/>
        </w:rPr>
        <w:t>15.4 Phases et jalons</w:t>
      </w:r>
    </w:p>
    <w:p>
      <w:r>
        <w:t>Chaque projet contient des phases :</w:t>
      </w:r>
    </w:p>
    <w:p>
      <w:pPr>
        <w:pStyle w:val="ListBullet"/>
      </w:pPr>
      <w:r>
        <w:rPr>
          <w:b/>
        </w:rPr>
        <w:t>Nom de la phase</w:t>
      </w:r>
    </w:p>
    <w:p>
      <w:pPr>
        <w:pStyle w:val="ListBullet"/>
      </w:pPr>
      <w:r>
        <w:rPr>
          <w:b/>
        </w:rPr>
        <w:t>Date de début + Date de fin</w:t>
      </w:r>
    </w:p>
    <w:p>
      <w:pPr>
        <w:pStyle w:val="ListBullet"/>
      </w:pPr>
      <w:r>
        <w:rPr>
          <w:b/>
        </w:rPr>
        <w:t>Responsable</w:t>
      </w:r>
    </w:p>
    <w:p>
      <w:pPr>
        <w:pStyle w:val="ListBullet"/>
      </w:pPr>
      <w:r>
        <w:rPr>
          <w:b/>
        </w:rPr>
        <w:t>Statut de phase</w:t>
      </w:r>
    </w:p>
    <w:p>
      <w:pPr>
        <w:pStyle w:val="ListBullet"/>
      </w:pPr>
      <w:r>
        <w:rPr>
          <w:b/>
        </w:rPr>
        <w:t>Pourcentage d'avancement</w:t>
      </w:r>
    </w:p>
    <w:p>
      <w:pPr>
        <w:pStyle w:val="ListBullet"/>
      </w:pPr>
      <w:r>
        <w:rPr>
          <w:b/>
        </w:rPr>
        <w:t>Dépendances</w:t>
      </w:r>
      <w:r>
        <w:t xml:space="preserve"> (autre phase à terminer avant)</w:t>
      </w:r>
    </w:p>
    <w:p>
      <w:r>
        <w:t>Le diagramme de Gantt visualise toutes les phases avec leurs dépendances.</w:t>
      </w:r>
    </w:p>
    <w:p>
      <w:pPr>
        <w:pStyle w:val="Heading3"/>
      </w:pPr>
      <w:r>
        <w:rPr>
          <w:color w:val="3730A3"/>
          <w:sz w:val="24"/>
        </w:rPr>
        <w:t>15.5 Modale AssetInventory</w:t>
      </w:r>
    </w:p>
    <w:p>
      <w:r>
        <w:t>Pour rattacher du stock matériel à un projet :</w:t>
      </w:r>
    </w:p>
    <w:p>
      <w:pPr>
        <w:pStyle w:val="ListBullet"/>
      </w:pPr>
      <w:r>
        <w:t>Sélection multiple d'actifs disponibles</w:t>
      </w:r>
    </w:p>
    <w:p>
      <w:pPr>
        <w:pStyle w:val="ListBullet"/>
      </w:pPr>
      <w:r>
        <w:t>Affectation au projet (réservation)</w:t>
      </w:r>
    </w:p>
    <w:p>
      <w:pPr>
        <w:pStyle w:val="ListBullet"/>
      </w:pPr>
      <w:r>
        <w:t>Sortie effective à la livraison</w:t>
      </w:r>
    </w:p>
    <w:p>
      <w:pPr>
        <w:pStyle w:val="ListBullet"/>
      </w:pPr>
      <w:r>
        <w:t>Mise à jour automatique du stock</w:t>
      </w:r>
    </w:p>
    <w:p>
      <w:pPr>
        <w:pStyle w:val="Heading3"/>
      </w:pPr>
      <w:r>
        <w:rPr>
          <w:color w:val="3730A3"/>
          <w:sz w:val="24"/>
        </w:rPr>
        <w:t>15.6 Compteur d'heures consommées</w:t>
      </w:r>
    </w:p>
    <w:p>
      <w:r>
        <w:t>Liaison avec le module Temps &amp; Activités :</w:t>
      </w:r>
    </w:p>
    <w:p>
      <w:pPr>
        <w:pStyle w:val="ListBullet"/>
      </w:pPr>
      <w:r>
        <w:t>Total des heures saisies sur ce projet</w:t>
      </w:r>
    </w:p>
    <w:p>
      <w:pPr>
        <w:pStyle w:val="ListBullet"/>
      </w:pPr>
      <w:r>
        <w:t>Répartition par technicien</w:t>
      </w:r>
    </w:p>
    <w:p>
      <w:pPr>
        <w:pStyle w:val="ListBullet"/>
      </w:pPr>
      <w:r>
        <w:t>Comparaison heures vendues vs heures consommées</w:t>
      </w:r>
    </w:p>
    <w:p>
      <w:pPr>
        <w:pStyle w:val="ListBullet"/>
      </w:pPr>
      <w:r>
        <w:t>Alerte si dépassement &gt; 110 %</w:t>
      </w:r>
    </w:p>
    <w:p>
      <w:pPr>
        <w:spacing w:before="80"/>
        <w:pBdr>
          <w:bottom w:val="single" w:sz="6" w:color="C0C7D2"/>
        </w:pBdr>
      </w:pPr>
    </w:p>
    <w:p>
      <w:pPr>
        <w:pStyle w:val="Heading2"/>
      </w:pPr>
      <w:r>
        <w:rPr>
          <w:color w:val="1F2942"/>
          <w:sz w:val="28"/>
        </w:rPr>
        <w:t>16. TEMPS ET ACTIVITÉS</w:t>
      </w:r>
    </w:p>
    <w:p>
      <w:pPr>
        <w:pStyle w:val="Heading3"/>
      </w:pPr>
      <w:r>
        <w:rPr>
          <w:color w:val="3730A3"/>
          <w:sz w:val="24"/>
        </w:rPr>
        <w:t>16.1 Saisie temps</w:t>
      </w:r>
    </w:p>
    <w:p>
      <w:r>
        <w:rPr>
          <w:b/>
        </w:rPr>
        <w:t>Route</w:t>
      </w:r>
      <w:r>
        <w:t xml:space="preserve"> : </w:t>
      </w:r>
      <w:r>
        <w:rPr>
          <w:rFonts w:ascii="Consolas" w:hAnsi="Consolas"/>
          <w:sz w:val="18"/>
        </w:rPr>
        <w:t>/temps-activites</w:t>
      </w:r>
    </w:p>
    <w:p>
      <w:r>
        <w:t>#### Vues</w:t>
      </w:r>
    </w:p>
    <w:p>
      <w:pPr>
        <w:pStyle w:val="ListBullet"/>
      </w:pPr>
      <w:r>
        <w:rPr>
          <w:b/>
        </w:rPr>
        <w:t>Jour</w:t>
      </w:r>
      <w:r>
        <w:t xml:space="preserve"> : grille horaire vue journée</w:t>
      </w:r>
    </w:p>
    <w:p>
      <w:pPr>
        <w:pStyle w:val="ListBullet"/>
      </w:pPr>
      <w:r>
        <w:rPr>
          <w:b/>
        </w:rPr>
        <w:t>Semaine</w:t>
      </w:r>
      <w:r>
        <w:t xml:space="preserve"> : 7 colonnes lundi → dimanche</w:t>
      </w:r>
    </w:p>
    <w:p>
      <w:pPr>
        <w:pStyle w:val="ListBullet"/>
      </w:pPr>
      <w:r>
        <w:rPr>
          <w:b/>
        </w:rPr>
        <w:t>Mois</w:t>
      </w:r>
      <w:r>
        <w:t xml:space="preserve"> : calendrier mensuel avec total par jour</w:t>
      </w:r>
    </w:p>
    <w:p>
      <w:r>
        <w:t>#### Catégories de temps</w:t>
      </w:r>
    </w:p>
    <w:p>
      <w:pPr>
        <w:pStyle w:val="ListBullet"/>
      </w:pPr>
      <w:r>
        <w:rPr>
          <w:b/>
        </w:rPr>
        <w:t>Production</w:t>
      </w:r>
      <w:r>
        <w:t xml:space="preserve"> : intervention client facturable</w:t>
      </w:r>
    </w:p>
    <w:p>
      <w:pPr>
        <w:pStyle w:val="ListBullet"/>
      </w:pPr>
      <w:r>
        <w:rPr>
          <w:b/>
        </w:rPr>
        <w:t>Avant-vente</w:t>
      </w:r>
      <w:r>
        <w:t xml:space="preserve"> : démo, étude, devis</w:t>
      </w:r>
    </w:p>
    <w:p>
      <w:pPr>
        <w:pStyle w:val="ListBullet"/>
      </w:pPr>
      <w:r>
        <w:rPr>
          <w:b/>
        </w:rPr>
        <w:t>Support</w:t>
      </w:r>
      <w:r>
        <w:t xml:space="preserve"> : hotline, tickets non facturables</w:t>
      </w:r>
    </w:p>
    <w:p>
      <w:pPr>
        <w:pStyle w:val="ListBullet"/>
      </w:pPr>
      <w:r>
        <w:rPr>
          <w:b/>
        </w:rPr>
        <w:t>Administratif</w:t>
      </w:r>
      <w:r>
        <w:t xml:space="preserve"> : tâches internes</w:t>
      </w:r>
    </w:p>
    <w:p>
      <w:pPr>
        <w:pStyle w:val="ListBullet"/>
      </w:pPr>
      <w:r>
        <w:rPr>
          <w:b/>
        </w:rPr>
        <w:t>Formation</w:t>
      </w:r>
      <w:r>
        <w:t xml:space="preserve"> : montée en compétences</w:t>
      </w:r>
    </w:p>
    <w:p>
      <w:pPr>
        <w:pStyle w:val="ListBullet"/>
      </w:pPr>
      <w:r>
        <w:rPr>
          <w:b/>
        </w:rPr>
        <w:t>Congés / Absences</w:t>
      </w:r>
    </w:p>
    <w:p>
      <w:pPr>
        <w:pStyle w:val="Heading3"/>
      </w:pPr>
      <w:r>
        <w:rPr>
          <w:color w:val="3730A3"/>
          <w:sz w:val="24"/>
        </w:rPr>
        <w:t>16.2 Rattachement à un projet / ticket</w:t>
      </w:r>
    </w:p>
    <w:p>
      <w:r>
        <w:t>Chaque entrée de temps peut être rattachée à :</w:t>
      </w:r>
    </w:p>
    <w:p>
      <w:pPr>
        <w:pStyle w:val="ListBullet"/>
      </w:pPr>
      <w:r>
        <w:rPr>
          <w:b/>
        </w:rPr>
        <w:t>Client</w:t>
      </w:r>
      <w:r>
        <w:t xml:space="preserve"> (obligatoire si production)</w:t>
      </w:r>
    </w:p>
    <w:p>
      <w:pPr>
        <w:pStyle w:val="ListBullet"/>
      </w:pPr>
      <w:r>
        <w:rPr>
          <w:b/>
        </w:rPr>
        <w:t>Projet</w:t>
      </w:r>
      <w:r>
        <w:t xml:space="preserve"> (optionnel)</w:t>
      </w:r>
    </w:p>
    <w:p>
      <w:pPr>
        <w:pStyle w:val="ListBullet"/>
      </w:pPr>
      <w:r>
        <w:rPr>
          <w:b/>
        </w:rPr>
        <w:t>Ticket</w:t>
      </w:r>
      <w:r>
        <w:t xml:space="preserve"> (optionnel)</w:t>
      </w:r>
    </w:p>
    <w:p>
      <w:pPr>
        <w:pStyle w:val="ListBullet"/>
      </w:pPr>
      <w:r>
        <w:rPr>
          <w:b/>
        </w:rPr>
        <w:t>Opportunité</w:t>
      </w:r>
      <w:r>
        <w:t xml:space="preserve"> (optionnel)</w:t>
      </w:r>
    </w:p>
    <w:p>
      <w:pPr>
        <w:pStyle w:val="Heading3"/>
      </w:pPr>
      <w:r>
        <w:rPr>
          <w:color w:val="3730A3"/>
          <w:sz w:val="24"/>
        </w:rPr>
        <w:t>16.3 Validation manager</w:t>
      </w:r>
    </w:p>
    <w:p>
      <w:r>
        <w:t>Workflow :</w:t>
      </w:r>
    </w:p>
    <w:p>
      <w:r>
        <w:t xml:space="preserve">1. Saisie collaborateur (statut </w:t>
      </w:r>
      <w:r>
        <w:rPr>
          <w:rFonts w:ascii="Consolas" w:hAnsi="Consolas"/>
          <w:sz w:val="18"/>
        </w:rPr>
        <w:t>draft</w:t>
      </w:r>
      <w:r>
        <w:t>)</w:t>
      </w:r>
    </w:p>
    <w:p>
      <w:r>
        <w:t xml:space="preserve">2. Soumission manager (statut </w:t>
      </w:r>
      <w:r>
        <w:rPr>
          <w:rFonts w:ascii="Consolas" w:hAnsi="Consolas"/>
          <w:sz w:val="18"/>
        </w:rPr>
        <w:t>submitted</w:t>
      </w:r>
      <w:r>
        <w:t>)</w:t>
      </w:r>
    </w:p>
    <w:p>
      <w:r>
        <w:t xml:space="preserve">3. Validation ou refus avec motif (statut </w:t>
      </w:r>
      <w:r>
        <w:rPr>
          <w:rFonts w:ascii="Consolas" w:hAnsi="Consolas"/>
          <w:sz w:val="18"/>
        </w:rPr>
        <w:t>validated</w:t>
      </w:r>
      <w:r>
        <w:t xml:space="preserve"> ou </w:t>
      </w:r>
      <w:r>
        <w:rPr>
          <w:rFonts w:ascii="Consolas" w:hAnsi="Consolas"/>
          <w:sz w:val="18"/>
        </w:rPr>
        <w:t>rejected</w:t>
      </w:r>
      <w:r>
        <w:t>)</w:t>
      </w:r>
    </w:p>
    <w:p>
      <w:r>
        <w:t xml:space="preserve">4. Export pour paie (statut </w:t>
      </w:r>
      <w:r>
        <w:rPr>
          <w:rFonts w:ascii="Consolas" w:hAnsi="Consolas"/>
          <w:sz w:val="18"/>
        </w:rPr>
        <w:t>paid</w:t>
      </w:r>
      <w:r>
        <w:t>)</w:t>
      </w:r>
    </w:p>
    <w:p>
      <w:pPr>
        <w:pStyle w:val="Heading3"/>
      </w:pPr>
      <w:r>
        <w:rPr>
          <w:color w:val="3730A3"/>
          <w:sz w:val="24"/>
        </w:rPr>
        <w:t>16.4 Exports</w:t>
      </w:r>
    </w:p>
    <w:p>
      <w:pPr>
        <w:pStyle w:val="ListBullet"/>
      </w:pPr>
      <w:r>
        <w:rPr>
          <w:b/>
        </w:rPr>
        <w:t>CSV</w:t>
      </w:r>
      <w:r>
        <w:t xml:space="preserve"> : compatible Sage, Cegid, etc.</w:t>
      </w:r>
    </w:p>
    <w:p>
      <w:pPr>
        <w:pStyle w:val="ListBullet"/>
      </w:pPr>
      <w:r>
        <w:rPr>
          <w:b/>
        </w:rPr>
        <w:t>PDF</w:t>
      </w:r>
      <w:r>
        <w:t xml:space="preserve"> : récap mensuel par collaborateur</w:t>
      </w:r>
    </w:p>
    <w:p>
      <w:pPr>
        <w:pStyle w:val="ListBullet"/>
      </w:pPr>
      <w:r>
        <w:rPr>
          <w:b/>
        </w:rPr>
        <w:t>XLSX</w:t>
      </w:r>
      <w:r>
        <w:t xml:space="preserve"> : tableau croisé dynamique</w:t>
      </w:r>
    </w:p>
    <w:p>
      <w:pPr>
        <w:spacing w:before="80"/>
        <w:pBdr>
          <w:bottom w:val="single" w:sz="6" w:color="C0C7D2"/>
        </w:pBdr>
      </w:pPr>
    </w:p>
    <w:p>
      <w:pPr>
        <w:pStyle w:val="Heading2"/>
      </w:pPr>
      <w:r>
        <w:rPr>
          <w:color w:val="1F2942"/>
          <w:sz w:val="28"/>
        </w:rPr>
        <w:t>17. STOCK ET CATALOGUE PRODUITS</w:t>
      </w:r>
    </w:p>
    <w:p>
      <w:pPr>
        <w:pStyle w:val="Heading3"/>
      </w:pPr>
      <w:r>
        <w:rPr>
          <w:color w:val="3730A3"/>
          <w:sz w:val="24"/>
        </w:rPr>
        <w:t>17.1 Inventaire des actifs</w:t>
      </w:r>
    </w:p>
    <w:p>
      <w:r>
        <w:rPr>
          <w:b/>
        </w:rPr>
        <w:t>Route</w:t>
      </w:r>
      <w:r>
        <w:t xml:space="preserve"> : </w:t>
      </w:r>
      <w:r>
        <w:rPr>
          <w:rFonts w:ascii="Consolas" w:hAnsi="Consolas"/>
          <w:sz w:val="18"/>
        </w:rPr>
        <w:t>/stock</w:t>
      </w:r>
    </w:p>
    <w:p>
      <w:r>
        <w:t>#### Catégories d'actifs</w:t>
      </w:r>
    </w:p>
    <w:p>
      <w:pPr>
        <w:pStyle w:val="ListBullet"/>
      </w:pPr>
      <w:r>
        <w:rPr>
          <w:b/>
        </w:rPr>
        <w:t>Matériel</w:t>
      </w:r>
      <w:r>
        <w:t xml:space="preserve"> : PC, serveurs, périphériques, réseau</w:t>
      </w:r>
    </w:p>
    <w:p>
      <w:pPr>
        <w:pStyle w:val="ListBullet"/>
      </w:pPr>
      <w:r>
        <w:rPr>
          <w:b/>
        </w:rPr>
        <w:t>Licences logicielles</w:t>
      </w:r>
      <w:r>
        <w:t xml:space="preserve"> : Microsoft 365, Adobe, antivirus</w:t>
      </w:r>
    </w:p>
    <w:p>
      <w:pPr>
        <w:pStyle w:val="ListBullet"/>
      </w:pPr>
      <w:r>
        <w:rPr>
          <w:b/>
        </w:rPr>
        <w:t>Consommables</w:t>
      </w:r>
      <w:r>
        <w:t xml:space="preserve"> : toners, cartouches</w:t>
      </w:r>
    </w:p>
    <w:p>
      <w:pPr>
        <w:pStyle w:val="ListBullet"/>
      </w:pPr>
      <w:r>
        <w:rPr>
          <w:b/>
        </w:rPr>
        <w:t>Outils</w:t>
      </w:r>
      <w:r>
        <w:t xml:space="preserve"> : équipement technicien</w:t>
      </w:r>
    </w:p>
    <w:p>
      <w:r>
        <w:t>#### Mouvements</w:t>
      </w:r>
    </w:p>
    <w:p>
      <w:pPr>
        <w:pStyle w:val="ListBullet"/>
      </w:pPr>
      <w:r>
        <w:rPr>
          <w:b/>
        </w:rPr>
        <w:t>Entrée</w:t>
      </w:r>
      <w:r>
        <w:t xml:space="preserve"> : réception fournisseur</w:t>
      </w:r>
    </w:p>
    <w:p>
      <w:pPr>
        <w:pStyle w:val="ListBullet"/>
      </w:pPr>
      <w:r>
        <w:rPr>
          <w:b/>
        </w:rPr>
        <w:t>Sortie</w:t>
      </w:r>
      <w:r>
        <w:t xml:space="preserve"> : livraison client / consommation interne</w:t>
      </w:r>
    </w:p>
    <w:p>
      <w:pPr>
        <w:pStyle w:val="ListBullet"/>
      </w:pPr>
      <w:r>
        <w:rPr>
          <w:b/>
        </w:rPr>
        <w:t>Transfert</w:t>
      </w:r>
      <w:r>
        <w:t xml:space="preserve"> : entre dépôts</w:t>
      </w:r>
    </w:p>
    <w:p>
      <w:pPr>
        <w:pStyle w:val="ListBullet"/>
      </w:pPr>
      <w:r>
        <w:rPr>
          <w:b/>
        </w:rPr>
        <w:t>Réservation</w:t>
      </w:r>
      <w:r>
        <w:t xml:space="preserve"> : pour un projet en cours</w:t>
      </w:r>
    </w:p>
    <w:p>
      <w:pPr>
        <w:pStyle w:val="ListBullet"/>
      </w:pPr>
      <w:r>
        <w:rPr>
          <w:b/>
        </w:rPr>
        <w:t>Retour</w:t>
      </w:r>
      <w:r>
        <w:t xml:space="preserve"> : matériel récupéré</w:t>
      </w:r>
    </w:p>
    <w:p>
      <w:pPr>
        <w:pStyle w:val="Heading3"/>
      </w:pPr>
      <w:r>
        <w:rPr>
          <w:color w:val="3730A3"/>
          <w:sz w:val="24"/>
        </w:rPr>
        <w:t>17.2 Liaison fournisseur</w:t>
      </w:r>
    </w:p>
    <w:p>
      <w:r>
        <w:t xml:space="preserve">Table </w:t>
      </w:r>
      <w:r>
        <w:rPr>
          <w:rFonts w:ascii="Consolas" w:hAnsi="Consolas"/>
          <w:sz w:val="18"/>
        </w:rPr>
        <w:t>suppliers</w:t>
      </w:r>
      <w:r>
        <w:t xml:space="preserve"> avec :</w:t>
      </w:r>
    </w:p>
    <w:p>
      <w:pPr>
        <w:pStyle w:val="ListBullet"/>
      </w:pPr>
      <w:r>
        <w:t>Raison sociale</w:t>
      </w:r>
    </w:p>
    <w:p>
      <w:pPr>
        <w:pStyle w:val="ListBullet"/>
      </w:pPr>
      <w:r>
        <w:t>Coordonnées (adresse, tél, email, site)</w:t>
      </w:r>
    </w:p>
    <w:p>
      <w:pPr>
        <w:pStyle w:val="ListBullet"/>
      </w:pPr>
      <w:r>
        <w:t>Conditions commerciales (délais paiement, remise)</w:t>
      </w:r>
    </w:p>
    <w:p>
      <w:pPr>
        <w:pStyle w:val="ListBullet"/>
      </w:pPr>
      <w:r>
        <w:t>Contact privilégié</w:t>
      </w:r>
    </w:p>
    <w:p>
      <w:r>
        <w:t>Combo dynamique sur les lignes catalogue pour associer un fournisseur à chaque article.</w:t>
      </w:r>
    </w:p>
    <w:p>
      <w:pPr>
        <w:pStyle w:val="Heading3"/>
      </w:pPr>
      <w:r>
        <w:rPr>
          <w:color w:val="3730A3"/>
          <w:sz w:val="24"/>
        </w:rPr>
        <w:t>17.3 Catalogue (95 articles)</w:t>
      </w:r>
    </w:p>
    <w:p>
      <w:r>
        <w:t>Comme détaillé en section 11.5 :</w:t>
      </w:r>
    </w:p>
    <w:p>
      <w:pPr>
        <w:pStyle w:val="ListBullet"/>
      </w:pPr>
      <w:r>
        <w:t>Familles uniformisées</w:t>
      </w:r>
    </w:p>
    <w:p>
      <w:pPr>
        <w:pStyle w:val="ListBullet"/>
      </w:pPr>
      <w:r>
        <w:t xml:space="preserve">Codes au format </w:t>
      </w:r>
      <w:r>
        <w:rPr>
          <w:rFonts w:ascii="Consolas" w:hAnsi="Consolas"/>
          <w:sz w:val="18"/>
        </w:rPr>
        <w:t>&lt;FAMILLE&gt;-&lt;MARQUE&gt;-&lt;MODÈLE&gt;</w:t>
      </w:r>
    </w:p>
    <w:p>
      <w:pPr>
        <w:pStyle w:val="ListBullet"/>
      </w:pPr>
      <w:r>
        <w:t>Désignations en sentence case</w:t>
      </w:r>
    </w:p>
    <w:p>
      <w:pPr>
        <w:pStyle w:val="ListBullet"/>
      </w:pPr>
      <w:r>
        <w:t>Référence fournisseur + prix d'achat indicatif (jamais imprimés)</w:t>
      </w:r>
    </w:p>
    <w:p>
      <w:pPr>
        <w:spacing w:before="80"/>
        <w:pBdr>
          <w:bottom w:val="single" w:sz="6" w:color="C0C7D2"/>
        </w:pBdr>
      </w:pPr>
    </w:p>
    <w:p>
      <w:pPr>
        <w:pStyle w:val="Heading2"/>
      </w:pPr>
      <w:r>
        <w:rPr>
          <w:color w:val="1F2942"/>
          <w:sz w:val="28"/>
        </w:rPr>
        <w:t>18. COMPTABILITÉ ET TRÉSORERIE</w:t>
      </w:r>
    </w:p>
    <w:p>
      <w:pPr>
        <w:pStyle w:val="Heading3"/>
      </w:pPr>
      <w:r>
        <w:rPr>
          <w:color w:val="3730A3"/>
          <w:sz w:val="24"/>
        </w:rPr>
        <w:t>18.1 Facturation</w:t>
      </w:r>
    </w:p>
    <w:p>
      <w:r>
        <w:rPr>
          <w:b/>
        </w:rPr>
        <w:t>Route</w:t>
      </w:r>
      <w:r>
        <w:t xml:space="preserve"> : </w:t>
      </w:r>
      <w:r>
        <w:rPr>
          <w:rFonts w:ascii="Consolas" w:hAnsi="Consolas"/>
          <w:sz w:val="18"/>
        </w:rPr>
        <w:t>/facturation</w:t>
      </w:r>
    </w:p>
    <w:p>
      <w:r>
        <w:t>#### Émission de factures</w:t>
      </w:r>
    </w:p>
    <w:p>
      <w:pPr>
        <w:pStyle w:val="ListBullet"/>
      </w:pPr>
      <w:r>
        <w:t>Génération automatique depuis BL livré</w:t>
      </w:r>
    </w:p>
    <w:p>
      <w:pPr>
        <w:pStyle w:val="ListBullet"/>
      </w:pPr>
      <w:r>
        <w:t>Édition manuelle possible (rare)</w:t>
      </w:r>
    </w:p>
    <w:p>
      <w:pPr>
        <w:pStyle w:val="ListBullet"/>
      </w:pPr>
      <w:r>
        <w:t>Numérotation continue FAC-YYYY-NNNN</w:t>
      </w:r>
    </w:p>
    <w:p>
      <w:pPr>
        <w:pStyle w:val="ListBullet"/>
      </w:pPr>
      <w:r>
        <w:t>Statuts : Brouillon, Émise, Envoyée, Payée, Annulée</w:t>
      </w:r>
    </w:p>
    <w:p>
      <w:r>
        <w:t>#### Mention obligatoires (auto-ajoutées)</w:t>
      </w:r>
    </w:p>
    <w:p>
      <w:pPr>
        <w:pStyle w:val="ListBullet"/>
      </w:pPr>
      <w:r>
        <w:t>N° SIREN + APE + TVA intracom</w:t>
      </w:r>
    </w:p>
    <w:p>
      <w:pPr>
        <w:pStyle w:val="ListBullet"/>
      </w:pPr>
      <w:r>
        <w:t>Mention « TVA non applicable, article 293 B du CGI » si applicable</w:t>
      </w:r>
    </w:p>
    <w:p>
      <w:pPr>
        <w:pStyle w:val="ListBullet"/>
      </w:pPr>
      <w:r>
        <w:t>Mention « Pénalité de retard égale à 3 fois le taux d'intérêt légal en cas de retard de paiement »</w:t>
      </w:r>
    </w:p>
    <w:p>
      <w:pPr>
        <w:pStyle w:val="ListBullet"/>
      </w:pPr>
      <w:r>
        <w:t>Indemnité forfaitaire de 40 € pour frais de recouvrement</w:t>
      </w:r>
    </w:p>
    <w:p>
      <w:pPr>
        <w:pStyle w:val="Heading3"/>
      </w:pPr>
      <w:r>
        <w:rPr>
          <w:color w:val="3730A3"/>
          <w:sz w:val="24"/>
        </w:rPr>
        <w:t>18.2 Comptabilité</w:t>
      </w:r>
    </w:p>
    <w:p>
      <w:r>
        <w:rPr>
          <w:b/>
        </w:rPr>
        <w:t>Route</w:t>
      </w:r>
      <w:r>
        <w:t xml:space="preserve"> : </w:t>
      </w:r>
      <w:r>
        <w:rPr>
          <w:rFonts w:ascii="Consolas" w:hAnsi="Consolas"/>
          <w:sz w:val="18"/>
        </w:rPr>
        <w:t>/comptabilite</w:t>
      </w:r>
    </w:p>
    <w:p>
      <w:r>
        <w:t>#### Export FEC (Fichier des Écritures Comptables)</w:t>
      </w:r>
    </w:p>
    <w:p>
      <w:r>
        <w:t>Format normalisé (LF n°2013-1117) conforme aux exigences DGFIP :</w:t>
      </w:r>
    </w:p>
    <w:p>
      <w:pPr>
        <w:pStyle w:val="ListBullet"/>
      </w:pPr>
      <w:r>
        <w:t xml:space="preserve">1 ligne par écriture, séparateur pipe </w:t>
      </w:r>
      <w:r>
        <w:rPr>
          <w:rFonts w:ascii="Consolas" w:hAnsi="Consolas"/>
          <w:sz w:val="18"/>
        </w:rPr>
        <w:t>|</w:t>
      </w:r>
    </w:p>
    <w:p>
      <w:pPr>
        <w:pStyle w:val="ListBullet"/>
      </w:pPr>
      <w:r>
        <w:t>Champs : Code journal, Date écriture, Libellé, etc.</w:t>
      </w:r>
    </w:p>
    <w:p>
      <w:pPr>
        <w:pStyle w:val="ListBullet"/>
      </w:pPr>
      <w:r>
        <w:t>Période sélectionnable (exercice complet ou trimestre)</w:t>
      </w:r>
    </w:p>
    <w:p>
      <w:pPr>
        <w:pStyle w:val="ListBullet"/>
      </w:pPr>
      <w:r>
        <w:t>Export téléchargeable .txt</w:t>
      </w:r>
    </w:p>
    <w:p>
      <w:r>
        <w:t>#### Rapprochement bancaire</w:t>
      </w:r>
    </w:p>
    <w:p>
      <w:pPr>
        <w:pStyle w:val="ListBullet"/>
      </w:pPr>
      <w:r>
        <w:t>Import OFX / CSV bancaire</w:t>
      </w:r>
    </w:p>
    <w:p>
      <w:pPr>
        <w:pStyle w:val="ListBullet"/>
      </w:pPr>
      <w:r>
        <w:t>Matching automatique factures ↔ encaissements</w:t>
      </w:r>
    </w:p>
    <w:p>
      <w:pPr>
        <w:pStyle w:val="ListBullet"/>
      </w:pPr>
      <w:r>
        <w:t>Validation manuelle des cas litigieux</w:t>
      </w:r>
    </w:p>
    <w:p>
      <w:pPr>
        <w:pStyle w:val="Heading3"/>
      </w:pPr>
      <w:r>
        <w:rPr>
          <w:color w:val="3730A3"/>
          <w:sz w:val="24"/>
        </w:rPr>
        <w:t>18.3 Trésorerie</w:t>
      </w:r>
    </w:p>
    <w:p>
      <w:r>
        <w:rPr>
          <w:b/>
        </w:rPr>
        <w:t>Route</w:t>
      </w:r>
      <w:r>
        <w:t xml:space="preserve"> : </w:t>
      </w:r>
      <w:r>
        <w:rPr>
          <w:rFonts w:ascii="Consolas" w:hAnsi="Consolas"/>
          <w:sz w:val="18"/>
        </w:rPr>
        <w:t>/tresorerie</w:t>
      </w:r>
    </w:p>
    <w:p>
      <w:r>
        <w:t>#### Tableau de bord ARC (Avenir Recouvrement Clients)</w:t>
      </w:r>
    </w:p>
    <w:p>
      <w:pPr>
        <w:pStyle w:val="ListBullet"/>
      </w:pPr>
      <w:r>
        <w:rPr>
          <w:b/>
        </w:rPr>
        <w:t>Encours total</w:t>
      </w:r>
      <w:r>
        <w:t xml:space="preserve"> : somme des factures non payées</w:t>
      </w:r>
    </w:p>
    <w:p>
      <w:pPr>
        <w:pStyle w:val="ListBullet"/>
      </w:pPr>
      <w:r>
        <w:rPr>
          <w:b/>
        </w:rPr>
        <w:t>Échu</w:t>
      </w:r>
      <w:r>
        <w:t xml:space="preserve"> : factures dépassant la date d'échéance</w:t>
      </w:r>
    </w:p>
    <w:p>
      <w:pPr>
        <w:pStyle w:val="ListBullet"/>
      </w:pPr>
      <w:r>
        <w:rPr>
          <w:b/>
        </w:rPr>
        <w:t>À échoir</w:t>
      </w:r>
      <w:r>
        <w:t xml:space="preserve"> : factures à venir</w:t>
      </w:r>
    </w:p>
    <w:p>
      <w:pPr>
        <w:pStyle w:val="ListBullet"/>
      </w:pPr>
      <w:r>
        <w:rPr>
          <w:b/>
        </w:rPr>
        <w:t>Vieillesse</w:t>
      </w:r>
      <w:r>
        <w:t xml:space="preserve"> : répartition par âge (0–30 j, 30–60 j, 60–90 j, &gt; 90 j)</w:t>
      </w:r>
    </w:p>
    <w:p>
      <w:r>
        <w:t>#### Relances automatiques</w:t>
      </w:r>
    </w:p>
    <w:p>
      <w:pPr>
        <w:pStyle w:val="ListBullet"/>
      </w:pPr>
      <w:r>
        <w:rPr>
          <w:b/>
        </w:rPr>
        <w:t>J+15</w:t>
      </w:r>
      <w:r>
        <w:t xml:space="preserve"> : relance amiable email</w:t>
      </w:r>
    </w:p>
    <w:p>
      <w:pPr>
        <w:pStyle w:val="ListBullet"/>
      </w:pPr>
      <w:r>
        <w:rPr>
          <w:b/>
        </w:rPr>
        <w:t>J+30</w:t>
      </w:r>
      <w:r>
        <w:t xml:space="preserve"> : relance ferme email + appel</w:t>
      </w:r>
    </w:p>
    <w:p>
      <w:pPr>
        <w:pStyle w:val="ListBullet"/>
      </w:pPr>
      <w:r>
        <w:rPr>
          <w:b/>
        </w:rPr>
        <w:t>J+45 fdm</w:t>
      </w:r>
      <w:r>
        <w:t xml:space="preserve"> : mise en demeure recommandée</w:t>
      </w:r>
    </w:p>
    <w:p>
      <w:pPr>
        <w:pStyle w:val="ListBullet"/>
      </w:pPr>
      <w:r>
        <w:rPr>
          <w:b/>
        </w:rPr>
        <w:t>J+60</w:t>
      </w:r>
      <w:r>
        <w:t xml:space="preserve"> : dossier contentieux (huissier ou ARC pro)</w:t>
      </w:r>
    </w:p>
    <w:p>
      <w:r>
        <w:t>#### Graphes</w:t>
      </w:r>
    </w:p>
    <w:p>
      <w:pPr>
        <w:pStyle w:val="ListBullet"/>
      </w:pPr>
      <w:r>
        <w:t>CA mensuel sur 12 mois glissants</w:t>
      </w:r>
    </w:p>
    <w:p>
      <w:pPr>
        <w:pStyle w:val="ListBullet"/>
      </w:pPr>
      <w:r>
        <w:t>Marge brute par client</w:t>
      </w:r>
    </w:p>
    <w:p>
      <w:pPr>
        <w:pStyle w:val="ListBullet"/>
      </w:pPr>
      <w:r>
        <w:t>Créances par âge (waterfall)</w:t>
      </w:r>
    </w:p>
    <w:p>
      <w:pPr>
        <w:pStyle w:val="ListBullet"/>
      </w:pPr>
      <w:r>
        <w:t>Trésorerie prévisionnelle (3 mois)</w:t>
      </w:r>
    </w:p>
    <w:p>
      <w:pPr>
        <w:spacing w:before="80"/>
        <w:pBdr>
          <w:bottom w:val="single" w:sz="6" w:color="C0C7D2"/>
        </w:pBdr>
      </w:pPr>
    </w:p>
    <w:p>
      <w:pPr>
        <w:pStyle w:val="Heading2"/>
      </w:pPr>
      <w:r>
        <w:rPr>
          <w:color w:val="1F2942"/>
          <w:sz w:val="28"/>
        </w:rPr>
        <w:t>19. MARKETING ET INTELLIGENCE CONCURRENTIELLE</w:t>
      </w:r>
    </w:p>
    <w:p>
      <w:pPr>
        <w:pStyle w:val="Heading3"/>
      </w:pPr>
      <w:r>
        <w:rPr>
          <w:color w:val="3730A3"/>
          <w:sz w:val="24"/>
        </w:rPr>
        <w:t>19.1 Marketing</w:t>
      </w:r>
    </w:p>
    <w:p>
      <w:r>
        <w:rPr>
          <w:b/>
        </w:rPr>
        <w:t>Route</w:t>
      </w:r>
      <w:r>
        <w:t xml:space="preserve"> : </w:t>
      </w:r>
      <w:r>
        <w:rPr>
          <w:rFonts w:ascii="Consolas" w:hAnsi="Consolas"/>
          <w:sz w:val="18"/>
        </w:rPr>
        <w:t>/marketing</w:t>
      </w:r>
    </w:p>
    <w:p>
      <w:r>
        <w:t>#### Campagnes</w:t>
      </w:r>
    </w:p>
    <w:p>
      <w:pPr>
        <w:pStyle w:val="ListBullet"/>
      </w:pPr>
      <w:r>
        <w:rPr>
          <w:b/>
        </w:rPr>
        <w:t>Email</w:t>
      </w:r>
      <w:r>
        <w:t xml:space="preserve"> : newsletters, prospection ciblée</w:t>
      </w:r>
    </w:p>
    <w:p>
      <w:pPr>
        <w:pStyle w:val="ListBullet"/>
      </w:pPr>
      <w:r>
        <w:rPr>
          <w:b/>
        </w:rPr>
        <w:t>Événements</w:t>
      </w:r>
      <w:r>
        <w:t xml:space="preserve"> : participation salons, webinars, ateliers</w:t>
      </w:r>
    </w:p>
    <w:p>
      <w:pPr>
        <w:pStyle w:val="ListBullet"/>
      </w:pPr>
      <w:r>
        <w:rPr>
          <w:b/>
        </w:rPr>
        <w:t>Contenu</w:t>
      </w:r>
      <w:r>
        <w:t xml:space="preserve"> : articles de blog, livres blancs, études de cas</w:t>
      </w:r>
    </w:p>
    <w:p>
      <w:r>
        <w:t>#### Tracking des leads</w:t>
      </w:r>
    </w:p>
    <w:p>
      <w:pPr>
        <w:pStyle w:val="ListBullet"/>
      </w:pPr>
      <w:r>
        <w:t>Source de chaque prospect (campagne, événement, recommandation, organique)</w:t>
      </w:r>
    </w:p>
    <w:p>
      <w:pPr>
        <w:pStyle w:val="ListBullet"/>
      </w:pPr>
      <w:r>
        <w:t>Coût d'acquisition par canal</w:t>
      </w:r>
    </w:p>
    <w:p>
      <w:pPr>
        <w:pStyle w:val="ListBullet"/>
      </w:pPr>
      <w:r>
        <w:t>Taux de transformation par source</w:t>
      </w:r>
    </w:p>
    <w:p>
      <w:r>
        <w:t>#### Brouillons IA</w:t>
      </w:r>
    </w:p>
    <w:p>
      <w:r>
        <w:t>Génération automatique d'emails d'introduction personnalisés par contact :</w:t>
      </w:r>
    </w:p>
    <w:p>
      <w:pPr>
        <w:pStyle w:val="ListBullet"/>
      </w:pPr>
      <w:r>
        <w:t>Nom + fonction du contact intégrés</w:t>
      </w:r>
    </w:p>
    <w:p>
      <w:pPr>
        <w:pStyle w:val="ListBullet"/>
      </w:pPr>
      <w:r>
        <w:t>Référence au besoin exprimé</w:t>
      </w:r>
    </w:p>
    <w:p>
      <w:pPr>
        <w:pStyle w:val="ListBullet"/>
      </w:pPr>
      <w:r>
        <w:t>Ton adapté au tier (A = haut de gamme, B = standard, C = direct)</w:t>
      </w:r>
    </w:p>
    <w:p>
      <w:pPr>
        <w:pStyle w:val="ListBullet"/>
      </w:pPr>
      <w:r>
        <w:t>Plaquette PDF Astorya en pièce jointe (téléchargement automatique avant ouverture OWA)</w:t>
      </w:r>
    </w:p>
    <w:p>
      <w:pPr>
        <w:pStyle w:val="Heading3"/>
      </w:pPr>
      <w:r>
        <w:rPr>
          <w:color w:val="3730A3"/>
          <w:sz w:val="24"/>
        </w:rPr>
        <w:t>19.2 Intelligence concurrentielle</w:t>
      </w:r>
    </w:p>
    <w:p>
      <w:r>
        <w:rPr>
          <w:b/>
        </w:rPr>
        <w:t>Route</w:t>
      </w:r>
      <w:r>
        <w:t xml:space="preserve"> : </w:t>
      </w:r>
      <w:r>
        <w:rPr>
          <w:rFonts w:ascii="Consolas" w:hAnsi="Consolas"/>
          <w:sz w:val="18"/>
        </w:rPr>
        <w:t>/intelligence-concurrentielle</w:t>
      </w:r>
    </w:p>
    <w:p>
      <w:r>
        <w:t>#### Battle cards</w:t>
      </w:r>
    </w:p>
    <w:p>
      <w:r>
        <w:t>Une fiche par concurrent identifié (Salesforce, Pega, Sage, etc.) :</w:t>
      </w:r>
    </w:p>
    <w:p>
      <w:pPr>
        <w:pStyle w:val="ListBullet"/>
      </w:pPr>
      <w:r>
        <w:rPr>
          <w:b/>
        </w:rPr>
        <w:t>Forces</w:t>
      </w:r>
      <w:r>
        <w:t xml:space="preserve"> : ce qu'il fait bien</w:t>
      </w:r>
    </w:p>
    <w:p>
      <w:pPr>
        <w:pStyle w:val="ListBullet"/>
      </w:pPr>
      <w:r>
        <w:rPr>
          <w:b/>
        </w:rPr>
        <w:t>Faiblesses</w:t>
      </w:r>
      <w:r>
        <w:t xml:space="preserve"> : où il pèche</w:t>
      </w:r>
    </w:p>
    <w:p>
      <w:pPr>
        <w:pStyle w:val="ListBullet"/>
      </w:pPr>
      <w:r>
        <w:rPr>
          <w:b/>
        </w:rPr>
        <w:t>Pricing comparé</w:t>
      </w:r>
      <w:r>
        <w:t xml:space="preserve"> : grille tarifaire et écarts</w:t>
      </w:r>
    </w:p>
    <w:p>
      <w:pPr>
        <w:pStyle w:val="ListBullet"/>
      </w:pPr>
      <w:r>
        <w:rPr>
          <w:b/>
        </w:rPr>
        <w:t>Cas clients gagnés contre</w:t>
      </w:r>
      <w:r>
        <w:t xml:space="preserve"> ce concurrent</w:t>
      </w:r>
    </w:p>
    <w:p>
      <w:pPr>
        <w:pStyle w:val="ListBullet"/>
      </w:pPr>
      <w:r>
        <w:rPr>
          <w:b/>
        </w:rPr>
        <w:t>Discours commercial</w:t>
      </w:r>
      <w:r>
        <w:t xml:space="preserve"> : arguments à utiliser</w:t>
      </w:r>
    </w:p>
    <w:p>
      <w:pPr>
        <w:pStyle w:val="ListBullet"/>
      </w:pPr>
      <w:r>
        <w:rPr>
          <w:b/>
        </w:rPr>
        <w:t>Veille produit</w:t>
      </w:r>
      <w:r>
        <w:t xml:space="preserve"> : nouveautés à surveiller</w:t>
      </w:r>
    </w:p>
    <w:p>
      <w:pPr>
        <w:pStyle w:val="Heading3"/>
      </w:pPr>
      <w:r>
        <w:rPr>
          <w:color w:val="3730A3"/>
          <w:sz w:val="24"/>
        </w:rPr>
        <w:t>19.3 Fins de contrats concurrents</w:t>
      </w:r>
    </w:p>
    <w:p>
      <w:r>
        <w:rPr>
          <w:b/>
        </w:rPr>
        <w:t>Route</w:t>
      </w:r>
      <w:r>
        <w:t xml:space="preserve"> : </w:t>
      </w:r>
      <w:r>
        <w:rPr>
          <w:rFonts w:ascii="Consolas" w:hAnsi="Consolas"/>
          <w:sz w:val="18"/>
        </w:rPr>
        <w:t>/fins-contrats-concurrents</w:t>
      </w:r>
    </w:p>
    <w:p>
      <w:r>
        <w:t xml:space="preserve">Vue dédiée des opportunités avec le champ </w:t>
      </w:r>
      <w:r>
        <w:rPr>
          <w:rFonts w:ascii="Consolas" w:hAnsi="Consolas"/>
          <w:sz w:val="18"/>
        </w:rPr>
        <w:t>contract_end</w:t>
      </w:r>
      <w:r>
        <w:t xml:space="preserve"> (échéance contrat actuel chez le concurrent) renseigné :</w:t>
      </w:r>
    </w:p>
    <w:p>
      <w:pPr>
        <w:pStyle w:val="ListBullet"/>
      </w:pPr>
      <w:r>
        <w:t>Tri par urgence (échéance la plus proche en premier)</w:t>
      </w:r>
    </w:p>
    <w:p>
      <w:pPr>
        <w:pStyle w:val="ListBullet"/>
      </w:pPr>
      <w:r>
        <w:t>Filtre par concurrent</w:t>
      </w:r>
    </w:p>
    <w:p>
      <w:pPr>
        <w:pStyle w:val="ListBullet"/>
      </w:pPr>
      <w:r>
        <w:t>Action recommandée : relance 90 jours avant fin</w:t>
      </w:r>
    </w:p>
    <w:p>
      <w:pPr>
        <w:pStyle w:val="ListBullet"/>
      </w:pPr>
      <w:r>
        <w:t xml:space="preserve">Bouton </w:t>
      </w:r>
      <w:r>
        <w:rPr>
          <w:b/>
        </w:rPr>
        <w:t>+ Créer relance</w:t>
      </w:r>
      <w:r>
        <w:t xml:space="preserve"> → génère une action automatique</w:t>
      </w:r>
    </w:p>
    <w:p>
      <w:pPr>
        <w:spacing w:before="80"/>
        <w:pBdr>
          <w:bottom w:val="single" w:sz="6" w:color="C0C7D2"/>
        </w:pBdr>
      </w:pPr>
    </w:p>
    <w:p>
      <w:pPr>
        <w:pStyle w:val="Heading2"/>
      </w:pPr>
      <w:r>
        <w:rPr>
          <w:color w:val="1F2942"/>
          <w:sz w:val="28"/>
        </w:rPr>
        <w:t>20. RESSOURCES HUMAINES</w:t>
      </w:r>
    </w:p>
    <w:p>
      <w:pPr>
        <w:pStyle w:val="Heading3"/>
      </w:pPr>
      <w:r>
        <w:rPr>
          <w:color w:val="3730A3"/>
          <w:sz w:val="24"/>
        </w:rPr>
        <w:t>20.1 Annuaire collaborateurs</w:t>
      </w:r>
    </w:p>
    <w:p>
      <w:r>
        <w:rPr>
          <w:b/>
        </w:rPr>
        <w:t>Route</w:t>
      </w:r>
      <w:r>
        <w:t xml:space="preserve"> : </w:t>
      </w:r>
      <w:r>
        <w:rPr>
          <w:rFonts w:ascii="Consolas" w:hAnsi="Consolas"/>
          <w:sz w:val="18"/>
        </w:rPr>
        <w:t>/ressources-humaines</w:t>
      </w:r>
    </w:p>
    <w:p>
      <w:pPr>
        <w:pStyle w:val="ListBullet"/>
      </w:pPr>
      <w:r>
        <w:t>Fiche par collaborateur :</w:t>
      </w:r>
    </w:p>
    <w:p>
      <w:pPr>
        <w:pStyle w:val="ListBullet"/>
      </w:pPr>
      <w:r>
        <w:t>Photo, nom, prénom, fonction</w:t>
      </w:r>
    </w:p>
    <w:p>
      <w:pPr>
        <w:pStyle w:val="ListBullet"/>
      </w:pPr>
      <w:r>
        <w:t>Date d'entrée, ancienneté</w:t>
      </w:r>
    </w:p>
    <w:p>
      <w:pPr>
        <w:pStyle w:val="ListBullet"/>
      </w:pPr>
      <w:r>
        <w:t>Manager hiérarchique</w:t>
      </w:r>
    </w:p>
    <w:p>
      <w:pPr>
        <w:pStyle w:val="ListBullet"/>
      </w:pPr>
      <w:r>
        <w:t>Équipe / Service</w:t>
      </w:r>
    </w:p>
    <w:p>
      <w:pPr>
        <w:pStyle w:val="ListBullet"/>
      </w:pPr>
      <w:r>
        <w:t>Coordonnées professionnelles</w:t>
      </w:r>
    </w:p>
    <w:p>
      <w:pPr>
        <w:pStyle w:val="ListBullet"/>
      </w:pPr>
      <w:r>
        <w:t>Coordonnées personnelles (confidentielles)</w:t>
      </w:r>
    </w:p>
    <w:p>
      <w:pPr>
        <w:pStyle w:val="Heading3"/>
      </w:pPr>
      <w:r>
        <w:rPr>
          <w:color w:val="3730A3"/>
          <w:sz w:val="24"/>
        </w:rPr>
        <w:t>20.2 Onboarding / Offboarding</w:t>
      </w:r>
    </w:p>
    <w:p>
      <w:r>
        <w:t>#### Onboarding (arrivée)</w:t>
      </w:r>
    </w:p>
    <w:p>
      <w:r>
        <w:t>Checklist :</w:t>
      </w:r>
    </w:p>
    <w:p>
      <w:pPr>
        <w:pStyle w:val="ListBullet"/>
      </w:pPr>
      <w:r>
        <w:t>[ ] Création compte Hub Astorya</w:t>
      </w:r>
    </w:p>
    <w:p>
      <w:pPr>
        <w:pStyle w:val="ListBullet"/>
      </w:pPr>
      <w:r>
        <w:t>[ ] Attribution rôle</w:t>
      </w:r>
    </w:p>
    <w:p>
      <w:pPr>
        <w:pStyle w:val="ListBullet"/>
      </w:pPr>
      <w:r>
        <w:t>[ ] Configuration poste de travail</w:t>
      </w:r>
    </w:p>
    <w:p>
      <w:pPr>
        <w:pStyle w:val="ListBullet"/>
      </w:pPr>
      <w:r>
        <w:t>[ ] Création compte 3CX</w:t>
      </w:r>
    </w:p>
    <w:p>
      <w:pPr>
        <w:pStyle w:val="ListBullet"/>
      </w:pPr>
      <w:r>
        <w:t>[ ] Création boîte mail @astorya.fr</w:t>
      </w:r>
    </w:p>
    <w:p>
      <w:pPr>
        <w:pStyle w:val="ListBullet"/>
      </w:pPr>
      <w:r>
        <w:t>[ ] Formation au Hub (1 session)</w:t>
      </w:r>
    </w:p>
    <w:p>
      <w:pPr>
        <w:pStyle w:val="ListBullet"/>
      </w:pPr>
      <w:r>
        <w:t>[ ] Présentation équipe</w:t>
      </w:r>
    </w:p>
    <w:p>
      <w:pPr>
        <w:pStyle w:val="ListBullet"/>
      </w:pPr>
      <w:r>
        <w:t>[ ] Document de bienvenue remis</w:t>
      </w:r>
    </w:p>
    <w:p>
      <w:r>
        <w:t>#### Offboarding (départ)</w:t>
      </w:r>
    </w:p>
    <w:p>
      <w:r>
        <w:t>Checklist inverse :</w:t>
      </w:r>
    </w:p>
    <w:p>
      <w:pPr>
        <w:pStyle w:val="ListBullet"/>
      </w:pPr>
      <w:r>
        <w:t>[ ] Désactivation compte Hub</w:t>
      </w:r>
    </w:p>
    <w:p>
      <w:pPr>
        <w:pStyle w:val="ListBullet"/>
      </w:pPr>
      <w:r>
        <w:t>[ ] Récupération matériel</w:t>
      </w:r>
    </w:p>
    <w:p>
      <w:pPr>
        <w:pStyle w:val="ListBullet"/>
      </w:pPr>
      <w:r>
        <w:t>[ ] Désactivation 3CX</w:t>
      </w:r>
    </w:p>
    <w:p>
      <w:pPr>
        <w:pStyle w:val="ListBullet"/>
      </w:pPr>
      <w:r>
        <w:t>[ ] Transfert boîte mail au manager</w:t>
      </w:r>
    </w:p>
    <w:p>
      <w:pPr>
        <w:pStyle w:val="ListBullet"/>
      </w:pPr>
      <w:r>
        <w:t>[ ] Entretien de sortie</w:t>
      </w:r>
    </w:p>
    <w:p>
      <w:pPr>
        <w:pStyle w:val="Heading3"/>
      </w:pPr>
      <w:r>
        <w:rPr>
          <w:color w:val="3730A3"/>
          <w:sz w:val="24"/>
        </w:rPr>
        <w:t>20.3 Compétences et certifications</w:t>
      </w:r>
    </w:p>
    <w:p>
      <w:pPr>
        <w:pStyle w:val="ListBullet"/>
      </w:pPr>
      <w:r>
        <w:t>Liste des compétences techniques (Microsoft, Cisco, AWS, etc.)</w:t>
      </w:r>
    </w:p>
    <w:p>
      <w:pPr>
        <w:pStyle w:val="ListBullet"/>
      </w:pPr>
      <w:r>
        <w:t>Date d'obtention + Date d'expiration des certifications</w:t>
      </w:r>
    </w:p>
    <w:p>
      <w:pPr>
        <w:pStyle w:val="ListBullet"/>
      </w:pPr>
      <w:r>
        <w:t>Alerte 90 jours avant expiration</w:t>
      </w:r>
    </w:p>
    <w:p>
      <w:pPr>
        <w:pStyle w:val="ListBullet"/>
      </w:pPr>
      <w:r>
        <w:t>Plan de formation annuel</w:t>
      </w:r>
    </w:p>
    <w:p>
      <w:pPr>
        <w:pStyle w:val="Heading3"/>
      </w:pPr>
      <w:r>
        <w:rPr>
          <w:color w:val="3730A3"/>
          <w:sz w:val="24"/>
        </w:rPr>
        <w:t>20.4 Équipe commerciale</w:t>
      </w:r>
    </w:p>
    <w:p>
      <w:r>
        <w:rPr>
          <w:b/>
        </w:rPr>
        <w:t>Route</w:t>
      </w:r>
      <w:r>
        <w:t xml:space="preserve"> : </w:t>
      </w:r>
      <w:r>
        <w:rPr>
          <w:rFonts w:ascii="Consolas" w:hAnsi="Consolas"/>
          <w:sz w:val="18"/>
        </w:rPr>
        <w:t>/equipe-commerciale</w:t>
      </w:r>
    </w:p>
    <w:p>
      <w:r>
        <w:t>Vue dédiée des commerciaux avec leurs KPI individuels :</w:t>
      </w:r>
    </w:p>
    <w:p>
      <w:pPr>
        <w:pStyle w:val="ListBullet"/>
      </w:pPr>
      <w:r>
        <w:rPr>
          <w:b/>
        </w:rPr>
        <w:t>CA généré</w:t>
      </w:r>
      <w:r>
        <w:t xml:space="preserve"> sur la période</w:t>
      </w:r>
    </w:p>
    <w:p>
      <w:pPr>
        <w:pStyle w:val="ListBullet"/>
      </w:pPr>
      <w:r>
        <w:rPr>
          <w:b/>
        </w:rPr>
        <w:t>Taux de transformation</w:t>
      </w:r>
      <w:r>
        <w:t xml:space="preserve"> opportunités → clients</w:t>
      </w:r>
    </w:p>
    <w:p>
      <w:pPr>
        <w:pStyle w:val="ListBullet"/>
      </w:pPr>
      <w:r>
        <w:rPr>
          <w:b/>
        </w:rPr>
        <w:t>Panier moyen</w:t>
      </w:r>
      <w:r>
        <w:t xml:space="preserve"> des deals signés</w:t>
      </w:r>
    </w:p>
    <w:p>
      <w:pPr>
        <w:pStyle w:val="ListBullet"/>
      </w:pPr>
      <w:r>
        <w:rPr>
          <w:b/>
        </w:rPr>
        <w:t>Opportunités en cours</w:t>
      </w:r>
      <w:r>
        <w:t xml:space="preserve"> + montant pondéré</w:t>
      </w:r>
    </w:p>
    <w:p>
      <w:pPr>
        <w:pStyle w:val="ListBullet"/>
      </w:pPr>
      <w:r>
        <w:rPr>
          <w:b/>
        </w:rPr>
        <w:t>Activité</w:t>
      </w:r>
      <w:r>
        <w:t xml:space="preserve"> : appels passés, RDV réalisés, devis émis</w:t>
      </w:r>
    </w:p>
    <w:p>
      <w:pPr>
        <w:pStyle w:val="ListBullet"/>
      </w:pPr>
      <w:r>
        <w:rPr>
          <w:b/>
        </w:rPr>
        <w:t>Classement</w:t>
      </w:r>
      <w:r>
        <w:t xml:space="preserve"> mensuel et annuel</w:t>
      </w:r>
    </w:p>
    <w:p>
      <w:pPr>
        <w:spacing w:before="80"/>
        <w:pBdr>
          <w:bottom w:val="single" w:sz="6" w:color="C0C7D2"/>
        </w:pBdr>
      </w:pPr>
    </w:p>
    <w:p>
      <w:pPr>
        <w:pStyle w:val="Heading2"/>
      </w:pPr>
      <w:r>
        <w:rPr>
          <w:color w:val="1F2942"/>
          <w:sz w:val="28"/>
        </w:rPr>
        <w:t>21. REPORTING ET TABLEAUX DE BORD</w:t>
      </w:r>
    </w:p>
    <w:p>
      <w:pPr>
        <w:pStyle w:val="Heading3"/>
      </w:pPr>
      <w:r>
        <w:rPr>
          <w:color w:val="3730A3"/>
          <w:sz w:val="24"/>
        </w:rPr>
        <w:t>21.1 Rapports</w:t>
      </w:r>
    </w:p>
    <w:p>
      <w:r>
        <w:rPr>
          <w:b/>
        </w:rPr>
        <w:t>Route</w:t>
      </w:r>
      <w:r>
        <w:t xml:space="preserve"> : </w:t>
      </w:r>
      <w:r>
        <w:rPr>
          <w:rFonts w:ascii="Consolas" w:hAnsi="Consolas"/>
          <w:sz w:val="18"/>
        </w:rPr>
        <w:t>/rapports</w:t>
      </w:r>
    </w:p>
    <w:p>
      <w:r>
        <w:t>#### Types de rapports</w:t>
      </w:r>
    </w:p>
    <w:p>
      <w:pPr>
        <w:pStyle w:val="ListBullet"/>
      </w:pPr>
      <w:r>
        <w:rPr>
          <w:b/>
        </w:rPr>
        <w:t>Hebdomadaire</w:t>
      </w:r>
      <w:r>
        <w:t xml:space="preserve"> : pipeline, deals signés, tickets, temps saisi</w:t>
      </w:r>
    </w:p>
    <w:p>
      <w:pPr>
        <w:pStyle w:val="ListBullet"/>
      </w:pPr>
      <w:r>
        <w:rPr>
          <w:b/>
        </w:rPr>
        <w:t>Mensuel</w:t>
      </w:r>
      <w:r>
        <w:t xml:space="preserve"> : CA, marge, ARC, performance équipe</w:t>
      </w:r>
    </w:p>
    <w:p>
      <w:pPr>
        <w:pStyle w:val="ListBullet"/>
      </w:pPr>
      <w:r>
        <w:rPr>
          <w:b/>
        </w:rPr>
        <w:t>Trimestriel</w:t>
      </w:r>
      <w:r>
        <w:t xml:space="preserve"> : forecast, taux de transformation, qualité service</w:t>
      </w:r>
    </w:p>
    <w:p>
      <w:pPr>
        <w:pStyle w:val="ListBullet"/>
      </w:pPr>
      <w:r>
        <w:rPr>
          <w:b/>
        </w:rPr>
        <w:t>Annuel</w:t>
      </w:r>
      <w:r>
        <w:t xml:space="preserve"> : bilan, prévisionnel N+1</w:t>
      </w:r>
    </w:p>
    <w:p>
      <w:r>
        <w:t>#### Génération</w:t>
      </w:r>
    </w:p>
    <w:p>
      <w:pPr>
        <w:pStyle w:val="ListBullet"/>
      </w:pPr>
      <w:r>
        <w:t>Choix de la période (date picker)</w:t>
      </w:r>
    </w:p>
    <w:p>
      <w:pPr>
        <w:pStyle w:val="ListBullet"/>
      </w:pPr>
      <w:r>
        <w:t>Choix des sections (cases à cocher)</w:t>
      </w:r>
    </w:p>
    <w:p>
      <w:pPr>
        <w:pStyle w:val="ListBullet"/>
      </w:pPr>
      <w:r>
        <w:t>Format de sortie : PDF, XLSX, PPTX</w:t>
      </w:r>
    </w:p>
    <w:p>
      <w:pPr>
        <w:pStyle w:val="Heading3"/>
      </w:pPr>
      <w:r>
        <w:rPr>
          <w:color w:val="3730A3"/>
          <w:sz w:val="24"/>
        </w:rPr>
        <w:t>21.2 Indicateurs clés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Indicateur</w:t>
            </w:r>
          </w:p>
        </w:tc>
        <w:tc>
          <w:tcPr>
            <w:tcW w:type="dxa" w:w="3324"/>
            <w:shd w:val="clear" w:color="auto" w:fill="EEF2FF"/>
          </w:tcPr>
          <w:p>
            <w:r>
              <w:rPr>
                <w:b/>
                <w:color w:val="1F2942"/>
                <w:sz w:val="18"/>
              </w:rPr>
              <w:t>Calcul</w:t>
            </w:r>
          </w:p>
        </w:tc>
        <w:tc>
          <w:tcPr>
            <w:tcW w:type="dxa" w:w="3324"/>
            <w:shd w:val="clear" w:color="auto" w:fill="EEF2FF"/>
          </w:tcPr>
          <w:p>
            <w:r>
              <w:rPr>
                <w:b/>
                <w:color w:val="1F2942"/>
                <w:sz w:val="18"/>
              </w:rPr>
              <w:t>Cible</w:t>
            </w:r>
          </w:p>
        </w:tc>
      </w:tr>
      <w:tr>
        <w:tc>
          <w:tcPr>
            <w:tcW w:type="dxa" w:w="3324"/>
          </w:tcPr>
          <w:p>
            <w:r>
              <w:rPr>
                <w:sz w:val="18"/>
              </w:rPr>
              <w:t>Taux de transformation</w:t>
            </w:r>
          </w:p>
        </w:tc>
        <w:tc>
          <w:tcPr>
            <w:tcW w:type="dxa" w:w="3324"/>
          </w:tcPr>
          <w:p>
            <w:r>
              <w:rPr>
                <w:sz w:val="18"/>
              </w:rPr>
              <w:t>Deals signés / Opps créées</w:t>
            </w:r>
          </w:p>
        </w:tc>
        <w:tc>
          <w:tcPr>
            <w:tcW w:type="dxa" w:w="3324"/>
          </w:tcPr>
          <w:p>
            <w:r>
              <w:rPr>
                <w:sz w:val="18"/>
              </w:rPr>
              <w:t>&gt; 25 %</w:t>
            </w:r>
          </w:p>
        </w:tc>
      </w:tr>
      <w:tr>
        <w:tc>
          <w:tcPr>
            <w:tcW w:type="dxa" w:w="3324"/>
          </w:tcPr>
          <w:p>
            <w:r>
              <w:rPr>
                <w:sz w:val="18"/>
              </w:rPr>
              <w:t>Panier moyen</w:t>
            </w:r>
          </w:p>
        </w:tc>
        <w:tc>
          <w:tcPr>
            <w:tcW w:type="dxa" w:w="3324"/>
          </w:tcPr>
          <w:p>
            <w:r>
              <w:rPr>
                <w:sz w:val="18"/>
              </w:rPr>
              <w:t>CA total / Nb deals</w:t>
            </w:r>
          </w:p>
        </w:tc>
        <w:tc>
          <w:tcPr>
            <w:tcW w:type="dxa" w:w="3324"/>
          </w:tcPr>
          <w:p>
            <w:r>
              <w:rPr>
                <w:sz w:val="18"/>
              </w:rPr>
              <w:t>Variable selon BU</w:t>
            </w:r>
          </w:p>
        </w:tc>
      </w:tr>
      <w:tr>
        <w:tc>
          <w:tcPr>
            <w:tcW w:type="dxa" w:w="3324"/>
          </w:tcPr>
          <w:p>
            <w:r>
              <w:rPr>
                <w:sz w:val="18"/>
              </w:rPr>
              <w:t>Délai moyen de vente</w:t>
            </w:r>
          </w:p>
        </w:tc>
        <w:tc>
          <w:tcPr>
            <w:tcW w:type="dxa" w:w="3324"/>
          </w:tcPr>
          <w:p>
            <w:r>
              <w:rPr>
                <w:sz w:val="18"/>
              </w:rPr>
              <w:t>Date won - Date création</w:t>
            </w:r>
          </w:p>
        </w:tc>
        <w:tc>
          <w:tcPr>
            <w:tcW w:type="dxa" w:w="3324"/>
          </w:tcPr>
          <w:p>
            <w:r>
              <w:rPr>
                <w:sz w:val="18"/>
              </w:rPr>
              <w:t>&lt; 60 jours</w:t>
            </w:r>
          </w:p>
        </w:tc>
      </w:tr>
      <w:tr>
        <w:tc>
          <w:tcPr>
            <w:tcW w:type="dxa" w:w="3324"/>
          </w:tcPr>
          <w:p>
            <w:r>
              <w:rPr>
                <w:sz w:val="18"/>
              </w:rPr>
              <w:t>Marge brute</w:t>
            </w:r>
          </w:p>
        </w:tc>
        <w:tc>
          <w:tcPr>
            <w:tcW w:type="dxa" w:w="3324"/>
          </w:tcPr>
          <w:p>
            <w:r>
              <w:rPr>
                <w:sz w:val="18"/>
              </w:rPr>
              <w:t>(Prix vente - Coût) / Prix vente</w:t>
            </w:r>
          </w:p>
        </w:tc>
        <w:tc>
          <w:tcPr>
            <w:tcW w:type="dxa" w:w="3324"/>
          </w:tcPr>
          <w:p>
            <w:r>
              <w:rPr>
                <w:sz w:val="18"/>
              </w:rPr>
              <w:t>&gt; 35 %</w:t>
            </w:r>
          </w:p>
        </w:tc>
      </w:tr>
      <w:tr>
        <w:tc>
          <w:tcPr>
            <w:tcW w:type="dxa" w:w="3324"/>
          </w:tcPr>
          <w:p>
            <w:r>
              <w:rPr>
                <w:sz w:val="18"/>
              </w:rPr>
              <w:t>Taux d'attrition annuel</w:t>
            </w:r>
          </w:p>
        </w:tc>
        <w:tc>
          <w:tcPr>
            <w:tcW w:type="dxa" w:w="3324"/>
          </w:tcPr>
          <w:p>
            <w:r>
              <w:rPr>
                <w:sz w:val="18"/>
              </w:rPr>
              <w:t>Clients perdus / Total clients</w:t>
            </w:r>
          </w:p>
        </w:tc>
        <w:tc>
          <w:tcPr>
            <w:tcW w:type="dxa" w:w="3324"/>
          </w:tcPr>
          <w:p>
            <w:r>
              <w:rPr>
                <w:sz w:val="18"/>
              </w:rPr>
              <w:t>&lt; 8 %</w:t>
            </w:r>
          </w:p>
        </w:tc>
      </w:tr>
      <w:tr>
        <w:tc>
          <w:tcPr>
            <w:tcW w:type="dxa" w:w="3324"/>
          </w:tcPr>
          <w:p>
            <w:r>
              <w:rPr>
                <w:sz w:val="18"/>
              </w:rPr>
              <w:t>NPS</w:t>
            </w:r>
          </w:p>
        </w:tc>
        <w:tc>
          <w:tcPr>
            <w:tcW w:type="dxa" w:w="3324"/>
          </w:tcPr>
          <w:p>
            <w:r>
              <w:rPr>
                <w:sz w:val="18"/>
              </w:rPr>
              <w:t>Recommandation client</w:t>
            </w:r>
          </w:p>
        </w:tc>
        <w:tc>
          <w:tcPr>
            <w:tcW w:type="dxa" w:w="3324"/>
          </w:tcPr>
          <w:p>
            <w:r>
              <w:rPr>
                <w:sz w:val="18"/>
              </w:rPr>
              <w:t>&gt; 50</w:t>
            </w:r>
          </w:p>
        </w:tc>
      </w:tr>
    </w:tbl>
    <w:p/>
    <w:p>
      <w:pPr>
        <w:spacing w:before="80"/>
        <w:pBdr>
          <w:bottom w:val="single" w:sz="6" w:color="C0C7D2"/>
        </w:pBdr>
      </w:pPr>
    </w:p>
    <w:p>
      <w:pPr>
        <w:pStyle w:val="Heading1"/>
      </w:pPr>
      <w:r>
        <w:rPr>
          <w:color w:val="1F2942"/>
          <w:sz w:val="36"/>
        </w:rPr>
        <w:t>PARTIE III — ADMINISTRATION ET EXPLOITATION</w:t>
      </w:r>
    </w:p>
    <w:p>
      <w:pPr>
        <w:pStyle w:val="Heading2"/>
      </w:pPr>
      <w:r>
        <w:rPr>
          <w:color w:val="1F2942"/>
          <w:sz w:val="28"/>
        </w:rPr>
        <w:t>22. ADMINISTRATION UTILISATEURS</w:t>
      </w:r>
    </w:p>
    <w:p>
      <w:pPr>
        <w:pStyle w:val="Heading3"/>
      </w:pPr>
      <w:r>
        <w:rPr>
          <w:color w:val="3730A3"/>
          <w:sz w:val="24"/>
        </w:rPr>
        <w:t>22.1 Page admin utilisateurs</w:t>
      </w:r>
    </w:p>
    <w:p>
      <w:r>
        <w:rPr>
          <w:b/>
        </w:rPr>
        <w:t>Route</w:t>
      </w:r>
      <w:r>
        <w:t xml:space="preserve"> : </w:t>
      </w:r>
      <w:r>
        <w:rPr>
          <w:rFonts w:ascii="Consolas" w:hAnsi="Consolas"/>
          <w:sz w:val="18"/>
        </w:rPr>
        <w:t>/administration-utilisateurs</w:t>
      </w:r>
    </w:p>
    <w:p>
      <w:r>
        <w:t>#### Liste des utilisateurs</w:t>
      </w:r>
    </w:p>
    <w:p>
      <w:pPr>
        <w:pStyle w:val="ListBullet"/>
      </w:pPr>
      <w:r>
        <w:t>Avatar + nom + email + rôle + statut</w:t>
      </w:r>
    </w:p>
    <w:p>
      <w:pPr>
        <w:pStyle w:val="ListBullet"/>
      </w:pPr>
      <w:r>
        <w:t>Date de dernière connexion</w:t>
      </w:r>
    </w:p>
    <w:p>
      <w:pPr>
        <w:pStyle w:val="ListBullet"/>
      </w:pPr>
      <w:r>
        <w:t>Actions : Modifier, Désactiver, Réinitialiser mot de passe, Révoquer sessions</w:t>
      </w:r>
    </w:p>
    <w:p>
      <w:r>
        <w:t>#### Création d'utilisateur</w:t>
      </w:r>
    </w:p>
    <w:p>
      <w:pPr>
        <w:pStyle w:val="ListBullet"/>
      </w:pPr>
      <w:r>
        <w:t>Email professionnel</w:t>
      </w:r>
    </w:p>
    <w:p>
      <w:pPr>
        <w:pStyle w:val="ListBullet"/>
      </w:pPr>
      <w:r>
        <w:t>Prénom + Nom</w:t>
      </w:r>
    </w:p>
    <w:p>
      <w:pPr>
        <w:pStyle w:val="ListBullet"/>
      </w:pPr>
      <w:r>
        <w:t>Rôle (admin / commercial / technicien / comptable / lecture)</w:t>
      </w:r>
    </w:p>
    <w:p>
      <w:pPr>
        <w:pStyle w:val="ListBullet"/>
      </w:pPr>
      <w:r>
        <w:t>Manager hiérarchique (optionnel)</w:t>
      </w:r>
    </w:p>
    <w:p>
      <w:pPr>
        <w:pStyle w:val="ListBullet"/>
      </w:pPr>
      <w:r>
        <w:t>Mot de passe initial (envoyé par email à l'utilisateur)</w:t>
      </w:r>
    </w:p>
    <w:p>
      <w:pPr>
        <w:pStyle w:val="ListBullet"/>
      </w:pPr>
      <w:r>
        <w:t>Forcer changement à la première connexion</w:t>
      </w:r>
    </w:p>
    <w:p>
      <w:pPr>
        <w:pStyle w:val="Heading3"/>
      </w:pPr>
      <w:r>
        <w:rPr>
          <w:color w:val="3730A3"/>
          <w:sz w:val="24"/>
        </w:rPr>
        <w:t>22.2 Templates CGV (contrats)</w:t>
      </w:r>
    </w:p>
    <w:p>
      <w:r>
        <w:t>Upload de templates PDF de contrats. Pour chaque template :</w:t>
      </w:r>
    </w:p>
    <w:p>
      <w:pPr>
        <w:pStyle w:val="ListBullet"/>
      </w:pPr>
      <w:r>
        <w:t>Nom (ex: « CGV Astorya Suite v4.2 — FR »)</w:t>
      </w:r>
    </w:p>
    <w:p>
      <w:pPr>
        <w:pStyle w:val="ListBullet"/>
      </w:pPr>
      <w:r>
        <w:t>Version</w:t>
      </w:r>
    </w:p>
    <w:p>
      <w:pPr>
        <w:pStyle w:val="ListBullet"/>
      </w:pPr>
      <w:r>
        <w:t>PDF source uploadé</w:t>
      </w:r>
    </w:p>
    <w:p>
      <w:pPr>
        <w:pStyle w:val="ListBullet"/>
      </w:pPr>
      <w:r>
        <w:t>Extraction de texte automatique pour l'aperçu</w:t>
      </w:r>
    </w:p>
    <w:p>
      <w:pPr>
        <w:pStyle w:val="ListBullet"/>
      </w:pPr>
      <w:r>
        <w:t xml:space="preserve">Flag </w:t>
      </w:r>
      <w:r>
        <w:rPr>
          <w:rFonts w:ascii="Consolas" w:hAnsi="Consolas"/>
          <w:sz w:val="18"/>
        </w:rPr>
        <w:t>is_default</w:t>
      </w:r>
      <w:r>
        <w:t xml:space="preserve"> (un seul actif à la fois)</w:t>
      </w:r>
    </w:p>
    <w:p>
      <w:pPr>
        <w:pStyle w:val="Heading3"/>
      </w:pPr>
      <w:r>
        <w:rPr>
          <w:color w:val="3730A3"/>
          <w:sz w:val="24"/>
        </w:rPr>
        <w:t>22.3 Bouton « 🧹 Purger opportunités »</w:t>
      </w:r>
    </w:p>
    <w:p>
      <w:r>
        <w:t>Pour les admins uniquement. Supprime toutes les opportunités de la base + localStorage pour vider les données test.</w:t>
      </w:r>
    </w:p>
    <w:p>
      <w:r>
        <w:t>Sécurités :</w:t>
      </w:r>
    </w:p>
    <w:p>
      <w:pPr>
        <w:pStyle w:val="ListBullet"/>
      </w:pPr>
      <w:r>
        <w:t>Triple confirmation avec saisie de « SUPPRIMER » en majuscules</w:t>
      </w:r>
    </w:p>
    <w:p>
      <w:pPr>
        <w:pStyle w:val="ListBullet"/>
      </w:pPr>
      <w:r>
        <w:t>Action irréversible</w:t>
      </w:r>
    </w:p>
    <w:p>
      <w:pPr>
        <w:pStyle w:val="ListBullet"/>
      </w:pPr>
      <w:r>
        <w:t>Log audit créé</w:t>
      </w:r>
    </w:p>
    <w:p>
      <w:pPr>
        <w:pStyle w:val="Heading3"/>
      </w:pPr>
      <w:r>
        <w:rPr>
          <w:color w:val="3730A3"/>
          <w:sz w:val="24"/>
        </w:rPr>
        <w:t>22.4 Mapping contrats</w:t>
      </w:r>
    </w:p>
    <w:p>
      <w:r>
        <w:rPr>
          <w:b/>
        </w:rPr>
        <w:t>Route</w:t>
      </w:r>
      <w:r>
        <w:t xml:space="preserve"> : </w:t>
      </w:r>
      <w:r>
        <w:rPr>
          <w:rFonts w:ascii="Consolas" w:hAnsi="Consolas"/>
          <w:sz w:val="18"/>
        </w:rPr>
        <w:t>/administration-contrats-mapping</w:t>
      </w:r>
    </w:p>
    <w:p>
      <w:r>
        <w:t>Configuration des règles de détection automatique du modèle de contrat selon les SKU produits dans une opportunité.</w:t>
      </w:r>
    </w:p>
    <w:p>
      <w:r>
        <w:t>Pour chaque règle :</w:t>
      </w:r>
    </w:p>
    <w:p>
      <w:pPr>
        <w:pStyle w:val="ListBullet"/>
      </w:pPr>
      <w:r>
        <w:rPr>
          <w:b/>
        </w:rPr>
        <w:t>Pattern SKU</w:t>
      </w:r>
      <w:r>
        <w:t xml:space="preserve"> (regex ou substring, ex: </w:t>
      </w:r>
      <w:r>
        <w:rPr>
          <w:rFonts w:ascii="Consolas" w:hAnsi="Consolas"/>
          <w:sz w:val="18"/>
        </w:rPr>
        <w:t>HOST</w:t>
      </w:r>
      <w:r>
        <w:t xml:space="preserve">, </w:t>
      </w:r>
      <w:r>
        <w:rPr>
          <w:rFonts w:ascii="Consolas" w:hAnsi="Consolas"/>
          <w:sz w:val="18"/>
        </w:rPr>
        <w:t>M365</w:t>
      </w:r>
      <w:r>
        <w:t>)</w:t>
      </w:r>
    </w:p>
    <w:p>
      <w:pPr>
        <w:pStyle w:val="ListBullet"/>
      </w:pPr>
      <w:r>
        <w:rPr>
          <w:b/>
        </w:rPr>
        <w:t>Modèle cible</w:t>
      </w:r>
      <w:r>
        <w:t xml:space="preserve"> (hosting, phone, maintenance, service, page_pack)</w:t>
      </w:r>
    </w:p>
    <w:p>
      <w:pPr>
        <w:pStyle w:val="ListBullet"/>
      </w:pPr>
      <w:r>
        <w:rPr>
          <w:b/>
        </w:rPr>
        <w:t>Score</w:t>
      </w:r>
      <w:r>
        <w:t xml:space="preserve"> (priorité si plusieurs règles matchent)</w:t>
      </w:r>
    </w:p>
    <w:p>
      <w:r>
        <w:t>Permet d'éviter de choisir manuellement le modèle à chaque création de contrat.</w:t>
      </w:r>
    </w:p>
    <w:p>
      <w:pPr>
        <w:spacing w:before="80"/>
        <w:pBdr>
          <w:bottom w:val="single" w:sz="6" w:color="C0C7D2"/>
        </w:pBdr>
      </w:pPr>
    </w:p>
    <w:p>
      <w:pPr>
        <w:pStyle w:val="Heading2"/>
      </w:pPr>
      <w:r>
        <w:rPr>
          <w:color w:val="1F2942"/>
          <w:sz w:val="28"/>
        </w:rPr>
        <w:t>23. PARAMÉTRAGE AVANCÉ</w:t>
      </w:r>
    </w:p>
    <w:p>
      <w:pPr>
        <w:pStyle w:val="Heading3"/>
      </w:pPr>
      <w:r>
        <w:rPr>
          <w:color w:val="3730A3"/>
          <w:sz w:val="24"/>
        </w:rPr>
        <w:t>23.1 Paramètres système</w:t>
      </w:r>
    </w:p>
    <w:p>
      <w:r>
        <w:t xml:space="preserve">Table </w:t>
      </w:r>
      <w:r>
        <w:rPr>
          <w:rFonts w:ascii="Consolas" w:hAnsi="Consolas"/>
          <w:sz w:val="18"/>
        </w:rPr>
        <w:t>app_settings</w:t>
      </w:r>
      <w:r>
        <w:t xml:space="preserve"> (clé-valeur) :</w:t>
      </w:r>
    </w:p>
    <w:p>
      <w:pPr>
        <w:pStyle w:val="ListBullet"/>
      </w:pPr>
      <w:r>
        <w:rPr>
          <w:rFonts w:ascii="Consolas" w:hAnsi="Consolas"/>
          <w:sz w:val="18"/>
        </w:rPr>
        <w:t>3cx_server_url</w:t>
      </w:r>
      <w:r>
        <w:t xml:space="preserve"> : URL du serveur 3CX</w:t>
      </w:r>
    </w:p>
    <w:p>
      <w:pPr>
        <w:pStyle w:val="ListBullet"/>
      </w:pPr>
      <w:r>
        <w:rPr>
          <w:rFonts w:ascii="Consolas" w:hAnsi="Consolas"/>
          <w:sz w:val="18"/>
        </w:rPr>
        <w:t>teams_webhook_url</w:t>
      </w:r>
      <w:r>
        <w:t xml:space="preserve"> : Webhook Microsoft Teams</w:t>
      </w:r>
    </w:p>
    <w:p>
      <w:pPr>
        <w:pStyle w:val="ListBullet"/>
      </w:pPr>
      <w:r>
        <w:rPr>
          <w:rFonts w:ascii="Consolas" w:hAnsi="Consolas"/>
          <w:sz w:val="18"/>
        </w:rPr>
        <w:t>default_currency</w:t>
      </w:r>
      <w:r>
        <w:t xml:space="preserve"> : EUR</w:t>
      </w:r>
    </w:p>
    <w:p>
      <w:pPr>
        <w:pStyle w:val="ListBullet"/>
      </w:pPr>
      <w:r>
        <w:rPr>
          <w:rFonts w:ascii="Consolas" w:hAnsi="Consolas"/>
          <w:sz w:val="18"/>
        </w:rPr>
        <w:t>default_tva_rate</w:t>
      </w:r>
      <w:r>
        <w:t xml:space="preserve"> : 20.0</w:t>
      </w:r>
    </w:p>
    <w:p>
      <w:pPr>
        <w:pStyle w:val="ListBullet"/>
      </w:pPr>
      <w:r>
        <w:rPr>
          <w:rFonts w:ascii="Consolas" w:hAnsi="Consolas"/>
          <w:sz w:val="18"/>
        </w:rPr>
        <w:t>invoice_footer_text</w:t>
      </w:r>
      <w:r>
        <w:t xml:space="preserve"> : mention légale obligatoire</w:t>
      </w:r>
    </w:p>
    <w:p>
      <w:pPr>
        <w:pStyle w:val="ListBullet"/>
      </w:pPr>
      <w:r>
        <w:rPr>
          <w:rFonts w:ascii="Consolas" w:hAnsi="Consolas"/>
          <w:sz w:val="18"/>
        </w:rPr>
        <w:t>email_from</w:t>
      </w:r>
      <w:r>
        <w:t xml:space="preserve"> : adresse expéditrice</w:t>
      </w:r>
    </w:p>
    <w:p>
      <w:pPr>
        <w:pStyle w:val="ListBullet"/>
      </w:pPr>
      <w:r>
        <w:rPr>
          <w:rFonts w:ascii="Consolas" w:hAnsi="Consolas"/>
          <w:sz w:val="18"/>
        </w:rPr>
        <w:t>smtp_*</w:t>
      </w:r>
      <w:r>
        <w:t xml:space="preserve"> : configuration SMTP sortant</w:t>
      </w:r>
    </w:p>
    <w:p>
      <w:pPr>
        <w:pStyle w:val="Heading3"/>
      </w:pPr>
      <w:r>
        <w:rPr>
          <w:color w:val="3730A3"/>
          <w:sz w:val="24"/>
        </w:rPr>
        <w:t>23.2 Paramétrage email</w:t>
      </w:r>
    </w:p>
    <w:p>
      <w:pPr>
        <w:pStyle w:val="ListBullet"/>
      </w:pPr>
      <w:r>
        <w:t>Templates email (devis envoyé, facture émise, relance, etc.)</w:t>
      </w:r>
    </w:p>
    <w:p>
      <w:pPr>
        <w:pStyle w:val="ListBullet"/>
      </w:pPr>
      <w:r>
        <w:t xml:space="preserve">Variables dynamiques </w:t>
      </w:r>
      <w:r>
        <w:rPr>
          <w:rFonts w:ascii="Consolas" w:hAnsi="Consolas"/>
          <w:sz w:val="18"/>
        </w:rPr>
        <w:t>{client_name}</w:t>
      </w:r>
      <w:r>
        <w:t xml:space="preserve">, </w:t>
      </w:r>
      <w:r>
        <w:rPr>
          <w:rFonts w:ascii="Consolas" w:hAnsi="Consolas"/>
          <w:sz w:val="18"/>
        </w:rPr>
        <w:t>{doc_ref}</w:t>
      </w:r>
      <w:r>
        <w:t xml:space="preserve">, </w:t>
      </w:r>
      <w:r>
        <w:rPr>
          <w:rFonts w:ascii="Consolas" w:hAnsi="Consolas"/>
          <w:sz w:val="18"/>
        </w:rPr>
        <w:t>{amount}</w:t>
      </w:r>
      <w:r>
        <w:t>, etc.</w:t>
      </w:r>
    </w:p>
    <w:p>
      <w:pPr>
        <w:pStyle w:val="ListBullet"/>
      </w:pPr>
      <w:r>
        <w:t>Signature commerciale par utilisateur</w:t>
      </w:r>
    </w:p>
    <w:p>
      <w:pPr>
        <w:pStyle w:val="Heading3"/>
      </w:pPr>
      <w:r>
        <w:rPr>
          <w:color w:val="3730A3"/>
          <w:sz w:val="24"/>
        </w:rPr>
        <w:t>23.3 Paramétrage workflow</w:t>
      </w:r>
    </w:p>
    <w:p>
      <w:pPr>
        <w:pStyle w:val="ListBullet"/>
      </w:pPr>
      <w:r>
        <w:t>Probabilités par stage SPANCO (modifiables)</w:t>
      </w:r>
    </w:p>
    <w:p>
      <w:pPr>
        <w:pStyle w:val="ListBullet"/>
      </w:pPr>
      <w:r>
        <w:t>Critères de passage par stage (ajout / suppression / modification)</w:t>
      </w:r>
    </w:p>
    <w:p>
      <w:pPr>
        <w:pStyle w:val="ListBullet"/>
      </w:pPr>
      <w:r>
        <w:t>Actions auto-créées par transition (configurable)</w:t>
      </w:r>
    </w:p>
    <w:p>
      <w:pPr>
        <w:pStyle w:val="ListBullet"/>
      </w:pPr>
      <w:r>
        <w:t>Couleurs et libellés des stages</w:t>
      </w:r>
    </w:p>
    <w:p>
      <w:pPr>
        <w:spacing w:before="80"/>
        <w:pBdr>
          <w:bottom w:val="single" w:sz="6" w:color="C0C7D2"/>
        </w:pBdr>
      </w:pPr>
    </w:p>
    <w:p>
      <w:pPr>
        <w:pStyle w:val="Heading2"/>
      </w:pPr>
      <w:r>
        <w:rPr>
          <w:color w:val="1F2942"/>
          <w:sz w:val="28"/>
        </w:rPr>
        <w:t>24. INTÉGRATIONS EXTERNES</w:t>
      </w:r>
    </w:p>
    <w:p>
      <w:pPr>
        <w:pStyle w:val="Heading3"/>
      </w:pPr>
      <w:r>
        <w:rPr>
          <w:color w:val="3730A3"/>
          <w:sz w:val="24"/>
        </w:rPr>
        <w:t>24.1 SIRENE / INPI</w:t>
      </w:r>
    </w:p>
    <w:p>
      <w:r>
        <w:t xml:space="preserve">API </w:t>
      </w:r>
      <w:r>
        <w:rPr>
          <w:rFonts w:ascii="Consolas" w:hAnsi="Consolas"/>
          <w:sz w:val="18"/>
        </w:rPr>
        <w:t>recherche-entreprises.api.gouv.fr</w:t>
      </w:r>
      <w:r>
        <w:t xml:space="preserve"> (gratuite, sans clé).</w:t>
      </w:r>
    </w:p>
    <w:p>
      <w:r>
        <w:t>Usage : recherche entreprise + auto-fill de la fiche prospect + extraction des dirigeants pour pré-remplir le contact.</w:t>
      </w:r>
    </w:p>
    <w:p>
      <w:r>
        <w:t>Endpoints utilisés :</w:t>
      </w:r>
    </w:p>
    <w:p>
      <w:pPr>
        <w:pStyle w:val="ListBullet"/>
      </w:pPr>
      <w:r>
        <w:rPr>
          <w:rFonts w:ascii="Consolas" w:hAnsi="Consolas"/>
          <w:sz w:val="18"/>
        </w:rPr>
        <w:t>/search?q=&lt;nom&gt;</w:t>
      </w:r>
      <w:r>
        <w:t xml:space="preserve"> : recherche par nom</w:t>
      </w:r>
    </w:p>
    <w:p>
      <w:pPr>
        <w:pStyle w:val="ListBullet"/>
      </w:pPr>
      <w:r>
        <w:rPr>
          <w:rFonts w:ascii="Consolas" w:hAnsi="Consolas"/>
          <w:sz w:val="18"/>
        </w:rPr>
        <w:t>/search?q=&lt;siren&gt;</w:t>
      </w:r>
      <w:r>
        <w:t xml:space="preserve"> : recherche par SIREN</w:t>
      </w:r>
    </w:p>
    <w:p>
      <w:pPr>
        <w:pStyle w:val="Heading3"/>
      </w:pPr>
      <w:r>
        <w:rPr>
          <w:color w:val="3730A3"/>
          <w:sz w:val="24"/>
        </w:rPr>
        <w:t>24.2 Pappers</w:t>
      </w:r>
    </w:p>
    <w:p>
      <w:r>
        <w:t xml:space="preserve">API </w:t>
      </w:r>
      <w:r>
        <w:rPr>
          <w:rFonts w:ascii="Consolas" w:hAnsi="Consolas"/>
          <w:sz w:val="18"/>
        </w:rPr>
        <w:t>api.pappers.fr/v2/entreprise</w:t>
      </w:r>
      <w:r>
        <w:t xml:space="preserve"> (Token nécessaire, quota 1000 req/mois en gratuit).</w:t>
      </w:r>
    </w:p>
    <w:p>
      <w:r>
        <w:t>Usage : enrichissement des données entreprise (procédures collectives, capital, dirigeants étendus, bilans).</w:t>
      </w:r>
    </w:p>
    <w:p>
      <w:r>
        <w:t>Configuration : token côté proxy serveur (jamais en clair côté client).</w:t>
      </w:r>
    </w:p>
    <w:p>
      <w:pPr>
        <w:pStyle w:val="Heading3"/>
      </w:pPr>
      <w:r>
        <w:rPr>
          <w:color w:val="3730A3"/>
          <w:sz w:val="24"/>
        </w:rPr>
        <w:t>24.3 BODACC</w:t>
      </w:r>
    </w:p>
    <w:p>
      <w:r>
        <w:t xml:space="preserve">API </w:t>
      </w:r>
      <w:r>
        <w:rPr>
          <w:rFonts w:ascii="Consolas" w:hAnsi="Consolas"/>
          <w:sz w:val="18"/>
        </w:rPr>
        <w:t>bodacc-datadila.opendatasoft.com</w:t>
      </w:r>
      <w:r>
        <w:t xml:space="preserve"> (gratuite, sans clé).</w:t>
      </w:r>
    </w:p>
    <w:p>
      <w:r>
        <w:t>Usage : vérification procédures collectives (sauvegarde, redressement, liquidation).</w:t>
      </w:r>
    </w:p>
    <w:p>
      <w:r>
        <w:t>Statuts retournés :</w:t>
      </w:r>
    </w:p>
    <w:p>
      <w:pPr>
        <w:pStyle w:val="ListBullet"/>
      </w:pPr>
      <w:r>
        <w:rPr>
          <w:rFonts w:ascii="Consolas" w:hAnsi="Consolas"/>
          <w:sz w:val="18"/>
        </w:rPr>
        <w:t>ok</w:t>
      </w:r>
      <w:r>
        <w:t xml:space="preserve"> : aucune procédure</w:t>
      </w:r>
    </w:p>
    <w:p>
      <w:pPr>
        <w:pStyle w:val="ListBullet"/>
      </w:pPr>
      <w:r>
        <w:rPr>
          <w:rFonts w:ascii="Consolas" w:hAnsi="Consolas"/>
          <w:sz w:val="18"/>
        </w:rPr>
        <w:t>warn</w:t>
      </w:r>
      <w:r>
        <w:t xml:space="preserve"> : procédure en cours (sauvegarde, redressement, conciliation)</w:t>
      </w:r>
    </w:p>
    <w:p>
      <w:pPr>
        <w:pStyle w:val="ListBullet"/>
      </w:pPr>
      <w:r>
        <w:rPr>
          <w:rFonts w:ascii="Consolas" w:hAnsi="Consolas"/>
          <w:sz w:val="18"/>
        </w:rPr>
        <w:t>danger</w:t>
      </w:r>
      <w:r>
        <w:t xml:space="preserve"> : liquidation judiciaire ou cessation</w:t>
      </w:r>
    </w:p>
    <w:p>
      <w:pPr>
        <w:pStyle w:val="ListBullet"/>
      </w:pPr>
      <w:r>
        <w:rPr>
          <w:rFonts w:ascii="Consolas" w:hAnsi="Consolas"/>
          <w:sz w:val="18"/>
        </w:rPr>
        <w:t>unknown</w:t>
      </w:r>
      <w:r>
        <w:t xml:space="preserve"> : SIREN invalide</w:t>
      </w:r>
    </w:p>
    <w:p>
      <w:pPr>
        <w:pStyle w:val="ListBullet"/>
      </w:pPr>
      <w:r>
        <w:rPr>
          <w:rFonts w:ascii="Consolas" w:hAnsi="Consolas"/>
          <w:sz w:val="18"/>
        </w:rPr>
        <w:t>error</w:t>
      </w:r>
      <w:r>
        <w:t xml:space="preserve"> : erreur réseau</w:t>
      </w:r>
    </w:p>
    <w:p>
      <w:pPr>
        <w:pStyle w:val="Heading3"/>
      </w:pPr>
      <w:r>
        <w:rPr>
          <w:color w:val="3730A3"/>
          <w:sz w:val="24"/>
        </w:rPr>
        <w:t>24.4 3CX Web Client</w:t>
      </w:r>
    </w:p>
    <w:p>
      <w:r>
        <w:t>Intégration deep-link sans plugin :</w:t>
      </w:r>
    </w:p>
    <w:p>
      <w:pPr>
        <w:pStyle w:val="ListBullet"/>
      </w:pPr>
      <w:r>
        <w:t xml:space="preserve">Configuration du serveur 3CX dans </w:t>
      </w:r>
      <w:r>
        <w:rPr>
          <w:rFonts w:ascii="Consolas" w:hAnsi="Consolas"/>
          <w:sz w:val="18"/>
        </w:rPr>
        <w:t>app_settings</w:t>
      </w:r>
    </w:p>
    <w:p>
      <w:pPr>
        <w:pStyle w:val="ListBullet"/>
      </w:pPr>
      <w:r>
        <w:t xml:space="preserve">Au clic sur téléphone : ouverture URL </w:t>
      </w:r>
      <w:r>
        <w:rPr>
          <w:rFonts w:ascii="Consolas" w:hAnsi="Consolas"/>
          <w:sz w:val="18"/>
        </w:rPr>
        <w:t>https://&lt;3cx&gt;/webclient/#/dialer/&lt;tel&gt;</w:t>
      </w:r>
    </w:p>
    <w:p>
      <w:pPr>
        <w:pStyle w:val="ListBullet"/>
      </w:pPr>
      <w:r>
        <w:t>Authentification gérée par 3CX directement</w:t>
      </w:r>
    </w:p>
    <w:p>
      <w:pPr>
        <w:pStyle w:val="Heading3"/>
      </w:pPr>
      <w:r>
        <w:rPr>
          <w:color w:val="3730A3"/>
          <w:sz w:val="24"/>
        </w:rPr>
        <w:t>24.5 Outlook Web</w:t>
      </w:r>
    </w:p>
    <w:p>
      <w:r>
        <w:t>Deep-link compose pour les emails et calendrier :</w:t>
      </w:r>
    </w:p>
    <w:p>
      <w:pPr>
        <w:pStyle w:val="ListBullet"/>
      </w:pPr>
      <w:r>
        <w:t xml:space="preserve">Email : </w:t>
      </w:r>
      <w:r>
        <w:rPr>
          <w:rFonts w:ascii="Consolas" w:hAnsi="Consolas"/>
          <w:sz w:val="18"/>
        </w:rPr>
        <w:t>https://outlook.office.com/owa/?path=/mail/action/compose&amp;to=...&amp;subject=...&amp;body=...</w:t>
      </w:r>
    </w:p>
    <w:p>
      <w:pPr>
        <w:pStyle w:val="ListBullet"/>
      </w:pPr>
      <w:r>
        <w:t xml:space="preserve">RDV : </w:t>
      </w:r>
      <w:r>
        <w:rPr>
          <w:rFonts w:ascii="Consolas" w:hAnsi="Consolas"/>
          <w:sz w:val="18"/>
        </w:rPr>
        <w:t>https://outlook.office.com/calendar/0/deeplink/compose?subject=...&amp;startdt=...&amp;enddt=...</w:t>
      </w:r>
    </w:p>
    <w:p>
      <w:r>
        <w:t>Pas besoin de client local Outlook. Fonctionne sur Mac, Linux, Windows.</w:t>
      </w:r>
    </w:p>
    <w:p>
      <w:pPr>
        <w:pStyle w:val="Heading3"/>
      </w:pPr>
      <w:r>
        <w:rPr>
          <w:color w:val="3730A3"/>
          <w:sz w:val="24"/>
        </w:rPr>
        <w:t>24.6 Microsoft Teams</w:t>
      </w:r>
    </w:p>
    <w:p>
      <w:r>
        <w:t>Webhook entrant configurable pour recevoir les notifications dans un canal :</w:t>
      </w:r>
    </w:p>
    <w:p>
      <w:pPr>
        <w:pStyle w:val="ListBullet"/>
      </w:pPr>
      <w:r>
        <w:t>P1 entrant</w:t>
      </w:r>
    </w:p>
    <w:p>
      <w:pPr>
        <w:pStyle w:val="ListBullet"/>
      </w:pPr>
      <w:r>
        <w:t>SLA dépassé</w:t>
      </w:r>
    </w:p>
    <w:p>
      <w:pPr>
        <w:pStyle w:val="ListBullet"/>
      </w:pPr>
      <w:r>
        <w:t>Deal signé &gt; 50 k€</w:t>
      </w:r>
    </w:p>
    <w:p>
      <w:pPr>
        <w:pStyle w:val="ListBullet"/>
      </w:pPr>
      <w:r>
        <w:t>Erreur système critique</w:t>
      </w:r>
    </w:p>
    <w:p>
      <w:pPr>
        <w:spacing w:before="80"/>
        <w:pBdr>
          <w:bottom w:val="single" w:sz="6" w:color="C0C7D2"/>
        </w:pBdr>
      </w:pPr>
    </w:p>
    <w:p>
      <w:pPr>
        <w:pStyle w:val="Heading2"/>
      </w:pPr>
      <w:r>
        <w:rPr>
          <w:color w:val="1F2942"/>
          <w:sz w:val="28"/>
        </w:rPr>
        <w:t>25. MAINTENANCE ET ÉVOLUTIONS</w:t>
      </w:r>
    </w:p>
    <w:p>
      <w:pPr>
        <w:pStyle w:val="Heading3"/>
      </w:pPr>
      <w:r>
        <w:rPr>
          <w:color w:val="3730A3"/>
          <w:sz w:val="24"/>
        </w:rPr>
        <w:t>25.1 Cycle de release</w:t>
      </w:r>
    </w:p>
    <w:p>
      <w:pPr>
        <w:pStyle w:val="ListBullet"/>
      </w:pPr>
      <w:r>
        <w:rPr>
          <w:b/>
        </w:rPr>
        <w:t>Patches</w:t>
      </w:r>
      <w:r>
        <w:t xml:space="preserve"> : déploiement continu (1 à 5 par semaine)</w:t>
      </w:r>
    </w:p>
    <w:p>
      <w:pPr>
        <w:pStyle w:val="ListBullet"/>
      </w:pPr>
      <w:r>
        <w:rPr>
          <w:b/>
        </w:rPr>
        <w:t>Mineures</w:t>
      </w:r>
      <w:r>
        <w:t xml:space="preserve"> : 1 par mois (nouvelles fonctionnalités non-disruptives)</w:t>
      </w:r>
    </w:p>
    <w:p>
      <w:pPr>
        <w:pStyle w:val="ListBullet"/>
      </w:pPr>
      <w:r>
        <w:rPr>
          <w:b/>
        </w:rPr>
        <w:t>Majeures</w:t>
      </w:r>
      <w:r>
        <w:t xml:space="preserve"> : 2 par an (refonte, nouveaux modules)</w:t>
      </w:r>
    </w:p>
    <w:p>
      <w:r>
        <w:t>Toutes les releases sont :</w:t>
      </w:r>
    </w:p>
    <w:p>
      <w:pPr>
        <w:pStyle w:val="ListBullet"/>
      </w:pPr>
      <w:r>
        <w:t>Documentées dans le changelog</w:t>
      </w:r>
    </w:p>
    <w:p>
      <w:pPr>
        <w:pStyle w:val="ListBullet"/>
      </w:pPr>
      <w:r>
        <w:t>Testées en staging avant production</w:t>
      </w:r>
    </w:p>
    <w:p>
      <w:pPr>
        <w:pStyle w:val="ListBullet"/>
      </w:pPr>
      <w:r>
        <w:t>Déployées sans interruption de service (rolling deployment Vercel)</w:t>
      </w:r>
    </w:p>
    <w:p>
      <w:pPr>
        <w:pStyle w:val="Heading3"/>
      </w:pPr>
      <w:r>
        <w:rPr>
          <w:color w:val="3730A3"/>
          <w:sz w:val="24"/>
        </w:rPr>
        <w:t>25.2 Notification utilisateurs</w:t>
      </w:r>
    </w:p>
    <w:p>
      <w:pPr>
        <w:pStyle w:val="ListBullet"/>
      </w:pPr>
      <w:r>
        <w:t>Bannière in-app pour les nouveautés majeures</w:t>
      </w:r>
    </w:p>
    <w:p>
      <w:pPr>
        <w:pStyle w:val="ListBullet"/>
      </w:pPr>
      <w:r>
        <w:t>Email mensuel récapitulatif</w:t>
      </w:r>
    </w:p>
    <w:p>
      <w:pPr>
        <w:pStyle w:val="ListBullet"/>
      </w:pPr>
      <w:r>
        <w:t xml:space="preserve">Page </w:t>
      </w:r>
      <w:r>
        <w:rPr>
          <w:rFonts w:ascii="Consolas" w:hAnsi="Consolas"/>
          <w:sz w:val="18"/>
        </w:rPr>
        <w:t>/changelog</w:t>
      </w:r>
      <w:r>
        <w:t xml:space="preserve"> accessible publiquement</w:t>
      </w:r>
    </w:p>
    <w:p>
      <w:pPr>
        <w:pStyle w:val="Heading3"/>
      </w:pPr>
      <w:r>
        <w:rPr>
          <w:color w:val="3730A3"/>
          <w:sz w:val="24"/>
        </w:rPr>
        <w:t>25.3 Rétrocompatibilité</w:t>
      </w:r>
    </w:p>
    <w:p>
      <w:r>
        <w:t xml:space="preserve">Engagement de rétrocompatibilité </w:t>
      </w:r>
      <w:r>
        <w:rPr>
          <w:b/>
        </w:rPr>
        <w:t>24 mois</w:t>
      </w:r>
      <w:r>
        <w:t xml:space="preserve"> sur :</w:t>
      </w:r>
    </w:p>
    <w:p>
      <w:pPr>
        <w:pStyle w:val="ListBullet"/>
      </w:pPr>
      <w:r>
        <w:t>Schémas BDD</w:t>
      </w:r>
    </w:p>
    <w:p>
      <w:pPr>
        <w:pStyle w:val="ListBullet"/>
      </w:pPr>
      <w:r>
        <w:t>Structure des exports</w:t>
      </w:r>
    </w:p>
    <w:p>
      <w:pPr>
        <w:pStyle w:val="ListBullet"/>
      </w:pPr>
      <w:r>
        <w:t>API publique (si exposée)</w:t>
      </w:r>
    </w:p>
    <w:p>
      <w:r>
        <w:t>Toute breaking change est annoncée 90 jours à l'avance.</w:t>
      </w:r>
    </w:p>
    <w:p>
      <w:pPr>
        <w:spacing w:before="80"/>
        <w:pBdr>
          <w:bottom w:val="single" w:sz="6" w:color="C0C7D2"/>
        </w:pBdr>
      </w:pPr>
    </w:p>
    <w:p>
      <w:pPr>
        <w:pStyle w:val="Heading2"/>
      </w:pPr>
      <w:r>
        <w:rPr>
          <w:color w:val="1F2942"/>
          <w:sz w:val="28"/>
        </w:rPr>
        <w:t>26. SUPPORT ET SLA CONTRACTUELS</w:t>
      </w:r>
    </w:p>
    <w:p>
      <w:pPr>
        <w:pStyle w:val="Heading3"/>
      </w:pPr>
      <w:r>
        <w:rPr>
          <w:color w:val="3730A3"/>
          <w:sz w:val="24"/>
        </w:rPr>
        <w:t>26.1 Canaux de support</w:t>
      </w:r>
    </w:p>
    <w:p>
      <w:r>
        <w:t xml:space="preserve">1. </w:t>
      </w:r>
      <w:r>
        <w:rPr>
          <w:b/>
        </w:rPr>
        <w:t>Hotline téléphonique</w:t>
      </w:r>
      <w:r>
        <w:t xml:space="preserve"> : 02 85 52 13 96 (option 1) — heures ouvrées</w:t>
      </w:r>
    </w:p>
    <w:p>
      <w:r>
        <w:t xml:space="preserve">2. </w:t>
      </w:r>
      <w:r>
        <w:rPr>
          <w:b/>
        </w:rPr>
        <w:t>Email support</w:t>
      </w:r>
      <w:r>
        <w:t xml:space="preserve"> : contact@astorya.fr (réponse selon SLA)</w:t>
      </w:r>
    </w:p>
    <w:p>
      <w:r>
        <w:t xml:space="preserve">3. </w:t>
      </w:r>
      <w:r>
        <w:rPr>
          <w:b/>
        </w:rPr>
        <w:t>Module tickets</w:t>
      </w:r>
      <w:r>
        <w:t xml:space="preserve"> : portail self-service dans le Hub</w:t>
      </w:r>
    </w:p>
    <w:p>
      <w:r>
        <w:t xml:space="preserve">4. </w:t>
      </w:r>
      <w:r>
        <w:rPr>
          <w:b/>
        </w:rPr>
        <w:t>Hotline 3CX</w:t>
      </w:r>
      <w:r>
        <w:t xml:space="preserve"> : appel direct depuis le Hub</w:t>
      </w:r>
    </w:p>
    <w:p>
      <w:r>
        <w:t xml:space="preserve">5. </w:t>
      </w:r>
      <w:r>
        <w:rPr>
          <w:b/>
        </w:rPr>
        <w:t>Support sur site</w:t>
      </w:r>
      <w:r>
        <w:t xml:space="preserve"> : intervention physique (Premium)</w:t>
      </w:r>
    </w:p>
    <w:p>
      <w:pPr>
        <w:pStyle w:val="Heading3"/>
      </w:pPr>
      <w:r>
        <w:rPr>
          <w:color w:val="3730A3"/>
          <w:sz w:val="24"/>
        </w:rPr>
        <w:t>26.2 Heures ouvrées</w:t>
      </w:r>
    </w:p>
    <w:p>
      <w:pPr>
        <w:pStyle w:val="ListBullet"/>
      </w:pPr>
      <w:r>
        <w:t>Lundi à vendredi : 9h00 – 18h00</w:t>
      </w:r>
    </w:p>
    <w:p>
      <w:pPr>
        <w:pStyle w:val="ListBullet"/>
      </w:pPr>
      <w:r>
        <w:t>Hors week-ends et jours fériés français</w:t>
      </w:r>
    </w:p>
    <w:p>
      <w:pPr>
        <w:pStyle w:val="ListBullet"/>
      </w:pPr>
      <w:r>
        <w:t>Premium : astreinte 24/5 sur P1</w:t>
      </w:r>
    </w:p>
    <w:p>
      <w:pPr>
        <w:pStyle w:val="Heading3"/>
      </w:pPr>
      <w:r>
        <w:rPr>
          <w:color w:val="3730A3"/>
          <w:sz w:val="24"/>
        </w:rPr>
        <w:t>26.3 Escalade</w:t>
      </w:r>
    </w:p>
    <w:p>
      <w:r>
        <w:t>Niveaux d'escalade en cas de blocage :</w:t>
      </w:r>
    </w:p>
    <w:p>
      <w:r>
        <w:t xml:space="preserve">1. </w:t>
      </w:r>
      <w:r>
        <w:rPr>
          <w:b/>
        </w:rPr>
        <w:t>N1</w:t>
      </w:r>
      <w:r>
        <w:t xml:space="preserve"> : hotline standard</w:t>
      </w:r>
    </w:p>
    <w:p>
      <w:r>
        <w:t xml:space="preserve">2. </w:t>
      </w:r>
      <w:r>
        <w:rPr>
          <w:b/>
        </w:rPr>
        <w:t>N2</w:t>
      </w:r>
      <w:r>
        <w:t xml:space="preserve"> : technicien senior (après 1h sans résolution)</w:t>
      </w:r>
    </w:p>
    <w:p>
      <w:r>
        <w:t xml:space="preserve">3. </w:t>
      </w:r>
      <w:r>
        <w:rPr>
          <w:b/>
        </w:rPr>
        <w:t>N3</w:t>
      </w:r>
      <w:r>
        <w:t xml:space="preserve"> : architecte / éditeur (après 4h sans résolution)</w:t>
      </w:r>
    </w:p>
    <w:p>
      <w:r>
        <w:t xml:space="preserve">4. </w:t>
      </w:r>
      <w:r>
        <w:rPr>
          <w:b/>
        </w:rPr>
        <w:t>Direction</w:t>
      </w:r>
      <w:r>
        <w:t xml:space="preserve"> : direction technique ASTORYA (cas critiques uniquement)</w:t>
      </w:r>
    </w:p>
    <w:p>
      <w:pPr>
        <w:spacing w:before="80"/>
        <w:pBdr>
          <w:bottom w:val="single" w:sz="6" w:color="C0C7D2"/>
        </w:pBdr>
      </w:pPr>
    </w:p>
    <w:p>
      <w:pPr>
        <w:pStyle w:val="Heading1"/>
      </w:pPr>
      <w:r>
        <w:rPr>
          <w:color w:val="1F2942"/>
          <w:sz w:val="36"/>
        </w:rPr>
        <w:t>PARTIE IV — ANNEXES</w:t>
      </w:r>
    </w:p>
    <w:p>
      <w:pPr>
        <w:pStyle w:val="Heading2"/>
      </w:pPr>
      <w:r>
        <w:rPr>
          <w:color w:val="1F2942"/>
          <w:sz w:val="28"/>
        </w:rPr>
        <w:t>27. GLOSSAIRE MÉTIER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Terme</w:t>
            </w:r>
          </w:p>
        </w:tc>
        <w:tc>
          <w:tcPr>
            <w:tcW w:type="dxa" w:w="4986"/>
            <w:shd w:val="clear" w:color="auto" w:fill="EEF2FF"/>
          </w:tcPr>
          <w:p>
            <w:r>
              <w:rPr>
                <w:b/>
                <w:color w:val="1F2942"/>
                <w:sz w:val="18"/>
              </w:rPr>
              <w:t>Définition</w:t>
            </w:r>
          </w:p>
        </w:tc>
      </w:tr>
      <w:tr>
        <w:tc>
          <w:tcPr>
            <w:tcW w:type="dxa" w:w="4986"/>
          </w:tcPr>
          <w:p>
            <w:r>
              <w:rPr>
                <w:b/>
                <w:sz w:val="18"/>
              </w:rPr>
              <w:t>SPANCO</w:t>
            </w:r>
          </w:p>
        </w:tc>
        <w:tc>
          <w:tcPr>
            <w:tcW w:type="dxa" w:w="4986"/>
          </w:tcPr>
          <w:p>
            <w:r>
              <w:rPr>
                <w:sz w:val="18"/>
              </w:rPr>
              <w:t>Méthode commerciale en 5 étapes (Suspect, Prospect, Approche, Négociation, Conclusion, Ordre)</w:t>
            </w:r>
          </w:p>
        </w:tc>
      </w:tr>
      <w:tr>
        <w:tc>
          <w:tcPr>
            <w:tcW w:type="dxa" w:w="4986"/>
          </w:tcPr>
          <w:p>
            <w:r>
              <w:rPr>
                <w:b/>
                <w:sz w:val="18"/>
              </w:rPr>
              <w:t>TCV</w:t>
            </w:r>
          </w:p>
        </w:tc>
        <w:tc>
          <w:tcPr>
            <w:tcW w:type="dxa" w:w="4986"/>
          </w:tcPr>
          <w:p>
            <w:r>
              <w:rPr>
                <w:sz w:val="18"/>
              </w:rPr>
              <w:t>Total Contract Value : valeur totale d'un contrat sur sa durée d'engagement</w:t>
            </w:r>
          </w:p>
        </w:tc>
      </w:tr>
      <w:tr>
        <w:tc>
          <w:tcPr>
            <w:tcW w:type="dxa" w:w="4986"/>
          </w:tcPr>
          <w:p>
            <w:r>
              <w:rPr>
                <w:b/>
                <w:sz w:val="18"/>
              </w:rPr>
              <w:t>ARR</w:t>
            </w:r>
          </w:p>
        </w:tc>
        <w:tc>
          <w:tcPr>
            <w:tcW w:type="dxa" w:w="4986"/>
          </w:tcPr>
          <w:p>
            <w:r>
              <w:rPr>
                <w:sz w:val="18"/>
              </w:rPr>
              <w:t>Annual Recurring Revenue : chiffre d'affaires récurrent annuel</w:t>
            </w:r>
          </w:p>
        </w:tc>
      </w:tr>
      <w:tr>
        <w:tc>
          <w:tcPr>
            <w:tcW w:type="dxa" w:w="4986"/>
          </w:tcPr>
          <w:p>
            <w:r>
              <w:rPr>
                <w:b/>
                <w:sz w:val="18"/>
              </w:rPr>
              <w:t>MRR</w:t>
            </w:r>
          </w:p>
        </w:tc>
        <w:tc>
          <w:tcPr>
            <w:tcW w:type="dxa" w:w="4986"/>
          </w:tcPr>
          <w:p>
            <w:r>
              <w:rPr>
                <w:sz w:val="18"/>
              </w:rPr>
              <w:t>Monthly Recurring Revenue : chiffre d'affaires récurrent mensuel</w:t>
            </w:r>
          </w:p>
        </w:tc>
      </w:tr>
      <w:tr>
        <w:tc>
          <w:tcPr>
            <w:tcW w:type="dxa" w:w="4986"/>
          </w:tcPr>
          <w:p>
            <w:r>
              <w:rPr>
                <w:b/>
                <w:sz w:val="18"/>
              </w:rPr>
              <w:t>NPS</w:t>
            </w:r>
          </w:p>
        </w:tc>
        <w:tc>
          <w:tcPr>
            <w:tcW w:type="dxa" w:w="4986"/>
          </w:tcPr>
          <w:p>
            <w:r>
              <w:rPr>
                <w:sz w:val="18"/>
              </w:rPr>
              <w:t>Net Promoter Score : indicateur de recommandation client</w:t>
            </w:r>
          </w:p>
        </w:tc>
      </w:tr>
      <w:tr>
        <w:tc>
          <w:tcPr>
            <w:tcW w:type="dxa" w:w="4986"/>
          </w:tcPr>
          <w:p>
            <w:r>
              <w:rPr>
                <w:b/>
                <w:sz w:val="18"/>
              </w:rPr>
              <w:t>SLA</w:t>
            </w:r>
          </w:p>
        </w:tc>
        <w:tc>
          <w:tcPr>
            <w:tcW w:type="dxa" w:w="4986"/>
          </w:tcPr>
          <w:p>
            <w:r>
              <w:rPr>
                <w:sz w:val="18"/>
              </w:rPr>
              <w:t>Service Level Agreement : niveau de service contractuel</w:t>
            </w:r>
          </w:p>
        </w:tc>
      </w:tr>
      <w:tr>
        <w:tc>
          <w:tcPr>
            <w:tcW w:type="dxa" w:w="4986"/>
          </w:tcPr>
          <w:p>
            <w:r>
              <w:rPr>
                <w:b/>
                <w:sz w:val="18"/>
              </w:rPr>
              <w:t>TMA</w:t>
            </w:r>
          </w:p>
        </w:tc>
        <w:tc>
          <w:tcPr>
            <w:tcW w:type="dxa" w:w="4986"/>
          </w:tcPr>
          <w:p>
            <w:r>
              <w:rPr>
                <w:sz w:val="18"/>
              </w:rPr>
              <w:t>Tierce Maintenance Applicative : maintenance par un tiers</w:t>
            </w:r>
          </w:p>
        </w:tc>
      </w:tr>
      <w:tr>
        <w:tc>
          <w:tcPr>
            <w:tcW w:type="dxa" w:w="4986"/>
          </w:tcPr>
          <w:p>
            <w:r>
              <w:rPr>
                <w:b/>
                <w:sz w:val="18"/>
              </w:rPr>
              <w:t>PITR</w:t>
            </w:r>
          </w:p>
        </w:tc>
        <w:tc>
          <w:tcPr>
            <w:tcW w:type="dxa" w:w="4986"/>
          </w:tcPr>
          <w:p>
            <w:r>
              <w:rPr>
                <w:sz w:val="18"/>
              </w:rPr>
              <w:t>Point-In-Time Recovery : restauration à un instant T précis</w:t>
            </w:r>
          </w:p>
        </w:tc>
      </w:tr>
      <w:tr>
        <w:tc>
          <w:tcPr>
            <w:tcW w:type="dxa" w:w="4986"/>
          </w:tcPr>
          <w:p>
            <w:r>
              <w:rPr>
                <w:b/>
                <w:sz w:val="18"/>
              </w:rPr>
              <w:t>Air-gap</w:t>
            </w:r>
          </w:p>
        </w:tc>
        <w:tc>
          <w:tcPr>
            <w:tcW w:type="dxa" w:w="4986"/>
          </w:tcPr>
          <w:p>
            <w:r>
              <w:rPr>
                <w:sz w:val="18"/>
              </w:rPr>
              <w:t>Sauvegarde physiquement déconnectée d'internet</w:t>
            </w:r>
          </w:p>
        </w:tc>
      </w:tr>
      <w:tr>
        <w:tc>
          <w:tcPr>
            <w:tcW w:type="dxa" w:w="4986"/>
          </w:tcPr>
          <w:p>
            <w:r>
              <w:rPr>
                <w:b/>
                <w:sz w:val="18"/>
              </w:rPr>
              <w:t>RLS</w:t>
            </w:r>
          </w:p>
        </w:tc>
        <w:tc>
          <w:tcPr>
            <w:tcW w:type="dxa" w:w="4986"/>
          </w:tcPr>
          <w:p>
            <w:r>
              <w:rPr>
                <w:sz w:val="18"/>
              </w:rPr>
              <w:t>Row-Level Security : sécurité au niveau ligne en BDD</w:t>
            </w:r>
          </w:p>
        </w:tc>
      </w:tr>
      <w:tr>
        <w:tc>
          <w:tcPr>
            <w:tcW w:type="dxa" w:w="4986"/>
          </w:tcPr>
          <w:p>
            <w:r>
              <w:rPr>
                <w:b/>
                <w:sz w:val="18"/>
              </w:rPr>
              <w:t>DPA</w:t>
            </w:r>
          </w:p>
        </w:tc>
        <w:tc>
          <w:tcPr>
            <w:tcW w:type="dxa" w:w="4986"/>
          </w:tcPr>
          <w:p>
            <w:r>
              <w:rPr>
                <w:sz w:val="18"/>
              </w:rPr>
              <w:t>Data Processing Agreement : contrat de sous-traitance RGPD</w:t>
            </w:r>
          </w:p>
        </w:tc>
      </w:tr>
      <w:tr>
        <w:tc>
          <w:tcPr>
            <w:tcW w:type="dxa" w:w="4986"/>
          </w:tcPr>
          <w:p>
            <w:r>
              <w:rPr>
                <w:b/>
                <w:sz w:val="18"/>
              </w:rPr>
              <w:t>DORA</w:t>
            </w:r>
          </w:p>
        </w:tc>
        <w:tc>
          <w:tcPr>
            <w:tcW w:type="dxa" w:w="4986"/>
          </w:tcPr>
          <w:p>
            <w:r>
              <w:rPr>
                <w:sz w:val="18"/>
              </w:rPr>
              <w:t>Digital Operational Resilience Act : règlement européen résilience opérationnelle</w:t>
            </w:r>
          </w:p>
        </w:tc>
      </w:tr>
      <w:tr>
        <w:tc>
          <w:tcPr>
            <w:tcW w:type="dxa" w:w="4986"/>
          </w:tcPr>
          <w:p>
            <w:r>
              <w:rPr>
                <w:b/>
                <w:sz w:val="18"/>
              </w:rPr>
              <w:t>NIS2</w:t>
            </w:r>
          </w:p>
        </w:tc>
        <w:tc>
          <w:tcPr>
            <w:tcW w:type="dxa" w:w="4986"/>
          </w:tcPr>
          <w:p>
            <w:r>
              <w:rPr>
                <w:sz w:val="18"/>
              </w:rPr>
              <w:t>Directive cybersécurité européenne (2023)</w:t>
            </w:r>
          </w:p>
        </w:tc>
      </w:tr>
      <w:tr>
        <w:tc>
          <w:tcPr>
            <w:tcW w:type="dxa" w:w="4986"/>
          </w:tcPr>
          <w:p>
            <w:r>
              <w:rPr>
                <w:b/>
                <w:sz w:val="18"/>
              </w:rPr>
              <w:t>BODACC</w:t>
            </w:r>
          </w:p>
        </w:tc>
        <w:tc>
          <w:tcPr>
            <w:tcW w:type="dxa" w:w="4986"/>
          </w:tcPr>
          <w:p>
            <w:r>
              <w:rPr>
                <w:sz w:val="18"/>
              </w:rPr>
              <w:t>Bulletin Officiel des Annonces Civiles et Commerciales</w:t>
            </w:r>
          </w:p>
        </w:tc>
      </w:tr>
      <w:tr>
        <w:tc>
          <w:tcPr>
            <w:tcW w:type="dxa" w:w="4986"/>
          </w:tcPr>
          <w:p>
            <w:r>
              <w:rPr>
                <w:b/>
                <w:sz w:val="18"/>
              </w:rPr>
              <w:t>INPI</w:t>
            </w:r>
          </w:p>
        </w:tc>
        <w:tc>
          <w:tcPr>
            <w:tcW w:type="dxa" w:w="4986"/>
          </w:tcPr>
          <w:p>
            <w:r>
              <w:rPr>
                <w:sz w:val="18"/>
              </w:rPr>
              <w:t>Institut National de la Propriété Industrielle</w:t>
            </w:r>
          </w:p>
        </w:tc>
      </w:tr>
      <w:tr>
        <w:tc>
          <w:tcPr>
            <w:tcW w:type="dxa" w:w="4986"/>
          </w:tcPr>
          <w:p>
            <w:r>
              <w:rPr>
                <w:b/>
                <w:sz w:val="18"/>
              </w:rPr>
              <w:t>FEC</w:t>
            </w:r>
          </w:p>
        </w:tc>
        <w:tc>
          <w:tcPr>
            <w:tcW w:type="dxa" w:w="4986"/>
          </w:tcPr>
          <w:p>
            <w:r>
              <w:rPr>
                <w:sz w:val="18"/>
              </w:rPr>
              <w:t>Fichier des Écritures Comptables (norme française)</w:t>
            </w:r>
          </w:p>
        </w:tc>
      </w:tr>
      <w:tr>
        <w:tc>
          <w:tcPr>
            <w:tcW w:type="dxa" w:w="4986"/>
          </w:tcPr>
          <w:p>
            <w:r>
              <w:rPr>
                <w:b/>
                <w:sz w:val="18"/>
              </w:rPr>
              <w:t>eIDAS</w:t>
            </w:r>
          </w:p>
        </w:tc>
        <w:tc>
          <w:tcPr>
            <w:tcW w:type="dxa" w:w="4986"/>
          </w:tcPr>
          <w:p>
            <w:r>
              <w:rPr>
                <w:sz w:val="18"/>
              </w:rPr>
              <w:t>Règlement européen sur l'identité électronique et la signature</w:t>
            </w:r>
          </w:p>
        </w:tc>
      </w:tr>
      <w:tr>
        <w:tc>
          <w:tcPr>
            <w:tcW w:type="dxa" w:w="4986"/>
          </w:tcPr>
          <w:p>
            <w:r>
              <w:rPr>
                <w:b/>
                <w:sz w:val="18"/>
              </w:rPr>
              <w:t>OWA</w:t>
            </w:r>
          </w:p>
        </w:tc>
        <w:tc>
          <w:tcPr>
            <w:tcW w:type="dxa" w:w="4986"/>
          </w:tcPr>
          <w:p>
            <w:r>
              <w:rPr>
                <w:sz w:val="18"/>
              </w:rPr>
              <w:t>Outlook Web Access : version web d'Outlook</w:t>
            </w:r>
          </w:p>
        </w:tc>
      </w:tr>
    </w:tbl>
    <w:p/>
    <w:p>
      <w:pPr>
        <w:pStyle w:val="Heading2"/>
      </w:pPr>
      <w:r>
        <w:rPr>
          <w:color w:val="1F2942"/>
          <w:sz w:val="28"/>
        </w:rPr>
        <w:t>28. GRILLE TARIFAIRE DÉTAILLÉE</w:t>
      </w:r>
    </w:p>
    <w:p>
      <w:r>
        <w:t>Cf. section 2.3 et annexe 2 du Contrat de Services.</w:t>
      </w:r>
    </w:p>
    <w:p>
      <w:pPr>
        <w:pStyle w:val="Heading2"/>
      </w:pPr>
      <w:r>
        <w:rPr>
          <w:color w:val="1F2942"/>
          <w:sz w:val="28"/>
        </w:rPr>
        <w:t>29. PROCÉDURES OPÉRATIONNELLES</w:t>
      </w:r>
    </w:p>
    <w:p>
      <w:pPr>
        <w:pStyle w:val="Heading3"/>
      </w:pPr>
      <w:r>
        <w:rPr>
          <w:color w:val="3730A3"/>
          <w:sz w:val="24"/>
        </w:rPr>
        <w:t>29.1 Procédure de mise en service d'un nouveau client</w:t>
      </w:r>
    </w:p>
    <w:p>
      <w:r>
        <w:t>1. Création de la fiche client + contact principal</w:t>
      </w:r>
    </w:p>
    <w:p>
      <w:r>
        <w:t>2. Création du contrat (signature)</w:t>
      </w:r>
    </w:p>
    <w:p>
      <w:r>
        <w:t>3. Création des accès utilisateur</w:t>
      </w:r>
    </w:p>
    <w:p>
      <w:r>
        <w:t>4. Formation onboarding (1h en visio)</w:t>
      </w:r>
    </w:p>
    <w:p>
      <w:r>
        <w:t>5. Première facture émise</w:t>
      </w:r>
    </w:p>
    <w:p>
      <w:pPr>
        <w:pStyle w:val="Heading3"/>
      </w:pPr>
      <w:r>
        <w:rPr>
          <w:color w:val="3730A3"/>
          <w:sz w:val="24"/>
        </w:rPr>
        <w:t>29.2 Procédure de résiliation</w:t>
      </w:r>
    </w:p>
    <w:p>
      <w:r>
        <w:t>1. Préavis 90 jours</w:t>
      </w:r>
    </w:p>
    <w:p>
      <w:r>
        <w:t>2. Confirmation écrite</w:t>
      </w:r>
    </w:p>
    <w:p>
      <w:r>
        <w:t>3. Export complet des données (J+30)</w:t>
      </w:r>
    </w:p>
    <w:p>
      <w:r>
        <w:t>4. Suppression effective (J+60)</w:t>
      </w:r>
    </w:p>
    <w:p>
      <w:r>
        <w:t>5. Certificat de destruction (J+90)</w:t>
      </w:r>
    </w:p>
    <w:p>
      <w:pPr>
        <w:pStyle w:val="Heading3"/>
      </w:pPr>
      <w:r>
        <w:rPr>
          <w:color w:val="3730A3"/>
          <w:sz w:val="24"/>
        </w:rPr>
        <w:t>29.3 Procédure incident critique (P1)</w:t>
      </w:r>
    </w:p>
    <w:p>
      <w:r>
        <w:t>1. Détection (monitoring ou hotline)</w:t>
      </w:r>
    </w:p>
    <w:p>
      <w:r>
        <w:t>2. Acquittement &lt; 30 minutes</w:t>
      </w:r>
    </w:p>
    <w:p>
      <w:r>
        <w:t>3. Diagnostic initial &lt; 1h</w:t>
      </w:r>
    </w:p>
    <w:p>
      <w:r>
        <w:t>4. Communication client immédiate</w:t>
      </w:r>
    </w:p>
    <w:p>
      <w:r>
        <w:t>5. Résolution selon SLA</w:t>
      </w:r>
    </w:p>
    <w:p>
      <w:r>
        <w:t>6. Post-mortem dans les 48h</w:t>
      </w:r>
    </w:p>
    <w:p>
      <w:pPr>
        <w:pStyle w:val="Heading2"/>
      </w:pPr>
      <w:r>
        <w:rPr>
          <w:color w:val="1F2942"/>
          <w:sz w:val="28"/>
        </w:rPr>
        <w:t>30. FAQ UTILISATEURS</w:t>
      </w:r>
    </w:p>
    <w:p>
      <w:r>
        <w:rPr>
          <w:b/>
        </w:rPr>
        <w:t>Q : Comment changer mon mot de passe ?</w:t>
      </w:r>
    </w:p>
    <w:p>
      <w:r>
        <w:t>R : Menu utilisateur (en bas de la sidebar) → Profil → Mot de passe.</w:t>
      </w:r>
    </w:p>
    <w:p>
      <w:r>
        <w:rPr>
          <w:b/>
        </w:rPr>
        <w:t>Q : Je ne reçois pas les emails de relance.</w:t>
      </w:r>
    </w:p>
    <w:p>
      <w:r>
        <w:t xml:space="preserve">R : Vérifier dans </w:t>
      </w:r>
      <w:r>
        <w:rPr>
          <w:rFonts w:ascii="Consolas" w:hAnsi="Consolas"/>
          <w:sz w:val="18"/>
        </w:rPr>
        <w:t>/administration-utilisateurs</w:t>
      </w:r>
      <w:r>
        <w:t xml:space="preserve"> que votre email est correct et confirmé. Vérifier également les SPAM.</w:t>
      </w:r>
    </w:p>
    <w:p>
      <w:r>
        <w:rPr>
          <w:b/>
        </w:rPr>
        <w:t>Q : Mon devis n'apparaît pas en commande après transformation.</w:t>
      </w:r>
    </w:p>
    <w:p>
      <w:r>
        <w:t xml:space="preserve">R : Vérifier le statut du devis. Il doit être en </w:t>
      </w:r>
      <w:r>
        <w:rPr>
          <w:rFonts w:ascii="Consolas" w:hAnsi="Consolas"/>
          <w:sz w:val="18"/>
        </w:rPr>
        <w:t>Accepté</w:t>
      </w:r>
      <w:r>
        <w:t xml:space="preserve"> avant transformation. Si le bug persiste, contacter le support.</w:t>
      </w:r>
    </w:p>
    <w:p>
      <w:r>
        <w:rPr>
          <w:b/>
        </w:rPr>
        <w:t>Q : Comment exporter mes données pour les transmettre à mon expert-comptable ?</w:t>
      </w:r>
    </w:p>
    <w:p>
      <w:r>
        <w:t xml:space="preserve">R : Aller dans </w:t>
      </w:r>
      <w:r>
        <w:rPr>
          <w:rFonts w:ascii="Consolas" w:hAnsi="Consolas"/>
          <w:sz w:val="18"/>
        </w:rPr>
        <w:t>/comptabilite</w:t>
      </w:r>
      <w:r>
        <w:t xml:space="preserve"> → Exports → Choisir la période → Format FEC ou CSV.</w:t>
      </w:r>
    </w:p>
    <w:p>
      <w:r>
        <w:rPr>
          <w:b/>
        </w:rPr>
        <w:t>Q : L'historique d'un contact est-il consultable ?</w:t>
      </w:r>
    </w:p>
    <w:p>
      <w:r>
        <w:t>R : Oui, ouvrir la fiche client → onglet Historique → tous les événements liés à ce client.</w:t>
      </w:r>
    </w:p>
    <w:p>
      <w:pPr>
        <w:pStyle w:val="Heading2"/>
      </w:pPr>
      <w:r>
        <w:rPr>
          <w:color w:val="1F2942"/>
          <w:sz w:val="28"/>
        </w:rPr>
        <w:t>31. INDEX DES ROUTES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Route</w:t>
            </w:r>
          </w:p>
        </w:tc>
        <w:tc>
          <w:tcPr>
            <w:tcW w:type="dxa" w:w="4986"/>
            <w:shd w:val="clear" w:color="auto" w:fill="EEF2FF"/>
          </w:tcPr>
          <w:p>
            <w:r>
              <w:rPr>
                <w:b/>
                <w:color w:val="1F2942"/>
                <w:sz w:val="18"/>
              </w:rPr>
              <w:t>Module</w:t>
            </w:r>
          </w:p>
        </w:tc>
      </w:tr>
      <w:tr>
        <w:tc>
          <w:tcPr>
            <w:tcW w:type="dxa" w:w="4986"/>
          </w:tcPr>
          <w:p>
            <w:r>
              <w:rPr>
                <w:rFonts w:ascii="Consolas" w:hAnsi="Consolas"/>
                <w:sz w:val="18"/>
              </w:rPr>
              <w:t>/</w:t>
            </w:r>
            <w:r>
              <w:rPr>
                <w:sz w:val="18"/>
              </w:rPr>
              <w:t xml:space="preserve"> ou </w:t>
            </w:r>
            <w:r>
              <w:rPr>
                <w:rFonts w:ascii="Consolas" w:hAnsi="Consolas"/>
                <w:sz w:val="18"/>
              </w:rPr>
              <w:t>/accueil-simple</w:t>
            </w:r>
          </w:p>
        </w:tc>
        <w:tc>
          <w:tcPr>
            <w:tcW w:type="dxa" w:w="4986"/>
          </w:tcPr>
          <w:p>
            <w:r>
              <w:rPr>
                <w:sz w:val="18"/>
              </w:rPr>
              <w:t>Accueil ERP</w:t>
            </w:r>
          </w:p>
        </w:tc>
      </w:tr>
      <w:tr>
        <w:tc>
          <w:tcPr>
            <w:tcW w:type="dxa" w:w="4986"/>
          </w:tcPr>
          <w:p>
            <w:r>
              <w:rPr>
                <w:rFonts w:ascii="Consolas" w:hAnsi="Consolas"/>
                <w:sz w:val="18"/>
              </w:rPr>
              <w:t>/login</w:t>
            </w:r>
          </w:p>
        </w:tc>
        <w:tc>
          <w:tcPr>
            <w:tcW w:type="dxa" w:w="4986"/>
          </w:tcPr>
          <w:p>
            <w:r>
              <w:rPr>
                <w:sz w:val="18"/>
              </w:rPr>
              <w:t>Connexion</w:t>
            </w:r>
          </w:p>
        </w:tc>
      </w:tr>
      <w:tr>
        <w:tc>
          <w:tcPr>
            <w:tcW w:type="dxa" w:w="4986"/>
          </w:tcPr>
          <w:p>
            <w:r>
              <w:rPr>
                <w:rFonts w:ascii="Consolas" w:hAnsi="Consolas"/>
                <w:sz w:val="18"/>
              </w:rPr>
              <w:t>/crm</w:t>
            </w:r>
          </w:p>
        </w:tc>
        <w:tc>
          <w:tcPr>
            <w:tcW w:type="dxa" w:w="4986"/>
          </w:tcPr>
          <w:p>
            <w:r>
              <w:rPr>
                <w:sz w:val="18"/>
              </w:rPr>
              <w:t>CRM Pipeline</w:t>
            </w:r>
          </w:p>
        </w:tc>
      </w:tr>
      <w:tr>
        <w:tc>
          <w:tcPr>
            <w:tcW w:type="dxa" w:w="4986"/>
          </w:tcPr>
          <w:p>
            <w:r>
              <w:rPr>
                <w:rFonts w:ascii="Consolas" w:hAnsi="Consolas"/>
                <w:sz w:val="18"/>
              </w:rPr>
              <w:t>/planning-commercial</w:t>
            </w:r>
          </w:p>
        </w:tc>
        <w:tc>
          <w:tcPr>
            <w:tcW w:type="dxa" w:w="4986"/>
          </w:tcPr>
          <w:p>
            <w:r>
              <w:rPr>
                <w:sz w:val="18"/>
              </w:rPr>
              <w:t>Planning calendrier</w:t>
            </w:r>
          </w:p>
        </w:tc>
      </w:tr>
      <w:tr>
        <w:tc>
          <w:tcPr>
            <w:tcW w:type="dxa" w:w="4986"/>
          </w:tcPr>
          <w:p>
            <w:r>
              <w:rPr>
                <w:rFonts w:ascii="Consolas" w:hAnsi="Consolas"/>
                <w:sz w:val="18"/>
              </w:rPr>
              <w:t>/nouveau-prospect</w:t>
            </w:r>
          </w:p>
        </w:tc>
        <w:tc>
          <w:tcPr>
            <w:tcW w:type="dxa" w:w="4986"/>
          </w:tcPr>
          <w:p>
            <w:r>
              <w:rPr>
                <w:sz w:val="18"/>
              </w:rPr>
              <w:t>Création prospect</w:t>
            </w:r>
          </w:p>
        </w:tc>
      </w:tr>
      <w:tr>
        <w:tc>
          <w:tcPr>
            <w:tcW w:type="dxa" w:w="4986"/>
          </w:tcPr>
          <w:p>
            <w:r>
              <w:rPr>
                <w:rFonts w:ascii="Consolas" w:hAnsi="Consolas"/>
                <w:sz w:val="18"/>
              </w:rPr>
              <w:t>/nouvelle-opportunite</w:t>
            </w:r>
          </w:p>
        </w:tc>
        <w:tc>
          <w:tcPr>
            <w:tcW w:type="dxa" w:w="4986"/>
          </w:tcPr>
          <w:p>
            <w:r>
              <w:rPr>
                <w:sz w:val="18"/>
              </w:rPr>
              <w:t>Création opportunité</w:t>
            </w:r>
          </w:p>
        </w:tc>
      </w:tr>
      <w:tr>
        <w:tc>
          <w:tcPr>
            <w:tcW w:type="dxa" w:w="4986"/>
          </w:tcPr>
          <w:p>
            <w:r>
              <w:rPr>
                <w:rFonts w:ascii="Consolas" w:hAnsi="Consolas"/>
                <w:sz w:val="18"/>
              </w:rPr>
              <w:t>/avancer-opportunite?opp=...</w:t>
            </w:r>
          </w:p>
        </w:tc>
        <w:tc>
          <w:tcPr>
            <w:tcW w:type="dxa" w:w="4986"/>
          </w:tcPr>
          <w:p>
            <w:r>
              <w:rPr>
                <w:sz w:val="18"/>
              </w:rPr>
              <w:t>Workflow SPANCO</w:t>
            </w:r>
          </w:p>
        </w:tc>
      </w:tr>
      <w:tr>
        <w:tc>
          <w:tcPr>
            <w:tcW w:type="dxa" w:w="4986"/>
          </w:tcPr>
          <w:p>
            <w:r>
              <w:rPr>
                <w:rFonts w:ascii="Consolas" w:hAnsi="Consolas"/>
                <w:sz w:val="18"/>
              </w:rPr>
              <w:t>/fiche-client?id=...</w:t>
            </w:r>
          </w:p>
        </w:tc>
        <w:tc>
          <w:tcPr>
            <w:tcW w:type="dxa" w:w="4986"/>
          </w:tcPr>
          <w:p>
            <w:r>
              <w:rPr>
                <w:sz w:val="18"/>
              </w:rPr>
              <w:t>Fiche client détaillée</w:t>
            </w:r>
          </w:p>
        </w:tc>
      </w:tr>
      <w:tr>
        <w:tc>
          <w:tcPr>
            <w:tcW w:type="dxa" w:w="4986"/>
          </w:tcPr>
          <w:p>
            <w:r>
              <w:rPr>
                <w:rFonts w:ascii="Consolas" w:hAnsi="Consolas"/>
                <w:sz w:val="18"/>
              </w:rPr>
              <w:t>/gestion-commerciale</w:t>
            </w:r>
          </w:p>
        </w:tc>
        <w:tc>
          <w:tcPr>
            <w:tcW w:type="dxa" w:w="4986"/>
          </w:tcPr>
          <w:p>
            <w:r>
              <w:rPr>
                <w:sz w:val="18"/>
              </w:rPr>
              <w:t>Devis / commandes / BL / factures</w:t>
            </w:r>
          </w:p>
        </w:tc>
      </w:tr>
      <w:tr>
        <w:tc>
          <w:tcPr>
            <w:tcW w:type="dxa" w:w="4986"/>
          </w:tcPr>
          <w:p>
            <w:r>
              <w:rPr>
                <w:rFonts w:ascii="Consolas" w:hAnsi="Consolas"/>
                <w:sz w:val="18"/>
              </w:rPr>
              <w:t>/gestion-commerciale-admin</w:t>
            </w:r>
          </w:p>
        </w:tc>
        <w:tc>
          <w:tcPr>
            <w:tcW w:type="dxa" w:w="4986"/>
          </w:tcPr>
          <w:p>
            <w:r>
              <w:rPr>
                <w:sz w:val="18"/>
              </w:rPr>
              <w:t>Catalogue articles</w:t>
            </w:r>
          </w:p>
        </w:tc>
      </w:tr>
      <w:tr>
        <w:tc>
          <w:tcPr>
            <w:tcW w:type="dxa" w:w="4986"/>
          </w:tcPr>
          <w:p>
            <w:r>
              <w:rPr>
                <w:rFonts w:ascii="Consolas" w:hAnsi="Consolas"/>
                <w:sz w:val="18"/>
              </w:rPr>
              <w:t>/nouveau-contrat</w:t>
            </w:r>
          </w:p>
        </w:tc>
        <w:tc>
          <w:tcPr>
            <w:tcW w:type="dxa" w:w="4986"/>
          </w:tcPr>
          <w:p>
            <w:r>
              <w:rPr>
                <w:sz w:val="18"/>
              </w:rPr>
              <w:t>Création contrat</w:t>
            </w:r>
          </w:p>
        </w:tc>
      </w:tr>
      <w:tr>
        <w:tc>
          <w:tcPr>
            <w:tcW w:type="dxa" w:w="4986"/>
          </w:tcPr>
          <w:p>
            <w:r>
              <w:rPr>
                <w:rFonts w:ascii="Consolas" w:hAnsi="Consolas"/>
                <w:sz w:val="18"/>
              </w:rPr>
              <w:t>/ticketing</w:t>
            </w:r>
          </w:p>
        </w:tc>
        <w:tc>
          <w:tcPr>
            <w:tcW w:type="dxa" w:w="4986"/>
          </w:tcPr>
          <w:p>
            <w:r>
              <w:rPr>
                <w:sz w:val="18"/>
              </w:rPr>
              <w:t>Tickets support</w:t>
            </w:r>
          </w:p>
        </w:tc>
      </w:tr>
      <w:tr>
        <w:tc>
          <w:tcPr>
            <w:tcW w:type="dxa" w:w="4986"/>
          </w:tcPr>
          <w:p>
            <w:r>
              <w:rPr>
                <w:rFonts w:ascii="Consolas" w:hAnsi="Consolas"/>
                <w:sz w:val="18"/>
              </w:rPr>
              <w:t>/projets</w:t>
            </w:r>
          </w:p>
        </w:tc>
        <w:tc>
          <w:tcPr>
            <w:tcW w:type="dxa" w:w="4986"/>
          </w:tcPr>
          <w:p>
            <w:r>
              <w:rPr>
                <w:sz w:val="18"/>
              </w:rPr>
              <w:t>Liste projets</w:t>
            </w:r>
          </w:p>
        </w:tc>
      </w:tr>
      <w:tr>
        <w:tc>
          <w:tcPr>
            <w:tcW w:type="dxa" w:w="4986"/>
          </w:tcPr>
          <w:p>
            <w:r>
              <w:rPr>
                <w:rFonts w:ascii="Consolas" w:hAnsi="Consolas"/>
                <w:sz w:val="18"/>
              </w:rPr>
              <w:t>/projets-tableau</w:t>
            </w:r>
          </w:p>
        </w:tc>
        <w:tc>
          <w:tcPr>
            <w:tcW w:type="dxa" w:w="4986"/>
          </w:tcPr>
          <w:p>
            <w:r>
              <w:rPr>
                <w:sz w:val="18"/>
              </w:rPr>
              <w:t>Vue tableau</w:t>
            </w:r>
          </w:p>
        </w:tc>
      </w:tr>
      <w:tr>
        <w:tc>
          <w:tcPr>
            <w:tcW w:type="dxa" w:w="4986"/>
          </w:tcPr>
          <w:p>
            <w:r>
              <w:rPr>
                <w:rFonts w:ascii="Consolas" w:hAnsi="Consolas"/>
                <w:sz w:val="18"/>
              </w:rPr>
              <w:t>/projets-kanban</w:t>
            </w:r>
          </w:p>
        </w:tc>
        <w:tc>
          <w:tcPr>
            <w:tcW w:type="dxa" w:w="4986"/>
          </w:tcPr>
          <w:p>
            <w:r>
              <w:rPr>
                <w:sz w:val="18"/>
              </w:rPr>
              <w:t>Vue kanban</w:t>
            </w:r>
          </w:p>
        </w:tc>
      </w:tr>
      <w:tr>
        <w:tc>
          <w:tcPr>
            <w:tcW w:type="dxa" w:w="4986"/>
          </w:tcPr>
          <w:p>
            <w:r>
              <w:rPr>
                <w:rFonts w:ascii="Consolas" w:hAnsi="Consolas"/>
                <w:sz w:val="18"/>
              </w:rPr>
              <w:t>/projets-calendrier</w:t>
            </w:r>
          </w:p>
        </w:tc>
        <w:tc>
          <w:tcPr>
            <w:tcW w:type="dxa" w:w="4986"/>
          </w:tcPr>
          <w:p>
            <w:r>
              <w:rPr>
                <w:sz w:val="18"/>
              </w:rPr>
              <w:t>Vue calendrier</w:t>
            </w:r>
          </w:p>
        </w:tc>
      </w:tr>
      <w:tr>
        <w:tc>
          <w:tcPr>
            <w:tcW w:type="dxa" w:w="4986"/>
          </w:tcPr>
          <w:p>
            <w:r>
              <w:rPr>
                <w:rFonts w:ascii="Consolas" w:hAnsi="Consolas"/>
                <w:sz w:val="18"/>
              </w:rPr>
              <w:t>/projets-gantt</w:t>
            </w:r>
          </w:p>
        </w:tc>
        <w:tc>
          <w:tcPr>
            <w:tcW w:type="dxa" w:w="4986"/>
          </w:tcPr>
          <w:p>
            <w:r>
              <w:rPr>
                <w:sz w:val="18"/>
              </w:rPr>
              <w:t>Diagramme Gantt</w:t>
            </w:r>
          </w:p>
        </w:tc>
      </w:tr>
      <w:tr>
        <w:tc>
          <w:tcPr>
            <w:tcW w:type="dxa" w:w="4986"/>
          </w:tcPr>
          <w:p>
            <w:r>
              <w:rPr>
                <w:rFonts w:ascii="Consolas" w:hAnsi="Consolas"/>
                <w:sz w:val="18"/>
              </w:rPr>
              <w:t>/temps-activites</w:t>
            </w:r>
          </w:p>
        </w:tc>
        <w:tc>
          <w:tcPr>
            <w:tcW w:type="dxa" w:w="4986"/>
          </w:tcPr>
          <w:p>
            <w:r>
              <w:rPr>
                <w:sz w:val="18"/>
              </w:rPr>
              <w:t>Saisie temps</w:t>
            </w:r>
          </w:p>
        </w:tc>
      </w:tr>
      <w:tr>
        <w:tc>
          <w:tcPr>
            <w:tcW w:type="dxa" w:w="4986"/>
          </w:tcPr>
          <w:p>
            <w:r>
              <w:rPr>
                <w:rFonts w:ascii="Consolas" w:hAnsi="Consolas"/>
                <w:sz w:val="18"/>
              </w:rPr>
              <w:t>/stock</w:t>
            </w:r>
          </w:p>
        </w:tc>
        <w:tc>
          <w:tcPr>
            <w:tcW w:type="dxa" w:w="4986"/>
          </w:tcPr>
          <w:p>
            <w:r>
              <w:rPr>
                <w:sz w:val="18"/>
              </w:rPr>
              <w:t>Inventaire</w:t>
            </w:r>
          </w:p>
        </w:tc>
      </w:tr>
      <w:tr>
        <w:tc>
          <w:tcPr>
            <w:tcW w:type="dxa" w:w="4986"/>
          </w:tcPr>
          <w:p>
            <w:r>
              <w:rPr>
                <w:rFonts w:ascii="Consolas" w:hAnsi="Consolas"/>
                <w:sz w:val="18"/>
              </w:rPr>
              <w:t>/facturation</w:t>
            </w:r>
          </w:p>
        </w:tc>
        <w:tc>
          <w:tcPr>
            <w:tcW w:type="dxa" w:w="4986"/>
          </w:tcPr>
          <w:p>
            <w:r>
              <w:rPr>
                <w:sz w:val="18"/>
              </w:rPr>
              <w:t>Factures</w:t>
            </w:r>
          </w:p>
        </w:tc>
      </w:tr>
      <w:tr>
        <w:tc>
          <w:tcPr>
            <w:tcW w:type="dxa" w:w="4986"/>
          </w:tcPr>
          <w:p>
            <w:r>
              <w:rPr>
                <w:rFonts w:ascii="Consolas" w:hAnsi="Consolas"/>
                <w:sz w:val="18"/>
              </w:rPr>
              <w:t>/comptabilite</w:t>
            </w:r>
          </w:p>
        </w:tc>
        <w:tc>
          <w:tcPr>
            <w:tcW w:type="dxa" w:w="4986"/>
          </w:tcPr>
          <w:p>
            <w:r>
              <w:rPr>
                <w:sz w:val="18"/>
              </w:rPr>
              <w:t>Comptabilité</w:t>
            </w:r>
          </w:p>
        </w:tc>
      </w:tr>
      <w:tr>
        <w:tc>
          <w:tcPr>
            <w:tcW w:type="dxa" w:w="4986"/>
          </w:tcPr>
          <w:p>
            <w:r>
              <w:rPr>
                <w:rFonts w:ascii="Consolas" w:hAnsi="Consolas"/>
                <w:sz w:val="18"/>
              </w:rPr>
              <w:t>/tresorerie</w:t>
            </w:r>
          </w:p>
        </w:tc>
        <w:tc>
          <w:tcPr>
            <w:tcW w:type="dxa" w:w="4986"/>
          </w:tcPr>
          <w:p>
            <w:r>
              <w:rPr>
                <w:sz w:val="18"/>
              </w:rPr>
              <w:t>Trésorerie</w:t>
            </w:r>
          </w:p>
        </w:tc>
      </w:tr>
      <w:tr>
        <w:tc>
          <w:tcPr>
            <w:tcW w:type="dxa" w:w="4986"/>
          </w:tcPr>
          <w:p>
            <w:r>
              <w:rPr>
                <w:rFonts w:ascii="Consolas" w:hAnsi="Consolas"/>
                <w:sz w:val="18"/>
              </w:rPr>
              <w:t>/marketing</w:t>
            </w:r>
          </w:p>
        </w:tc>
        <w:tc>
          <w:tcPr>
            <w:tcW w:type="dxa" w:w="4986"/>
          </w:tcPr>
          <w:p>
            <w:r>
              <w:rPr>
                <w:sz w:val="18"/>
              </w:rPr>
              <w:t>Marketing</w:t>
            </w:r>
          </w:p>
        </w:tc>
      </w:tr>
      <w:tr>
        <w:tc>
          <w:tcPr>
            <w:tcW w:type="dxa" w:w="4986"/>
          </w:tcPr>
          <w:p>
            <w:r>
              <w:rPr>
                <w:rFonts w:ascii="Consolas" w:hAnsi="Consolas"/>
                <w:sz w:val="18"/>
              </w:rPr>
              <w:t>/intelligence-concurrentielle</w:t>
            </w:r>
          </w:p>
        </w:tc>
        <w:tc>
          <w:tcPr>
            <w:tcW w:type="dxa" w:w="4986"/>
          </w:tcPr>
          <w:p>
            <w:r>
              <w:rPr>
                <w:sz w:val="18"/>
              </w:rPr>
              <w:t>Veille</w:t>
            </w:r>
          </w:p>
        </w:tc>
      </w:tr>
      <w:tr>
        <w:tc>
          <w:tcPr>
            <w:tcW w:type="dxa" w:w="4986"/>
          </w:tcPr>
          <w:p>
            <w:r>
              <w:rPr>
                <w:rFonts w:ascii="Consolas" w:hAnsi="Consolas"/>
                <w:sz w:val="18"/>
              </w:rPr>
              <w:t>/fins-contrats-concurrents</w:t>
            </w:r>
          </w:p>
        </w:tc>
        <w:tc>
          <w:tcPr>
            <w:tcW w:type="dxa" w:w="4986"/>
          </w:tcPr>
          <w:p>
            <w:r>
              <w:rPr>
                <w:sz w:val="18"/>
              </w:rPr>
              <w:t>Reconquête</w:t>
            </w:r>
          </w:p>
        </w:tc>
      </w:tr>
      <w:tr>
        <w:tc>
          <w:tcPr>
            <w:tcW w:type="dxa" w:w="4986"/>
          </w:tcPr>
          <w:p>
            <w:r>
              <w:rPr>
                <w:rFonts w:ascii="Consolas" w:hAnsi="Consolas"/>
                <w:sz w:val="18"/>
              </w:rPr>
              <w:t>/ressources-humaines</w:t>
            </w:r>
          </w:p>
        </w:tc>
        <w:tc>
          <w:tcPr>
            <w:tcW w:type="dxa" w:w="4986"/>
          </w:tcPr>
          <w:p>
            <w:r>
              <w:rPr>
                <w:sz w:val="18"/>
              </w:rPr>
              <w:t>RH</w:t>
            </w:r>
          </w:p>
        </w:tc>
      </w:tr>
      <w:tr>
        <w:tc>
          <w:tcPr>
            <w:tcW w:type="dxa" w:w="4986"/>
          </w:tcPr>
          <w:p>
            <w:r>
              <w:rPr>
                <w:rFonts w:ascii="Consolas" w:hAnsi="Consolas"/>
                <w:sz w:val="18"/>
              </w:rPr>
              <w:t>/equipe-commerciale</w:t>
            </w:r>
          </w:p>
        </w:tc>
        <w:tc>
          <w:tcPr>
            <w:tcW w:type="dxa" w:w="4986"/>
          </w:tcPr>
          <w:p>
            <w:r>
              <w:rPr>
                <w:sz w:val="18"/>
              </w:rPr>
              <w:t>KPI commerciaux</w:t>
            </w:r>
          </w:p>
        </w:tc>
      </w:tr>
      <w:tr>
        <w:tc>
          <w:tcPr>
            <w:tcW w:type="dxa" w:w="4986"/>
          </w:tcPr>
          <w:p>
            <w:r>
              <w:rPr>
                <w:rFonts w:ascii="Consolas" w:hAnsi="Consolas"/>
                <w:sz w:val="18"/>
              </w:rPr>
              <w:t>/rapports</w:t>
            </w:r>
          </w:p>
        </w:tc>
        <w:tc>
          <w:tcPr>
            <w:tcW w:type="dxa" w:w="4986"/>
          </w:tcPr>
          <w:p>
            <w:r>
              <w:rPr>
                <w:sz w:val="18"/>
              </w:rPr>
              <w:t>Reporting</w:t>
            </w:r>
          </w:p>
        </w:tc>
      </w:tr>
      <w:tr>
        <w:tc>
          <w:tcPr>
            <w:tcW w:type="dxa" w:w="4986"/>
          </w:tcPr>
          <w:p>
            <w:r>
              <w:rPr>
                <w:rFonts w:ascii="Consolas" w:hAnsi="Consolas"/>
                <w:sz w:val="18"/>
              </w:rPr>
              <w:t>/administration-utilisateurs</w:t>
            </w:r>
          </w:p>
        </w:tc>
        <w:tc>
          <w:tcPr>
            <w:tcW w:type="dxa" w:w="4986"/>
          </w:tcPr>
          <w:p>
            <w:r>
              <w:rPr>
                <w:sz w:val="18"/>
              </w:rPr>
              <w:t>Admin users</w:t>
            </w:r>
          </w:p>
        </w:tc>
      </w:tr>
      <w:tr>
        <w:tc>
          <w:tcPr>
            <w:tcW w:type="dxa" w:w="4986"/>
          </w:tcPr>
          <w:p>
            <w:r>
              <w:rPr>
                <w:rFonts w:ascii="Consolas" w:hAnsi="Consolas"/>
                <w:sz w:val="18"/>
              </w:rPr>
              <w:t>/administration-contrats-mapping</w:t>
            </w:r>
          </w:p>
        </w:tc>
        <w:tc>
          <w:tcPr>
            <w:tcW w:type="dxa" w:w="4986"/>
          </w:tcPr>
          <w:p>
            <w:r>
              <w:rPr>
                <w:sz w:val="18"/>
              </w:rPr>
              <w:t>Admin mapping contrats</w:t>
            </w:r>
          </w:p>
        </w:tc>
      </w:tr>
    </w:tbl>
    <w:p/>
    <w:p>
      <w:pPr>
        <w:spacing w:before="80"/>
        <w:pBdr>
          <w:bottom w:val="single" w:sz="6" w:color="C0C7D2"/>
        </w:pBdr>
      </w:pPr>
    </w:p>
    <w:p>
      <w:r>
        <w:rPr>
          <w:b/>
        </w:rPr>
        <w:t>Fin de la documentation</w:t>
      </w:r>
    </w:p>
    <w:p>
      <w:r>
        <w:t>Pour toute question ou suggestion d'amélioration de ce document, contacter contact@astorya.fr.</w:t>
      </w:r>
    </w:p>
    <w:p>
      <w:r>
        <w:t>Version 2026.06 — Document interne ASTORYA SGI — Reproduction interdite sans autorisation.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