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2942"/>
          <w:sz w:val="36"/>
        </w:rPr>
        <w:t>HUB ASTORYA — DOCUMENTATION COMPLÈTE</w:t>
      </w:r>
    </w:p>
    <w:p>
      <w:r>
        <w:rPr>
          <w:b/>
        </w:rPr>
        <w:t>Version</w:t>
      </w:r>
      <w:r>
        <w:t xml:space="preserve"> : 2026.06</w:t>
      </w:r>
    </w:p>
    <w:p>
      <w:r>
        <w:rPr>
          <w:b/>
        </w:rPr>
        <w:t>Éditeur</w:t>
      </w:r>
      <w:r>
        <w:t xml:space="preserve"> : ASTORYA SGI — 9 rue du Petit Châtelier, 44300 Nantes — SIRET 523 625 804 00027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TABLE DES MATIÈRES</w:t>
      </w:r>
    </w:p>
    <w:p>
      <w:r>
        <w:t>1. Présentation générale</w:t>
      </w:r>
    </w:p>
    <w:p>
      <w:r>
        <w:t>2. Architecture technique</w:t>
      </w:r>
    </w:p>
    <w:p>
      <w:r>
        <w:t>3. Authentification et accès</w:t>
      </w:r>
    </w:p>
    <w:p>
      <w:r>
        <w:t>4. Navigation et structure</w:t>
      </w:r>
    </w:p>
    <w:p>
      <w:r>
        <w:t>5. CRM — Module commercial</w:t>
      </w:r>
    </w:p>
    <w:p>
      <w:r>
        <w:t>6. Workflow d'opportunité SPANCO</w:t>
      </w:r>
    </w:p>
    <w:p>
      <w:r>
        <w:t>7. Gestion commerciale (Devis → Commande → BL → Facture)</w:t>
      </w:r>
    </w:p>
    <w:p>
      <w:r>
        <w:t>8. Contrats et signature électronique</w:t>
      </w:r>
    </w:p>
    <w:p>
      <w:r>
        <w:t>9. Planning commercial</w:t>
      </w:r>
    </w:p>
    <w:p>
      <w:r>
        <w:t>10. Tickets et hotline</w:t>
      </w:r>
    </w:p>
    <w:p>
      <w:r>
        <w:t>11. Projets et livrables</w:t>
      </w:r>
    </w:p>
    <w:p>
      <w:r>
        <w:t>12. Temps et activités</w:t>
      </w:r>
    </w:p>
    <w:p>
      <w:r>
        <w:t>13. Stock et catalogue</w:t>
      </w:r>
    </w:p>
    <w:p>
      <w:r>
        <w:t>14. Comptabilité et trésorerie</w:t>
      </w:r>
    </w:p>
    <w:p>
      <w:r>
        <w:t>15. Marketing et intelligence concurrentielle</w:t>
      </w:r>
    </w:p>
    <w:p>
      <w:r>
        <w:t>16. Ressources humaines</w:t>
      </w:r>
    </w:p>
    <w:p>
      <w:r>
        <w:t>17. Administration et paramétrage</w:t>
      </w:r>
    </w:p>
    <w:p>
      <w:r>
        <w:t>18. Sécurité et RGPD</w:t>
      </w:r>
    </w:p>
    <w:p>
      <w:r>
        <w:t>19. Sauvegarde et réversibilité</w:t>
      </w:r>
    </w:p>
    <w:p>
      <w:r>
        <w:t>20. Support et maintenance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1. PRÉSENTATION GÉNÉRALE</w:t>
      </w:r>
    </w:p>
    <w:p>
      <w:r>
        <w:rPr>
          <w:b/>
        </w:rPr>
        <w:t>Hub Astorya</w:t>
      </w:r>
      <w:r>
        <w:t xml:space="preserve"> est une suite CRM/ERP web complète destinée aux PME du secteur des services informatiques. Conçue par ASTORYA SGI pour ses propres besoins puis ouverte à ses clients sous forme de </w:t>
      </w:r>
      <w:r>
        <w:rPr>
          <w:b/>
        </w:rPr>
        <w:t>mise à disposition gratuite</w:t>
      </w:r>
      <w:r>
        <w:t>, la plateforme couvre l'intégralité du cycle commercial : prospection, opportunités, devis, contrats, facturation, projets, support et pilotage.</w:t>
      </w:r>
    </w:p>
    <w:p>
      <w:pPr>
        <w:pStyle w:val="Heading3"/>
      </w:pPr>
      <w:r>
        <w:rPr>
          <w:color w:val="3730A3"/>
          <w:sz w:val="24"/>
        </w:rPr>
        <w:t>Public cible</w:t>
      </w:r>
    </w:p>
    <w:p>
      <w:pPr>
        <w:pStyle w:val="ListBullet"/>
      </w:pPr>
      <w:r>
        <w:t>Gérants et dirigeants de PME (vue 360° du business)</w:t>
      </w:r>
    </w:p>
    <w:p>
      <w:pPr>
        <w:pStyle w:val="ListBullet"/>
      </w:pPr>
      <w:r>
        <w:t>Équipes commerciales (pipeline, devis, signatures)</w:t>
      </w:r>
    </w:p>
    <w:p>
      <w:pPr>
        <w:pStyle w:val="ListBullet"/>
      </w:pPr>
      <w:r>
        <w:t>Techniciens et support (tickets, hotline 3CX)</w:t>
      </w:r>
    </w:p>
    <w:p>
      <w:pPr>
        <w:pStyle w:val="ListBullet"/>
      </w:pPr>
      <w:r>
        <w:t>Comptables (facturation, trésorerie)</w:t>
      </w:r>
    </w:p>
    <w:p>
      <w:pPr>
        <w:pStyle w:val="ListBullet"/>
      </w:pPr>
      <w:r>
        <w:t>Administrateurs IT (catalogue, utilisateurs, paramètres)</w:t>
      </w:r>
    </w:p>
    <w:p>
      <w:pPr>
        <w:pStyle w:val="Heading3"/>
      </w:pPr>
      <w:r>
        <w:rPr>
          <w:color w:val="3730A3"/>
          <w:sz w:val="24"/>
        </w:rPr>
        <w:t>Modèle de distribution</w:t>
      </w:r>
    </w:p>
    <w:p>
      <w:r>
        <w:t xml:space="preserve">Le logiciel est </w:t>
      </w:r>
      <w:r>
        <w:rPr>
          <w:b/>
        </w:rPr>
        <w:t>fourni gratuitement</w:t>
      </w:r>
      <w:r>
        <w:t xml:space="preserve">. L'hébergement, la gestion BDD, les certificats SSL, les sauvegardes et la maintenance sont facturés via un </w:t>
      </w:r>
      <w:r>
        <w:rPr>
          <w:b/>
        </w:rPr>
        <w:t>Contrat de Services</w:t>
      </w:r>
      <w:r>
        <w:t xml:space="preserve"> distinct (3 formules : Essentiel 49–89 €/mois, Business 129–199 €/mois, Premium 290–450 €/mois).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2. ARCHITECTURE TECHNIQUE</w:t>
      </w:r>
    </w:p>
    <w:p>
      <w:pPr>
        <w:pStyle w:val="Heading3"/>
      </w:pPr>
      <w:r>
        <w:rPr>
          <w:color w:val="3730A3"/>
          <w:sz w:val="24"/>
        </w:rPr>
        <w:t>Stack</w:t>
      </w:r>
    </w:p>
    <w:p>
      <w:pPr>
        <w:pStyle w:val="ListBullet"/>
      </w:pPr>
      <w:r>
        <w:rPr>
          <w:b/>
        </w:rPr>
        <w:t>Front-end</w:t>
      </w:r>
      <w:r>
        <w:t xml:space="preserve"> : React 18 UMD avec JSX pré-compilé (Babel hors-ligne), distribution </w:t>
      </w:r>
      <w:r>
        <w:rPr>
          <w:rFonts w:ascii="Consolas" w:hAnsi="Consolas"/>
          <w:sz w:val="18"/>
        </w:rPr>
        <w:t>dist/components/*.js</w:t>
      </w:r>
    </w:p>
    <w:p>
      <w:pPr>
        <w:pStyle w:val="ListBullet"/>
      </w:pPr>
      <w:r>
        <w:rPr>
          <w:b/>
        </w:rPr>
        <w:t>Back-end</w:t>
      </w:r>
      <w:r>
        <w:t xml:space="preserve"> : Supabase (PostgreSQL + RLS + Storage + Auth + Realtime)</w:t>
      </w:r>
    </w:p>
    <w:p>
      <w:pPr>
        <w:pStyle w:val="ListBullet"/>
      </w:pPr>
      <w:r>
        <w:rPr>
          <w:b/>
        </w:rPr>
        <w:t>Hébergement</w:t>
      </w:r>
      <w:r>
        <w:t xml:space="preserve"> : Vercel (CDN Edge + déploiement Git)</w:t>
      </w:r>
    </w:p>
    <w:p>
      <w:pPr>
        <w:pStyle w:val="ListBullet"/>
      </w:pPr>
      <w:r>
        <w:rPr>
          <w:b/>
        </w:rPr>
        <w:t>PDF</w:t>
      </w:r>
      <w:r>
        <w:t xml:space="preserve"> : pdfmake (UMD CDN, polices Roboto)</w:t>
      </w:r>
    </w:p>
    <w:p>
      <w:pPr>
        <w:pStyle w:val="ListBullet"/>
      </w:pPr>
      <w:r>
        <w:rPr>
          <w:b/>
        </w:rPr>
        <w:t>APIs externes</w:t>
      </w:r>
      <w:r>
        <w:t xml:space="preserve"> : recherche-entreprises.api.gouv.fr (SIRENE/INPI), Pappers, BODACC</w:t>
      </w:r>
    </w:p>
    <w:p>
      <w:pPr>
        <w:pStyle w:val="ListBullet"/>
      </w:pPr>
      <w:r>
        <w:rPr>
          <w:b/>
        </w:rPr>
        <w:t>Téléphonie</w:t>
      </w:r>
      <w:r>
        <w:t xml:space="preserve"> : 3CX Web Client (deep-link dialer)</w:t>
      </w:r>
    </w:p>
    <w:p>
      <w:pPr>
        <w:pStyle w:val="ListBullet"/>
      </w:pPr>
      <w:r>
        <w:rPr>
          <w:b/>
        </w:rPr>
        <w:t>Messagerie</w:t>
      </w:r>
      <w:r>
        <w:t xml:space="preserve"> : Outlook Web (OWA, deep-link compose)</w:t>
      </w:r>
    </w:p>
    <w:p>
      <w:pPr>
        <w:pStyle w:val="Heading3"/>
      </w:pPr>
      <w:r>
        <w:rPr>
          <w:color w:val="3730A3"/>
          <w:sz w:val="24"/>
        </w:rPr>
        <w:t>Hébergement</w:t>
      </w:r>
    </w:p>
    <w:p>
      <w:pPr>
        <w:pStyle w:val="ListBullet"/>
      </w:pPr>
      <w:r>
        <w:rPr>
          <w:b/>
        </w:rPr>
        <w:t>Région</w:t>
      </w:r>
      <w:r>
        <w:t xml:space="preserve"> : EU (Vercel + Supabase, conformité RGPD)</w:t>
      </w:r>
    </w:p>
    <w:p>
      <w:pPr>
        <w:pStyle w:val="ListBullet"/>
      </w:pPr>
      <w:r>
        <w:rPr>
          <w:b/>
        </w:rPr>
        <w:t>Sauvegardes</w:t>
      </w:r>
      <w:r>
        <w:t xml:space="preserve"> : point-in-time recovery 7 jours + snapshots quotidiens 30 jours + </w:t>
      </w:r>
      <w:r>
        <w:rPr>
          <w:b/>
        </w:rPr>
        <w:t>sauvegarde déconnectée air-gap</w:t>
      </w:r>
      <w:r>
        <w:t xml:space="preserve"> mensuelle (article 8 bis)</w:t>
      </w:r>
    </w:p>
    <w:p>
      <w:pPr>
        <w:pStyle w:val="ListBullet"/>
      </w:pPr>
      <w:r>
        <w:rPr>
          <w:b/>
        </w:rPr>
        <w:t>Disponibilité contractuelle</w:t>
      </w:r>
      <w:r>
        <w:t xml:space="preserve"> : 99,5 % (Essentiel) à 99,9 % (Premium)</w:t>
      </w:r>
    </w:p>
    <w:p>
      <w:pPr>
        <w:pStyle w:val="Heading3"/>
      </w:pPr>
      <w:r>
        <w:rPr>
          <w:color w:val="3730A3"/>
          <w:sz w:val="24"/>
        </w:rPr>
        <w:t>Cache et performance</w:t>
      </w:r>
    </w:p>
    <w:p>
      <w:pPr>
        <w:pStyle w:val="ListBullet"/>
      </w:pPr>
      <w:r>
        <w:t xml:space="preserve">Cache buster </w:t>
      </w:r>
      <w:r>
        <w:rPr>
          <w:rFonts w:ascii="Consolas" w:hAnsi="Consolas"/>
          <w:sz w:val="18"/>
        </w:rPr>
        <w:t>?v=YYYYMMDDHHMM</w:t>
      </w:r>
      <w:r>
        <w:t xml:space="preserve"> sur tous les assets statiques</w:t>
      </w:r>
    </w:p>
    <w:p>
      <w:pPr>
        <w:pStyle w:val="ListBullet"/>
      </w:pPr>
      <w:r>
        <w:t>localStorage pour préférences UI (panneaux dépliés, vues, filtres)</w:t>
      </w:r>
    </w:p>
    <w:p>
      <w:pPr>
        <w:pStyle w:val="ListBullet"/>
      </w:pPr>
      <w:r>
        <w:t>Lazy-loading des modules lourds (JSZip, pdfmake)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3. AUTHENTIFICATION ET ACCÈS</w:t>
      </w:r>
    </w:p>
    <w:p>
      <w:pPr>
        <w:pStyle w:val="Heading3"/>
      </w:pPr>
      <w:r>
        <w:rPr>
          <w:color w:val="3730A3"/>
          <w:sz w:val="24"/>
        </w:rPr>
        <w:t>Connexion</w:t>
      </w:r>
    </w:p>
    <w:p>
      <w:pPr>
        <w:pStyle w:val="ListBullet"/>
      </w:pPr>
      <w:r>
        <w:t xml:space="preserve">Route : </w:t>
      </w:r>
      <w:r>
        <w:rPr>
          <w:rFonts w:ascii="Consolas" w:hAnsi="Consolas"/>
          <w:sz w:val="18"/>
        </w:rPr>
        <w:t>/login</w:t>
      </w:r>
    </w:p>
    <w:p>
      <w:pPr>
        <w:pStyle w:val="ListBullet"/>
      </w:pPr>
      <w:r>
        <w:t>Méthode : email + mot de passe via Supabase Auth</w:t>
      </w:r>
    </w:p>
    <w:p>
      <w:pPr>
        <w:pStyle w:val="ListBullet"/>
      </w:pPr>
      <w:r>
        <w:t>Sessions JWT persistantes (7 jours par défaut)</w:t>
      </w:r>
    </w:p>
    <w:p>
      <w:pPr>
        <w:pStyle w:val="ListBullet"/>
      </w:pPr>
      <w:r>
        <w:t>Vérification automatique de session sur chaque page protégée (</w:t>
      </w:r>
      <w:r>
        <w:rPr>
          <w:rFonts w:ascii="Consolas" w:hAnsi="Consolas"/>
          <w:sz w:val="18"/>
        </w:rPr>
        <w:t>api.auth.requireAuth()</w:t>
      </w:r>
      <w:r>
        <w:t>)</w:t>
      </w:r>
    </w:p>
    <w:p>
      <w:pPr>
        <w:pStyle w:val="Heading3"/>
      </w:pPr>
      <w:r>
        <w:rPr>
          <w:color w:val="3730A3"/>
          <w:sz w:val="24"/>
        </w:rPr>
        <w:t>Profils et permissions</w:t>
      </w:r>
    </w:p>
    <w:p>
      <w:r>
        <w:t xml:space="preserve">Géré dans </w:t>
      </w:r>
      <w:r>
        <w:rPr>
          <w:rFonts w:ascii="Consolas" w:hAnsi="Consolas"/>
          <w:sz w:val="18"/>
        </w:rPr>
        <w:t>/administration-utilisateurs</w:t>
      </w:r>
      <w:r>
        <w:t xml:space="preserve"> :</w:t>
      </w:r>
    </w:p>
    <w:p>
      <w:pPr>
        <w:pStyle w:val="ListBullet"/>
      </w:pPr>
      <w:r>
        <w:rPr>
          <w:b/>
        </w:rPr>
        <w:t>Administrateur</w:t>
      </w:r>
      <w:r>
        <w:t xml:space="preserve"> : accès complet, gestion utilisateurs</w:t>
      </w:r>
    </w:p>
    <w:p>
      <w:pPr>
        <w:pStyle w:val="ListBullet"/>
      </w:pPr>
      <w:r>
        <w:rPr>
          <w:b/>
        </w:rPr>
        <w:t>Commercial</w:t>
      </w:r>
      <w:r>
        <w:t xml:space="preserve"> : pipeline, devis, contrats, fiche client</w:t>
      </w:r>
    </w:p>
    <w:p>
      <w:pPr>
        <w:pStyle w:val="ListBullet"/>
      </w:pPr>
      <w:r>
        <w:rPr>
          <w:b/>
        </w:rPr>
        <w:t>Technicien</w:t>
      </w:r>
      <w:r>
        <w:t xml:space="preserve"> : tickets, hotline, fiche client en lecture</w:t>
      </w:r>
    </w:p>
    <w:p>
      <w:pPr>
        <w:pStyle w:val="ListBullet"/>
      </w:pPr>
      <w:r>
        <w:rPr>
          <w:b/>
        </w:rPr>
        <w:t>Comptable</w:t>
      </w:r>
      <w:r>
        <w:t xml:space="preserve"> : factures, trésorerie, exports</w:t>
      </w:r>
    </w:p>
    <w:p>
      <w:pPr>
        <w:pStyle w:val="ListBullet"/>
      </w:pPr>
      <w:r>
        <w:rPr>
          <w:b/>
        </w:rPr>
        <w:t>Lecture seule</w:t>
      </w:r>
      <w:r>
        <w:t xml:space="preserve"> : audit / direction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4. NAVIGATION ET STRUCTURE</w:t>
      </w:r>
    </w:p>
    <w:p>
      <w:pPr>
        <w:pStyle w:val="Heading3"/>
      </w:pPr>
      <w:r>
        <w:rPr>
          <w:color w:val="3730A3"/>
          <w:sz w:val="24"/>
        </w:rPr>
        <w:t>Page d'accueil</w:t>
      </w:r>
    </w:p>
    <w:p>
      <w:pPr>
        <w:pStyle w:val="ListBullet"/>
      </w:pPr>
      <w:r>
        <w:t xml:space="preserve">Route : </w:t>
      </w:r>
      <w:r>
        <w:rPr>
          <w:rFonts w:ascii="Consolas" w:hAnsi="Consolas"/>
          <w:sz w:val="18"/>
        </w:rPr>
        <w:t>/accueil-simple</w:t>
      </w:r>
      <w:r>
        <w:t xml:space="preserve"> (ou </w:t>
      </w:r>
      <w:r>
        <w:rPr>
          <w:rFonts w:ascii="Consolas" w:hAnsi="Consolas"/>
          <w:sz w:val="18"/>
        </w:rPr>
        <w:t>/</w:t>
      </w:r>
      <w:r>
        <w:t>)</w:t>
      </w:r>
    </w:p>
    <w:p>
      <w:pPr>
        <w:pStyle w:val="ListBullet"/>
      </w:pPr>
      <w:r>
        <w:t>Vue d'ensemble par tuiles : CRM, Devis &amp; Factures, Temps &amp; Activités, Marketing, Support, Projets, Stock, Comptabilité, Trésorerie, RH, Rapports, Administration</w:t>
      </w:r>
    </w:p>
    <w:p>
      <w:pPr>
        <w:pStyle w:val="ListBullet"/>
      </w:pPr>
      <w:r>
        <w:t>KPIs en temps réel sur les modules connectés à des données réelles</w:t>
      </w:r>
    </w:p>
    <w:p>
      <w:pPr>
        <w:pStyle w:val="ListBullet"/>
      </w:pPr>
      <w:r>
        <w:t>Bannière de bienvenue personnalisée</w:t>
      </w:r>
    </w:p>
    <w:p>
      <w:pPr>
        <w:pStyle w:val="Heading3"/>
      </w:pPr>
      <w:r>
        <w:rPr>
          <w:color w:val="3730A3"/>
          <w:sz w:val="24"/>
        </w:rPr>
        <w:t>Sidebar et raccourcis</w:t>
      </w:r>
    </w:p>
    <w:p>
      <w:pPr>
        <w:pStyle w:val="ListBullet"/>
      </w:pPr>
      <w:r>
        <w:t>Menu latéral persistant avec icônes module</w:t>
      </w:r>
    </w:p>
    <w:p>
      <w:pPr>
        <w:pStyle w:val="ListBullet"/>
      </w:pPr>
      <w:r>
        <w:t>Recherche globale (Ctrl+K)</w:t>
      </w:r>
    </w:p>
    <w:p>
      <w:pPr>
        <w:pStyle w:val="ListBullet"/>
      </w:pPr>
      <w:r>
        <w:t>Notifications hotline (clignotement rouge sur P1)</w:t>
      </w:r>
    </w:p>
    <w:p>
      <w:pPr>
        <w:pStyle w:val="ListBullet"/>
      </w:pPr>
      <w:r>
        <w:t>Activity tracker (présence en ligne)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5. CRM — MODULE COMMERCIAL</w:t>
      </w:r>
    </w:p>
    <w:p>
      <w:pPr>
        <w:pStyle w:val="Heading3"/>
      </w:pPr>
      <w:r>
        <w:rPr>
          <w:color w:val="3730A3"/>
          <w:sz w:val="24"/>
        </w:rPr>
        <w:t>Route : `/crm`</w:t>
      </w:r>
    </w:p>
    <w:p>
      <w:pPr>
        <w:pStyle w:val="Heading3"/>
      </w:pPr>
      <w:r>
        <w:rPr>
          <w:color w:val="3730A3"/>
          <w:sz w:val="24"/>
        </w:rPr>
        <w:t>Sections de la page</w:t>
      </w:r>
    </w:p>
    <w:p>
      <w:r>
        <w:t xml:space="preserve">1. </w:t>
      </w:r>
      <w:r>
        <w:rPr>
          <w:b/>
        </w:rPr>
        <w:t>KPI strip</w:t>
      </w:r>
      <w:r>
        <w:t xml:space="preserve"> : Pipeline total, Pondéré (probabilité), Signées, Total opportunités</w:t>
      </w:r>
    </w:p>
    <w:p>
      <w:r>
        <w:t xml:space="preserve">2. </w:t>
      </w:r>
      <w:r>
        <w:rPr>
          <w:b/>
        </w:rPr>
        <w:t>Kanban SPANCO</w:t>
      </w:r>
      <w:r>
        <w:t xml:space="preserve"> : 5 colonnes Prospect → Approche → Négociation → Conclusion → Ordre</w:t>
      </w:r>
    </w:p>
    <w:p>
      <w:r>
        <w:t xml:space="preserve">3. </w:t>
      </w:r>
      <w:r>
        <w:rPr>
          <w:b/>
        </w:rPr>
        <w:t>Toggle vue</w:t>
      </w:r>
      <w:r>
        <w:t xml:space="preserve"> : ⊞ Kanban / ☰ Liste / 📅 Planning</w:t>
      </w:r>
    </w:p>
    <w:p>
      <w:r>
        <w:t xml:space="preserve">4. </w:t>
      </w:r>
      <w:r>
        <w:rPr>
          <w:b/>
        </w:rPr>
        <w:t>Bouton + Nouveau prospect</w:t>
      </w:r>
      <w:r>
        <w:t xml:space="preserve"> et </w:t>
      </w:r>
      <w:r>
        <w:rPr>
          <w:b/>
        </w:rPr>
        <w:t>+ Nouvelle opportunité</w:t>
      </w:r>
    </w:p>
    <w:p>
      <w:r>
        <w:t xml:space="preserve">5. </w:t>
      </w:r>
      <w:r>
        <w:rPr>
          <w:b/>
        </w:rPr>
        <w:t>Actions à mener</w:t>
      </w:r>
      <w:r>
        <w:t xml:space="preserve"> : tâches commerciales en file, triées par priorité</w:t>
      </w:r>
    </w:p>
    <w:p>
      <w:r>
        <w:t xml:space="preserve">6. </w:t>
      </w:r>
      <w:r>
        <w:rPr>
          <w:b/>
        </w:rPr>
        <w:t>Comptes &amp; contacts</w:t>
      </w:r>
      <w:r>
        <w:t xml:space="preserve"> : liste consolidée prospects + clients</w:t>
      </w:r>
    </w:p>
    <w:p>
      <w:pPr>
        <w:pStyle w:val="Heading3"/>
      </w:pPr>
      <w:r>
        <w:rPr>
          <w:color w:val="3730A3"/>
          <w:sz w:val="24"/>
        </w:rPr>
        <w:t>Kanban</w:t>
      </w:r>
    </w:p>
    <w:p>
      <w:pPr>
        <w:pStyle w:val="ListBullet"/>
      </w:pPr>
      <w:r>
        <w:t>Drag-and-drop entre colonnes (confirmation modale + mise à jour SPANCO + probabilité)</w:t>
      </w:r>
    </w:p>
    <w:p>
      <w:pPr>
        <w:pStyle w:val="ListBullet"/>
      </w:pPr>
      <w:r>
        <w:t>Bouton ⇣ par colonne pour déployer (≈ 2 cartes visibles par défaut, ascenseur interne)</w:t>
      </w:r>
    </w:p>
    <w:p>
      <w:pPr>
        <w:pStyle w:val="ListBullet"/>
      </w:pPr>
      <w:r>
        <w:t>Persistance des préférences en localStorage</w:t>
      </w:r>
    </w:p>
    <w:p>
      <w:pPr>
        <w:pStyle w:val="Heading3"/>
      </w:pPr>
      <w:r>
        <w:rPr>
          <w:color w:val="3730A3"/>
          <w:sz w:val="24"/>
        </w:rPr>
        <w:t>Vue liste</w:t>
      </w:r>
    </w:p>
    <w:p>
      <w:pPr>
        <w:pStyle w:val="ListBullet"/>
      </w:pPr>
      <w:r>
        <w:t>Colonnes : Opportunité, Client, Stage, Montant, Probabilité, Owner, Date de décision potentielle, Échéance contrat concurrent</w:t>
      </w:r>
    </w:p>
    <w:p>
      <w:pPr>
        <w:pStyle w:val="ListBullet"/>
      </w:pPr>
      <w:r>
        <w:t>Tri par stage puis montant décroissant</w:t>
      </w:r>
    </w:p>
    <w:p>
      <w:pPr>
        <w:pStyle w:val="ListBullet"/>
      </w:pPr>
      <w:r>
        <w:t>Code couleur d'urgence sur les échéances (rouge en retard, orange ≤ 7j, ambre ≤ 30j)</w:t>
      </w:r>
    </w:p>
    <w:p>
      <w:pPr>
        <w:pStyle w:val="Heading3"/>
      </w:pPr>
      <w:r>
        <w:rPr>
          <w:color w:val="3730A3"/>
          <w:sz w:val="24"/>
        </w:rPr>
        <w:t>Vue planning</w:t>
      </w:r>
    </w:p>
    <w:p>
      <w:pPr>
        <w:pStyle w:val="ListBullet"/>
      </w:pPr>
      <w:r>
        <w:t>Calendrier mensuel style Outlook (7 colonnes Lun→Dim)</w:t>
      </w:r>
    </w:p>
    <w:p>
      <w:pPr>
        <w:pStyle w:val="ListBullet"/>
      </w:pPr>
      <w:r>
        <w:t xml:space="preserve">Navigation </w:t>
      </w:r>
      <w:r>
        <w:rPr>
          <w:rFonts w:ascii="Consolas" w:hAnsi="Consolas"/>
          <w:sz w:val="18"/>
        </w:rPr>
        <w:t>‹ Aujourd'hui ›</w:t>
      </w:r>
    </w:p>
    <w:p>
      <w:pPr>
        <w:pStyle w:val="ListBullet"/>
      </w:pPr>
      <w:r>
        <w:t>Événements en pilules colorées (violet = décision potentielle, cyan = fin contrat concurrent)</w:t>
      </w:r>
    </w:p>
    <w:p>
      <w:pPr>
        <w:pStyle w:val="ListBullet"/>
      </w:pPr>
      <w:r>
        <w:t>3 événements max par jour, lien « + N de plus » → popup détaillé</w:t>
      </w:r>
    </w:p>
    <w:p>
      <w:pPr>
        <w:pStyle w:val="ListBullet"/>
      </w:pPr>
      <w:r>
        <w:t>Filtre par type d'échéance</w:t>
      </w:r>
    </w:p>
    <w:p>
      <w:pPr>
        <w:pStyle w:val="Heading3"/>
      </w:pPr>
      <w:r>
        <w:rPr>
          <w:color w:val="3730A3"/>
          <w:sz w:val="24"/>
        </w:rPr>
        <w:t>Création d'un prospect</w:t>
      </w:r>
    </w:p>
    <w:p>
      <w:r>
        <w:t xml:space="preserve">Route : </w:t>
      </w:r>
      <w:r>
        <w:rPr>
          <w:rFonts w:ascii="Consolas" w:hAnsi="Consolas"/>
          <w:sz w:val="18"/>
        </w:rPr>
        <w:t>/nouveau-prospect</w:t>
      </w:r>
    </w:p>
    <w:p>
      <w:r>
        <w:t>Champs principaux :</w:t>
      </w:r>
    </w:p>
    <w:p>
      <w:pPr>
        <w:pStyle w:val="ListBullet"/>
      </w:pPr>
      <w:r>
        <w:rPr>
          <w:b/>
        </w:rPr>
        <w:t>Société</w:t>
      </w:r>
      <w:r>
        <w:t xml:space="preserve"> : recherche temps réel SIRENE → auto-complétion (raison sociale, SIREN, NAF, TVA, adresse, effectif, secteur)</w:t>
      </w:r>
    </w:p>
    <w:p>
      <w:pPr>
        <w:pStyle w:val="ListBullet"/>
      </w:pPr>
      <w:r>
        <w:rPr>
          <w:b/>
        </w:rPr>
        <w:t>Contact principal</w:t>
      </w:r>
      <w:r>
        <w:t xml:space="preserve"> : pré-rempli depuis les dirigeants déclarés (open data INSEE/INPI) — prénom, nom, fonction mappée</w:t>
      </w:r>
    </w:p>
    <w:p>
      <w:pPr>
        <w:pStyle w:val="ListBullet"/>
      </w:pPr>
      <w:r>
        <w:rPr>
          <w:b/>
        </w:rPr>
        <w:t>Co-contacts</w:t>
      </w:r>
      <w:r>
        <w:t xml:space="preserve"> : auto-injectés jusqu'à 3 dirigeants</w:t>
      </w:r>
    </w:p>
    <w:p>
      <w:pPr>
        <w:pStyle w:val="ListBullet"/>
      </w:pPr>
      <w:r>
        <w:rPr>
          <w:b/>
        </w:rPr>
        <w:t>Tier</w:t>
      </w:r>
      <w:r>
        <w:t xml:space="preserve"> : A / B / C (priorité commerciale)</w:t>
      </w:r>
    </w:p>
    <w:p>
      <w:pPr>
        <w:pStyle w:val="ListBullet"/>
      </w:pPr>
      <w:r>
        <w:rPr>
          <w:b/>
        </w:rPr>
        <w:t>Établissements secondaires</w:t>
      </w:r>
      <w:r>
        <w:t xml:space="preserve"> : ajout dynamique</w:t>
      </w:r>
    </w:p>
    <w:p>
      <w:r>
        <w:t>Vérifications automatiques :</w:t>
      </w:r>
    </w:p>
    <w:p>
      <w:pPr>
        <w:pStyle w:val="ListBullet"/>
      </w:pPr>
      <w:r>
        <w:t>Format SIREN, TVA intracom, email, téléphone</w:t>
      </w:r>
    </w:p>
    <w:p>
      <w:pPr>
        <w:pStyle w:val="ListBullet"/>
      </w:pPr>
      <w:r>
        <w:t>Check BODACC procédures collectives (badge orange si redressement, rouge si liquidation)</w:t>
      </w:r>
    </w:p>
    <w:p>
      <w:pPr>
        <w:pStyle w:val="ListBullet"/>
      </w:pPr>
      <w:r>
        <w:t>Auto-création d'actions selon le type d'action choisi (email, appel, RDV)</w:t>
      </w:r>
    </w:p>
    <w:p>
      <w:pPr>
        <w:pStyle w:val="Heading3"/>
      </w:pPr>
      <w:r>
        <w:rPr>
          <w:color w:val="3730A3"/>
          <w:sz w:val="24"/>
        </w:rPr>
        <w:t>Création d'une opportunité</w:t>
      </w:r>
    </w:p>
    <w:p>
      <w:r>
        <w:t xml:space="preserve">Route : </w:t>
      </w:r>
      <w:r>
        <w:rPr>
          <w:rFonts w:ascii="Consolas" w:hAnsi="Consolas"/>
          <w:sz w:val="18"/>
        </w:rPr>
        <w:t>/nouvelle-opportunite</w:t>
      </w:r>
    </w:p>
    <w:p>
      <w:pPr>
        <w:pStyle w:val="ListBullet"/>
      </w:pPr>
      <w:r>
        <w:t>Modale en pleine largeur</w:t>
      </w:r>
    </w:p>
    <w:p>
      <w:pPr>
        <w:pStyle w:val="ListBullet"/>
      </w:pPr>
      <w:r>
        <w:t xml:space="preserve">Rattachement automatique au client si </w:t>
      </w:r>
      <w:r>
        <w:rPr>
          <w:rFonts w:ascii="Consolas" w:hAnsi="Consolas"/>
          <w:sz w:val="18"/>
        </w:rPr>
        <w:t>?client=...</w:t>
      </w:r>
      <w:r>
        <w:t xml:space="preserve"> dans l'URL</w:t>
      </w:r>
    </w:p>
    <w:p>
      <w:pPr>
        <w:pStyle w:val="ListBullet"/>
      </w:pPr>
      <w:r>
        <w:t>Choix du stage initial (Prospect par défaut)</w:t>
      </w:r>
    </w:p>
    <w:p>
      <w:pPr>
        <w:pStyle w:val="ListBullet"/>
      </w:pPr>
      <w:r>
        <w:t>Champ montant estimé + date de décision potentielle</w:t>
      </w:r>
    </w:p>
    <w:p>
      <w:pPr>
        <w:pStyle w:val="ListBullet"/>
      </w:pPr>
      <w:r>
        <w:t>Notes internes et besoin exprimé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6. WORKFLOW D'OPPORTUNITÉ SPANCO</w:t>
      </w:r>
    </w:p>
    <w:p>
      <w:pPr>
        <w:pStyle w:val="Heading3"/>
      </w:pPr>
      <w:r>
        <w:rPr>
          <w:color w:val="3730A3"/>
          <w:sz w:val="24"/>
        </w:rPr>
        <w:t>Route : `/avancer-opportunite?opp=...`</w:t>
      </w:r>
    </w:p>
    <w:p>
      <w:pPr>
        <w:pStyle w:val="Heading3"/>
      </w:pPr>
      <w:r>
        <w:rPr>
          <w:color w:val="3730A3"/>
          <w:sz w:val="24"/>
        </w:rPr>
        <w:t>Stepper visuel</w:t>
      </w:r>
    </w:p>
    <w:p>
      <w:r>
        <w:t>Pilules rectangulaires colorées (style workflow Sage), reliées par des flèches :</w:t>
      </w:r>
    </w:p>
    <w:p>
      <w:pPr>
        <w:pStyle w:val="ListBullet"/>
      </w:pPr>
      <w:r>
        <w:rPr>
          <w:b/>
        </w:rPr>
        <w:t>Prospect</w:t>
      </w:r>
      <w:r>
        <w:t xml:space="preserve"> (gris, 20 %) — Letter P</w:t>
      </w:r>
    </w:p>
    <w:p>
      <w:pPr>
        <w:pStyle w:val="ListBullet"/>
      </w:pPr>
      <w:r>
        <w:rPr>
          <w:b/>
        </w:rPr>
        <w:t>Approche</w:t>
      </w:r>
      <w:r>
        <w:t xml:space="preserve"> (bleu, 35 %) — Letter A</w:t>
      </w:r>
    </w:p>
    <w:p>
      <w:pPr>
        <w:pStyle w:val="ListBullet"/>
      </w:pPr>
      <w:r>
        <w:rPr>
          <w:b/>
        </w:rPr>
        <w:t>Négociation</w:t>
      </w:r>
      <w:r>
        <w:t xml:space="preserve"> (violet, 55 %) — Letter N</w:t>
      </w:r>
    </w:p>
    <w:p>
      <w:pPr>
        <w:pStyle w:val="ListBullet"/>
      </w:pPr>
      <w:r>
        <w:rPr>
          <w:b/>
        </w:rPr>
        <w:t>Conclusion</w:t>
      </w:r>
      <w:r>
        <w:t xml:space="preserve"> (orange, 75 %) — Letter C</w:t>
      </w:r>
    </w:p>
    <w:p>
      <w:pPr>
        <w:pStyle w:val="ListBullet"/>
      </w:pPr>
      <w:r>
        <w:rPr>
          <w:b/>
        </w:rPr>
        <w:t>Ordre</w:t>
      </w:r>
      <w:r>
        <w:t xml:space="preserve"> (vert, 100 %) — Letter O</w:t>
      </w:r>
    </w:p>
    <w:p>
      <w:r>
        <w:t>Badge dynamique sur chaque pilule : VALIDÉ (passé), ACTUELLE (courant), CIBLE (sélectionné pour passage).</w:t>
      </w:r>
    </w:p>
    <w:p>
      <w:pPr>
        <w:pStyle w:val="Heading3"/>
      </w:pPr>
      <w:r>
        <w:rPr>
          <w:color w:val="3730A3"/>
          <w:sz w:val="24"/>
        </w:rPr>
        <w:t>Champs éditables</w:t>
      </w:r>
    </w:p>
    <w:p>
      <w:pPr>
        <w:pStyle w:val="ListBullet"/>
      </w:pPr>
      <w:r>
        <w:t>Nom de l'opportunité</w:t>
      </w:r>
    </w:p>
    <w:p>
      <w:pPr>
        <w:pStyle w:val="ListBullet"/>
      </w:pPr>
      <w:r>
        <w:t>Montant estimé (€)</w:t>
      </w:r>
    </w:p>
    <w:p>
      <w:pPr>
        <w:pStyle w:val="ListBullet"/>
      </w:pPr>
      <w:r>
        <w:t>Date de décision potentielle</w:t>
      </w:r>
    </w:p>
    <w:p>
      <w:pPr>
        <w:pStyle w:val="ListBullet"/>
      </w:pPr>
      <w:r>
        <w:t>Besoin exprimé</w:t>
      </w:r>
    </w:p>
    <w:p>
      <w:pPr>
        <w:pStyle w:val="ListBullet"/>
      </w:pPr>
      <w:r>
        <w:t>Concurrent actuel + montant concurrent (k€/an)</w:t>
      </w:r>
    </w:p>
    <w:p>
      <w:pPr>
        <w:pStyle w:val="ListBullet"/>
      </w:pPr>
      <w:r>
        <w:t>Échéance du contrat actuel chez le concurrent</w:t>
      </w:r>
    </w:p>
    <w:p>
      <w:pPr>
        <w:pStyle w:val="ListBullet"/>
      </w:pPr>
      <w:r>
        <w:t>Notes internes</w:t>
      </w:r>
    </w:p>
    <w:p>
      <w:pPr>
        <w:pStyle w:val="Heading3"/>
      </w:pPr>
      <w:r>
        <w:rPr>
          <w:color w:val="3730A3"/>
          <w:sz w:val="24"/>
        </w:rPr>
        <w:t>Critères de passage</w:t>
      </w:r>
    </w:p>
    <w:p>
      <w:r>
        <w:t>À chaque étape cible, une checklist de critères de sortie doit être validée. Si tous ne le sont pas, une modale de confirmation propose d'avancer malgré tout.</w:t>
      </w:r>
    </w:p>
    <w:p>
      <w:pPr>
        <w:pStyle w:val="Heading3"/>
      </w:pPr>
      <w:r>
        <w:rPr>
          <w:color w:val="3730A3"/>
          <w:sz w:val="24"/>
        </w:rPr>
        <w:t>Boutons d'action</w:t>
      </w:r>
    </w:p>
    <w:p>
      <w:pPr>
        <w:pStyle w:val="ListBullet"/>
      </w:pPr>
      <w:r>
        <w:rPr>
          <w:b/>
        </w:rPr>
        <w:t>💾 Enregistrer</w:t>
      </w:r>
      <w:r>
        <w:t xml:space="preserve"> : sauvegarde les modifications sans changer de stage</w:t>
      </w:r>
    </w:p>
    <w:p>
      <w:pPr>
        <w:pStyle w:val="ListBullet"/>
      </w:pPr>
      <w:r>
        <w:rPr>
          <w:b/>
        </w:rPr>
        <w:t>📄 Créer un devis</w:t>
      </w:r>
      <w:r>
        <w:t xml:space="preserve"> : ouvre </w:t>
      </w:r>
      <w:r>
        <w:rPr>
          <w:rFonts w:ascii="Consolas" w:hAnsi="Consolas"/>
          <w:sz w:val="18"/>
        </w:rPr>
        <w:t>/gestion-commerciale</w:t>
      </w:r>
      <w:r>
        <w:t xml:space="preserve"> pré-rempli avec ce client + cette opp</w:t>
      </w:r>
    </w:p>
    <w:p>
      <w:pPr>
        <w:pStyle w:val="ListBullet"/>
      </w:pPr>
      <w:r>
        <w:rPr>
          <w:b/>
        </w:rPr>
        <w:t>📋 Devis en cours</w:t>
      </w:r>
      <w:r>
        <w:t xml:space="preserve"> : raccourci vers les documents commerciaux liés</w:t>
      </w:r>
    </w:p>
    <w:p>
      <w:pPr>
        <w:pStyle w:val="ListBullet"/>
      </w:pPr>
      <w:r>
        <w:rPr>
          <w:b/>
        </w:rPr>
        <w:t>🗑 Supprimer</w:t>
      </w:r>
      <w:r>
        <w:t xml:space="preserve"> : suppression définitive avec modale de confirmation (détache les projets liés)</w:t>
      </w:r>
    </w:p>
    <w:p>
      <w:pPr>
        <w:pStyle w:val="ListBullet"/>
      </w:pPr>
      <w:r>
        <w:rPr>
          <w:b/>
        </w:rPr>
        <w:t>✕ Marquer comme perdu</w:t>
      </w:r>
      <w:r>
        <w:t xml:space="preserve"> : passe à 0 % proba, stage </w:t>
      </w:r>
      <w:r>
        <w:rPr>
          <w:rFonts w:ascii="Consolas" w:hAnsi="Consolas"/>
          <w:sz w:val="18"/>
        </w:rPr>
        <w:t>lost</w:t>
      </w:r>
    </w:p>
    <w:p>
      <w:pPr>
        <w:pStyle w:val="ListBullet"/>
      </w:pPr>
      <w:r>
        <w:rPr>
          <w:b/>
        </w:rPr>
        <w:t>✓ Confirmer le passage</w:t>
      </w:r>
      <w:r>
        <w:t xml:space="preserve"> : déclenche l'avancement SPANCO</w:t>
      </w:r>
    </w:p>
    <w:p>
      <w:pPr>
        <w:pStyle w:val="Heading3"/>
      </w:pPr>
      <w:r>
        <w:rPr>
          <w:color w:val="3730A3"/>
          <w:sz w:val="24"/>
        </w:rPr>
        <w:t>Cascade automatique en Ordre</w:t>
      </w:r>
    </w:p>
    <w:p>
      <w:r>
        <w:t xml:space="preserve">Au passage en stage </w:t>
      </w:r>
      <w:r>
        <w:rPr>
          <w:rFonts w:ascii="Consolas" w:hAnsi="Consolas"/>
          <w:sz w:val="18"/>
        </w:rPr>
        <w:t>won</w:t>
      </w:r>
      <w:r>
        <w:t xml:space="preserve"> (Ordre) :</w:t>
      </w:r>
    </w:p>
    <w:p>
      <w:r>
        <w:t xml:space="preserve">1. Tous les devis non-transformés sont marqués </w:t>
      </w:r>
      <w:r>
        <w:rPr>
          <w:rFonts w:ascii="Consolas" w:hAnsi="Consolas"/>
          <w:sz w:val="18"/>
        </w:rPr>
        <w:t>accepté</w:t>
      </w:r>
    </w:p>
    <w:p>
      <w:r>
        <w:t>2. Transformation cascade Devis → Commande → BL</w:t>
      </w:r>
    </w:p>
    <w:p>
      <w:r>
        <w:t>3. Création automatique d'un projet dans le module Projets &amp; Livrables (si aucun lié)</w:t>
      </w:r>
    </w:p>
    <w:p>
      <w:r>
        <w:t>4. Toast de récap des étapes</w:t>
      </w:r>
    </w:p>
    <w:p>
      <w:pPr>
        <w:pStyle w:val="Heading3"/>
      </w:pPr>
      <w:r>
        <w:rPr>
          <w:color w:val="3730A3"/>
          <w:sz w:val="24"/>
        </w:rPr>
        <w:t>Actions créées automatiquement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EF2FF"/>
          </w:tcPr>
          <w:p>
            <w:r>
              <w:rPr>
                <w:b/>
                <w:color w:val="1F2942"/>
                <w:sz w:val="18"/>
              </w:rPr>
              <w:t>Transition</w:t>
            </w:r>
          </w:p>
        </w:tc>
        <w:tc>
          <w:tcPr>
            <w:tcW w:type="dxa" w:w="4986"/>
            <w:shd w:val="clear" w:color="auto" w:fill="EEF2FF"/>
          </w:tcPr>
          <w:p>
            <w:r>
              <w:rPr>
                <w:b/>
                <w:color w:val="1F2942"/>
                <w:sz w:val="18"/>
              </w:rPr>
              <w:t>Action générée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Prospect → Approche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📝 « Préparation de la rédaction de l'offre commerciale » (priorité haute, 7 j)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Approche → Négociation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✉ « Envoi de l'offre commerciale » (priorité haute, 5 j)</w:t>
            </w:r>
          </w:p>
        </w:tc>
      </w:tr>
    </w:tbl>
    <w:p/>
    <w:p>
      <w:pPr>
        <w:pStyle w:val="Heading3"/>
      </w:pPr>
      <w:r>
        <w:rPr>
          <w:color w:val="3730A3"/>
          <w:sz w:val="24"/>
        </w:rPr>
        <w:t>Santé de l'opportunité</w:t>
      </w:r>
    </w:p>
    <w:p>
      <w:r>
        <w:t>Score sur 100 calculé à partir de :</w:t>
      </w:r>
    </w:p>
    <w:p>
      <w:pPr>
        <w:pStyle w:val="ListBullet"/>
      </w:pPr>
      <w:r>
        <w:t>Critères validés (50 %)</w:t>
      </w:r>
    </w:p>
    <w:p>
      <w:pPr>
        <w:pStyle w:val="ListBullet"/>
      </w:pPr>
      <w:r>
        <w:t>Probabilité du stage cible (50 %)</w:t>
      </w:r>
    </w:p>
    <w:p>
      <w:r>
        <w:t>Avec libellé qualitatif : Saine (≥ 70), À surveiller (40–69), À risque (&lt; 40).</w:t>
      </w:r>
    </w:p>
    <w:p>
      <w:pPr>
        <w:pStyle w:val="Heading3"/>
      </w:pPr>
      <w:r>
        <w:rPr>
          <w:color w:val="3730A3"/>
          <w:sz w:val="24"/>
        </w:rPr>
        <w:t>Impact si passage</w:t>
      </w:r>
    </w:p>
    <w:p>
      <w:r>
        <w:t>Bloc Avant / Après affichant :</w:t>
      </w:r>
    </w:p>
    <w:p>
      <w:pPr>
        <w:pStyle w:val="ListBullet"/>
      </w:pPr>
      <w:r>
        <w:t>Montant pondéré avant changement</w:t>
      </w:r>
    </w:p>
    <w:p>
      <w:pPr>
        <w:pStyle w:val="ListBullet"/>
      </w:pPr>
      <w:r>
        <w:t>Montant pondéré après changement</w:t>
      </w:r>
    </w:p>
    <w:p>
      <w:pPr>
        <w:pStyle w:val="ListBullet"/>
      </w:pPr>
      <w:r>
        <w:t>Gain pondéré (vert si positif)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7. GESTION COMMERCIALE — DEVIS / COMMANDE / BL / FACTURE</w:t>
      </w:r>
    </w:p>
    <w:p>
      <w:pPr>
        <w:pStyle w:val="Heading3"/>
      </w:pPr>
      <w:r>
        <w:rPr>
          <w:color w:val="3730A3"/>
          <w:sz w:val="24"/>
        </w:rPr>
        <w:t>Route : `/gestion-commerciale`</w:t>
      </w:r>
    </w:p>
    <w:p>
      <w:pPr>
        <w:pStyle w:val="Heading3"/>
      </w:pPr>
      <w:r>
        <w:rPr>
          <w:color w:val="3730A3"/>
          <w:sz w:val="24"/>
        </w:rPr>
        <w:t>Workflow</w:t>
      </w:r>
    </w:p>
    <w:p>
      <w:pPr>
        <w:shd w:val="clear" w:fill="F1F3F6"/>
      </w:pPr>
      <w:r>
        <w:rPr>
          <w:rFonts w:ascii="Consolas" w:hAnsi="Consolas"/>
          <w:sz w:val="17"/>
        </w:rPr>
        <w:t>Devis (DEV-2026-NNNN) → Commande (CMD-2026-NNNN) → BL (BL-2026-NNNN) → Facture (FAC-2026-NNNN)</w:t>
      </w:r>
    </w:p>
    <w:p>
      <w:r>
        <w:t>Règles de transformation :</w:t>
      </w:r>
    </w:p>
    <w:p>
      <w:pPr>
        <w:pStyle w:val="ListBullet"/>
      </w:pPr>
      <w:r>
        <w:t xml:space="preserve">Un devis doit être </w:t>
      </w:r>
      <w:r>
        <w:rPr>
          <w:b/>
        </w:rPr>
        <w:t>Accepté</w:t>
      </w:r>
      <w:r>
        <w:t xml:space="preserve"> pour être transformé en commande</w:t>
      </w:r>
    </w:p>
    <w:p>
      <w:pPr>
        <w:pStyle w:val="ListBullet"/>
      </w:pPr>
      <w:r>
        <w:t xml:space="preserve">Une commande doit être </w:t>
      </w:r>
      <w:r>
        <w:rPr>
          <w:b/>
        </w:rPr>
        <w:t>Acceptée</w:t>
      </w:r>
      <w:r>
        <w:t xml:space="preserve"> pour générer un BL</w:t>
      </w:r>
    </w:p>
    <w:p>
      <w:pPr>
        <w:pStyle w:val="ListBullet"/>
      </w:pPr>
      <w:r>
        <w:t xml:space="preserve">Un BL doit être </w:t>
      </w:r>
      <w:r>
        <w:rPr>
          <w:b/>
        </w:rPr>
        <w:t>Livré</w:t>
      </w:r>
      <w:r>
        <w:t xml:space="preserve"> pour produire une facture</w:t>
      </w:r>
    </w:p>
    <w:p>
      <w:pPr>
        <w:pStyle w:val="ListBullet"/>
      </w:pPr>
      <w:r>
        <w:rPr>
          <w:b/>
        </w:rPr>
        <w:t>Même après transformation, les lignes et champs restent éditables</w:t>
      </w:r>
      <w:r>
        <w:t xml:space="preserve"> (ajout/modification/suppression autorisés)</w:t>
      </w:r>
    </w:p>
    <w:p>
      <w:pPr>
        <w:pStyle w:val="Heading3"/>
      </w:pPr>
      <w:r>
        <w:rPr>
          <w:color w:val="3730A3"/>
          <w:sz w:val="24"/>
        </w:rPr>
        <w:t>Sidebar gauche</w:t>
      </w:r>
    </w:p>
    <w:p>
      <w:pPr>
        <w:pStyle w:val="ListBullet"/>
      </w:pPr>
      <w:r>
        <w:t>+ Nouveau devis (raccourci proéminent)</w:t>
      </w:r>
    </w:p>
    <w:p>
      <w:pPr>
        <w:pStyle w:val="ListBullet"/>
      </w:pPr>
      <w:r>
        <w:t>Devis (compteur), Commandes client, Bons livraison, Factures</w:t>
      </w:r>
    </w:p>
    <w:p>
      <w:pPr>
        <w:pStyle w:val="ListBullet"/>
      </w:pPr>
      <w:r>
        <w:t>Section Administration → Catalogue &amp; paramètres</w:t>
      </w:r>
    </w:p>
    <w:p>
      <w:pPr>
        <w:pStyle w:val="Heading3"/>
      </w:pPr>
      <w:r>
        <w:rPr>
          <w:color w:val="3730A3"/>
          <w:sz w:val="24"/>
        </w:rPr>
        <w:t>Création automatique</w:t>
      </w:r>
    </w:p>
    <w:p>
      <w:r>
        <w:t xml:space="preserve">Quand on arrive sur </w:t>
      </w:r>
      <w:r>
        <w:rPr>
          <w:rFonts w:ascii="Consolas" w:hAnsi="Consolas"/>
          <w:sz w:val="18"/>
        </w:rPr>
        <w:t>/gestion-commerciale?client=...&amp;opp=...</w:t>
      </w:r>
      <w:r>
        <w:t xml:space="preserve"> sans </w:t>
      </w:r>
      <w:r>
        <w:rPr>
          <w:rFonts w:ascii="Consolas" w:hAnsi="Consolas"/>
          <w:sz w:val="18"/>
        </w:rPr>
        <w:t>&amp;open=...</w:t>
      </w:r>
      <w:r>
        <w:t>, un nouveau devis vierge est automatiquement créé et pré-rempli (client, opp, n° auto-incrémenté).</w:t>
      </w:r>
    </w:p>
    <w:p>
      <w:pPr>
        <w:pStyle w:val="Heading3"/>
      </w:pPr>
      <w:r>
        <w:rPr>
          <w:color w:val="3730A3"/>
          <w:sz w:val="24"/>
        </w:rPr>
        <w:t>KPI strip</w:t>
      </w:r>
    </w:p>
    <w:p>
      <w:pPr>
        <w:pStyle w:val="ListBullet"/>
      </w:pPr>
      <w:r>
        <w:t>Total HT</w:t>
      </w:r>
    </w:p>
    <w:p>
      <w:pPr>
        <w:pStyle w:val="ListBullet"/>
      </w:pPr>
      <w:r>
        <w:t>Total TTC</w:t>
      </w:r>
    </w:p>
    <w:p>
      <w:pPr>
        <w:pStyle w:val="ListBullet"/>
      </w:pPr>
      <w:r>
        <w:t>En attente (compte des documents pending)</w:t>
      </w:r>
    </w:p>
    <w:p>
      <w:pPr>
        <w:pStyle w:val="ListBullet"/>
      </w:pPr>
      <w:r>
        <w:t>Documents (compteur global)</w:t>
      </w:r>
    </w:p>
    <w:p>
      <w:pPr>
        <w:pStyle w:val="Heading3"/>
      </w:pPr>
      <w:r>
        <w:rPr>
          <w:color w:val="3730A3"/>
          <w:sz w:val="24"/>
        </w:rPr>
        <w:t>Filtres</w:t>
      </w:r>
    </w:p>
    <w:p>
      <w:pPr>
        <w:pStyle w:val="ListBullet"/>
      </w:pPr>
      <w:r>
        <w:t>Tous / Brouillons</w:t>
      </w:r>
    </w:p>
    <w:p>
      <w:pPr>
        <w:pStyle w:val="ListBullet"/>
      </w:pPr>
      <w:r>
        <w:t>Recherche : raison sociale ou code client</w:t>
      </w:r>
    </w:p>
    <w:p>
      <w:pPr>
        <w:pStyle w:val="ListBullet"/>
      </w:pPr>
      <w:r>
        <w:t>Plage de dates (</w:t>
      </w:r>
      <w:r>
        <w:rPr>
          <w:rFonts w:ascii="Consolas" w:hAnsi="Consolas"/>
          <w:sz w:val="18"/>
        </w:rPr>
        <w:t>DATE … → …</w:t>
      </w:r>
      <w:r>
        <w:t>)</w:t>
      </w:r>
    </w:p>
    <w:p>
      <w:pPr>
        <w:pStyle w:val="Heading3"/>
      </w:pPr>
      <w:r>
        <w:rPr>
          <w:color w:val="3730A3"/>
          <w:sz w:val="24"/>
        </w:rPr>
        <w:t>Liste de documents</w:t>
      </w:r>
    </w:p>
    <w:p>
      <w:r>
        <w:t>Colonnes : Référence, Code raison sociale, Date, Nom + titre, Montant HT, Statut.</w:t>
      </w:r>
    </w:p>
    <w:p>
      <w:pPr>
        <w:pStyle w:val="Heading3"/>
      </w:pPr>
      <w:r>
        <w:rPr>
          <w:color w:val="3730A3"/>
          <w:sz w:val="24"/>
        </w:rPr>
        <w:t>Panneau de prévisualisation à droite</w:t>
      </w:r>
    </w:p>
    <w:p>
      <w:r>
        <w:t>Au clic sur un document, panneau live avec :</w:t>
      </w:r>
    </w:p>
    <w:p>
      <w:pPr>
        <w:pStyle w:val="ListBullet"/>
      </w:pPr>
      <w:r>
        <w:t>Référence + statut</w:t>
      </w:r>
    </w:p>
    <w:p>
      <w:pPr>
        <w:pStyle w:val="ListBullet"/>
      </w:pPr>
      <w:r>
        <w:t>Workflow Sage en cours (D → C → B → F avec pastilles)</w:t>
      </w:r>
    </w:p>
    <w:p>
      <w:pPr>
        <w:pStyle w:val="ListBullet"/>
      </w:pPr>
      <w:r>
        <w:t>Client + date</w:t>
      </w:r>
    </w:p>
    <w:p>
      <w:pPr>
        <w:pStyle w:val="ListBullet"/>
      </w:pPr>
      <w:r>
        <w:t>Lignes du document (libellé + SKU + qty × PU)</w:t>
      </w:r>
    </w:p>
    <w:p>
      <w:pPr>
        <w:pStyle w:val="ListBullet"/>
      </w:pPr>
      <w:r>
        <w:t>Totaux HT / TVA / TTC</w:t>
      </w:r>
    </w:p>
    <w:p>
      <w:pPr>
        <w:pStyle w:val="ListBullet"/>
      </w:pPr>
      <w:r>
        <w:t xml:space="preserve">Bouton </w:t>
      </w:r>
      <w:r>
        <w:rPr>
          <w:b/>
        </w:rPr>
        <w:t>Ouvrir</w:t>
      </w:r>
      <w:r>
        <w:t xml:space="preserve"> plein écran</w:t>
      </w:r>
    </w:p>
    <w:p>
      <w:pPr>
        <w:pStyle w:val="Heading3"/>
      </w:pPr>
      <w:r>
        <w:rPr>
          <w:color w:val="3730A3"/>
          <w:sz w:val="24"/>
        </w:rPr>
        <w:t>Édition d'un document</w:t>
      </w:r>
    </w:p>
    <w:p>
      <w:r>
        <w:t>Page de saisie pleine fenêtre :</w:t>
      </w:r>
    </w:p>
    <w:p>
      <w:pPr>
        <w:pStyle w:val="ListBullet"/>
      </w:pPr>
      <w:r>
        <w:t>En-tête : référence, type (badge), client (recherche), date, validité/échéance</w:t>
      </w:r>
    </w:p>
    <w:p>
      <w:pPr>
        <w:pStyle w:val="ListBullet"/>
      </w:pPr>
      <w:r>
        <w:t>Lignes : ajout via catalogue articles (avec recherche IA en fallback)</w:t>
      </w:r>
    </w:p>
    <w:p>
      <w:pPr>
        <w:pStyle w:val="ListBullet"/>
      </w:pPr>
      <w:r>
        <w:t>Pour chaque ligne : référence article, désignation, quantité, prix unitaire HT, remise %, TVA, total HT</w:t>
      </w:r>
    </w:p>
    <w:p>
      <w:pPr>
        <w:pStyle w:val="ListBullet"/>
      </w:pPr>
      <w:r>
        <w:t>Lignes texte uniquement supportées</w:t>
      </w:r>
    </w:p>
    <w:p>
      <w:pPr>
        <w:pStyle w:val="ListBullet"/>
      </w:pPr>
      <w:r>
        <w:t>Bandeau « Devis figé » dès qu'il est Accepté ou Transformé (lecture seule, sauf les éditeurs ligne autorisés)</w:t>
      </w:r>
    </w:p>
    <w:p>
      <w:pPr>
        <w:pStyle w:val="ListBullet"/>
      </w:pPr>
      <w:r>
        <w:t>Synchronisation bidirectionnelle Commande ↔ BL (la dernière modification gagne)</w:t>
      </w:r>
    </w:p>
    <w:p>
      <w:pPr>
        <w:pStyle w:val="Heading3"/>
      </w:pPr>
      <w:r>
        <w:rPr>
          <w:color w:val="3730A3"/>
          <w:sz w:val="24"/>
        </w:rPr>
        <w:t>Catalogue d'articles</w:t>
      </w:r>
    </w:p>
    <w:p>
      <w:r>
        <w:t xml:space="preserve">Route : </w:t>
      </w:r>
      <w:r>
        <w:rPr>
          <w:rFonts w:ascii="Consolas" w:hAnsi="Consolas"/>
          <w:sz w:val="18"/>
        </w:rPr>
        <w:t>/gestion-commerciale-admin</w:t>
      </w:r>
    </w:p>
    <w:p>
      <w:pPr>
        <w:pStyle w:val="ListBullet"/>
      </w:pPr>
      <w:r>
        <w:t>Familles uniformisées (HUB, MAINTENANCE, HEBERGEMENT, TÉLÉPHONIE, IMPRESSION…)</w:t>
      </w:r>
    </w:p>
    <w:p>
      <w:pPr>
        <w:pStyle w:val="ListBullet"/>
      </w:pPr>
      <w:r>
        <w:t xml:space="preserve">Codes au format </w:t>
      </w:r>
      <w:r>
        <w:rPr>
          <w:rFonts w:ascii="Consolas" w:hAnsi="Consolas"/>
          <w:sz w:val="18"/>
        </w:rPr>
        <w:t>&lt;FAMILLE&gt;-&lt;MARQUE&gt;-&lt;MODÈLE&gt;</w:t>
      </w:r>
    </w:p>
    <w:p>
      <w:pPr>
        <w:pStyle w:val="ListBullet"/>
      </w:pPr>
      <w:r>
        <w:t>Désignations en sentence case</w:t>
      </w:r>
    </w:p>
    <w:p>
      <w:pPr>
        <w:pStyle w:val="ListBullet"/>
      </w:pPr>
      <w:r>
        <w:t>95 articles dédupliqués</w:t>
      </w:r>
    </w:p>
    <w:p>
      <w:pPr>
        <w:pStyle w:val="ListBullet"/>
      </w:pPr>
      <w:r>
        <w:t xml:space="preserve">Référence fournisseur + prix d'achat indicatif (stockés dans </w:t>
      </w:r>
      <w:r>
        <w:rPr>
          <w:rFonts w:ascii="Consolas" w:hAnsi="Consolas"/>
          <w:sz w:val="18"/>
        </w:rPr>
        <w:t>data</w:t>
      </w:r>
      <w:r>
        <w:t xml:space="preserve"> jsonb)</w:t>
      </w:r>
    </w:p>
    <w:p>
      <w:pPr>
        <w:pStyle w:val="Heading3"/>
      </w:pPr>
      <w:r>
        <w:rPr>
          <w:color w:val="3730A3"/>
          <w:sz w:val="24"/>
        </w:rPr>
        <w:t>Génération PDF</w:t>
      </w:r>
    </w:p>
    <w:p>
      <w:r>
        <w:t xml:space="preserve">Bouton </w:t>
      </w:r>
      <w:r>
        <w:rPr>
          <w:b/>
        </w:rPr>
        <w:t>📄 Aperçu PDF</w:t>
      </w:r>
      <w:r>
        <w:t xml:space="preserve"> sur chaque document :</w:t>
      </w:r>
    </w:p>
    <w:p>
      <w:pPr>
        <w:pStyle w:val="ListBullet"/>
      </w:pPr>
      <w:r>
        <w:t>Logo Astorya SVG en en-tête (300×85 px max, viewBox 0 0 3300 600)</w:t>
      </w:r>
    </w:p>
    <w:p>
      <w:pPr>
        <w:pStyle w:val="ListBullet"/>
      </w:pPr>
      <w:r>
        <w:t>Encadrés société émettrice + client</w:t>
      </w:r>
    </w:p>
    <w:p>
      <w:pPr>
        <w:pStyle w:val="ListBullet"/>
      </w:pPr>
      <w:r>
        <w:t>Tableau lignes avec colonne ligne / désignation / qté / PU HT / total HT</w:t>
      </w:r>
    </w:p>
    <w:p>
      <w:pPr>
        <w:pStyle w:val="ListBullet"/>
      </w:pPr>
      <w:r>
        <w:t xml:space="preserve">Tableau récap TVA : Code (T20, T10, T5.5…), Base HT, Taux TVA, Montant TVA, </w:t>
      </w:r>
      <w:r>
        <w:rPr>
          <w:b/>
        </w:rPr>
        <w:t>Montant TTC</w:t>
      </w:r>
    </w:p>
    <w:p>
      <w:pPr>
        <w:pStyle w:val="ListBullet"/>
      </w:pPr>
      <w:r>
        <w:t xml:space="preserve">Bloc totaux : Total HT, Total TVA, </w:t>
      </w:r>
      <w:r>
        <w:rPr>
          <w:b/>
        </w:rPr>
        <w:t>Total TTC</w:t>
      </w:r>
      <w:r>
        <w:t>, NET A PAYER (noir/blanc highlighté)</w:t>
      </w:r>
    </w:p>
    <w:p>
      <w:pPr>
        <w:pStyle w:val="ListBullet"/>
      </w:pPr>
      <w:r>
        <w:t xml:space="preserve">Bloc signature en footer </w:t>
      </w:r>
      <w:r>
        <w:rPr>
          <w:b/>
        </w:rPr>
        <w:t>uniquement sur la dernière page</w:t>
      </w:r>
      <w:r>
        <w:t xml:space="preserve"> (ne flotte plus mid-page sur les docs courts)</w:t>
      </w:r>
    </w:p>
    <w:p>
      <w:pPr>
        <w:pStyle w:val="ListBullet"/>
      </w:pPr>
      <w:r>
        <w:t>Footer : 3 colonnes Contacts (Commercial / Admin / Compta) + réserve de propriété + pagination</w:t>
      </w:r>
    </w:p>
    <w:p>
      <w:pPr>
        <w:pStyle w:val="ListBullet"/>
      </w:pPr>
      <w:r>
        <w:rPr>
          <w:b/>
        </w:rPr>
        <w:t>CGV ASTORYA 2025 au verso</w:t>
      </w:r>
      <w:r>
        <w:t xml:space="preserve"> des devis uniquement (10 articles en 2 colonnes, pageBreak before)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8. CONTRATS ET SIGNATURE ÉLECTRONIQUE</w:t>
      </w:r>
    </w:p>
    <w:p>
      <w:pPr>
        <w:pStyle w:val="Heading3"/>
      </w:pPr>
      <w:r>
        <w:rPr>
          <w:color w:val="3730A3"/>
          <w:sz w:val="24"/>
        </w:rPr>
        <w:t>Route : `/nouveau-contrat`</w:t>
      </w:r>
    </w:p>
    <w:p>
      <w:pPr>
        <w:pStyle w:val="Heading3"/>
      </w:pPr>
      <w:r>
        <w:rPr>
          <w:color w:val="3730A3"/>
          <w:sz w:val="24"/>
        </w:rPr>
        <w:t>Stepper</w:t>
      </w:r>
    </w:p>
    <w:p>
      <w:r>
        <w:t>Pilules rectangulaires identiques au workflow SPANCO :</w:t>
      </w:r>
    </w:p>
    <w:p>
      <w:pPr>
        <w:pStyle w:val="ListBullet"/>
      </w:pPr>
      <w:r>
        <w:rPr>
          <w:b/>
        </w:rPr>
        <w:t>Type &amp; rattachement</w:t>
      </w:r>
      <w:r>
        <w:t xml:space="preserve"> (gris, 15 %)</w:t>
      </w:r>
    </w:p>
    <w:p>
      <w:pPr>
        <w:pStyle w:val="ListBullet"/>
      </w:pPr>
      <w:r>
        <w:rPr>
          <w:b/>
        </w:rPr>
        <w:t>Client &amp; contact</w:t>
      </w:r>
      <w:r>
        <w:t xml:space="preserve"> (bleu, 35 %)</w:t>
      </w:r>
    </w:p>
    <w:p>
      <w:pPr>
        <w:pStyle w:val="ListBullet"/>
      </w:pPr>
      <w:r>
        <w:rPr>
          <w:b/>
        </w:rPr>
        <w:t>Produits &amp; pricing</w:t>
      </w:r>
      <w:r>
        <w:t xml:space="preserve"> (violet, 60 %)</w:t>
      </w:r>
    </w:p>
    <w:p>
      <w:pPr>
        <w:pStyle w:val="ListBullet"/>
      </w:pPr>
      <w:r>
        <w:rPr>
          <w:b/>
        </w:rPr>
        <w:t>Conditions juridiques</w:t>
      </w:r>
      <w:r>
        <w:t xml:space="preserve"> (orange, 85 %)</w:t>
      </w:r>
    </w:p>
    <w:p>
      <w:pPr>
        <w:pStyle w:val="ListBullet"/>
      </w:pPr>
      <w:r>
        <w:rPr>
          <w:b/>
        </w:rPr>
        <w:t>Signature &amp; envoi</w:t>
      </w:r>
      <w:r>
        <w:t xml:space="preserve"> (vert, 100 %)</w:t>
      </w:r>
    </w:p>
    <w:p>
      <w:r>
        <w:t>Calcul automatique de l'étape courante selon le remplissage.</w:t>
      </w:r>
    </w:p>
    <w:p>
      <w:pPr>
        <w:pStyle w:val="Heading3"/>
      </w:pPr>
      <w:r>
        <w:rPr>
          <w:color w:val="3730A3"/>
          <w:sz w:val="24"/>
        </w:rPr>
        <w:t>Section 1 — Type &amp; rattachement</w:t>
      </w:r>
    </w:p>
    <w:p>
      <w:pPr>
        <w:pStyle w:val="ListBullet"/>
      </w:pPr>
      <w:r>
        <w:t>Type de contrat : Abonnement SaaS / Licence perpétuelle / Prestation / Renouvellement</w:t>
      </w:r>
    </w:p>
    <w:p>
      <w:pPr>
        <w:pStyle w:val="ListBullet"/>
      </w:pPr>
      <w:r>
        <w:t>Catégorie : Nouveau / Extension / Upsell</w:t>
      </w:r>
    </w:p>
    <w:p>
      <w:pPr>
        <w:pStyle w:val="ListBullet"/>
      </w:pPr>
      <w:r>
        <w:t>Opportunité d'origine (reprise auto des conditions négociées)</w:t>
      </w:r>
    </w:p>
    <w:p>
      <w:pPr>
        <w:pStyle w:val="Heading3"/>
      </w:pPr>
      <w:r>
        <w:rPr>
          <w:color w:val="3730A3"/>
          <w:sz w:val="24"/>
        </w:rPr>
        <w:t>Section 2 — Client &amp; contact signataire</w:t>
      </w:r>
    </w:p>
    <w:p>
      <w:pPr>
        <w:pStyle w:val="ListBullet"/>
      </w:pPr>
      <w:r>
        <w:t>Entité contractante (rattachée au client)</w:t>
      </w:r>
    </w:p>
    <w:p>
      <w:pPr>
        <w:pStyle w:val="ListBullet"/>
      </w:pPr>
      <w:r>
        <w:t>Signataire habilité : choix dans la liste des contacts existants ou création inline (prénom, nom, fonction, email, tél)</w:t>
      </w:r>
    </w:p>
    <w:p>
      <w:pPr>
        <w:pStyle w:val="Heading3"/>
      </w:pPr>
      <w:r>
        <w:rPr>
          <w:color w:val="3730A3"/>
          <w:sz w:val="24"/>
        </w:rPr>
        <w:t>Section 3 — Produits &amp; pricing</w:t>
      </w:r>
    </w:p>
    <w:p>
      <w:pPr>
        <w:pStyle w:val="ListBullet"/>
      </w:pPr>
      <w:r>
        <w:t>Lignes catalogue éditables (libellé, SKU, PU HT, Qté, périodicité annuel/oneshot)</w:t>
      </w:r>
    </w:p>
    <w:p>
      <w:pPr>
        <w:pStyle w:val="ListBullet"/>
      </w:pPr>
      <w:r>
        <w:t>Conditions commerciales :</w:t>
      </w:r>
    </w:p>
    <w:p>
      <w:pPr>
        <w:pStyle w:val="ListBullet"/>
      </w:pPr>
      <w:r>
        <w:t>Durée d'engagement (12 / 36 / 60 mois)</w:t>
      </w:r>
    </w:p>
    <w:p>
      <w:pPr>
        <w:pStyle w:val="ListBullet"/>
      </w:pPr>
      <w:r>
        <w:t>Tacite reconduction (préavis 90 j)</w:t>
      </w:r>
    </w:p>
    <w:p>
      <w:pPr>
        <w:pStyle w:val="ListBullet"/>
      </w:pPr>
      <w:r>
        <w:t>Indexation annuelle (Aucune / SYNTEC / INSEE IPC, plafonnée à N %)</w:t>
      </w:r>
    </w:p>
    <w:p>
      <w:pPr>
        <w:pStyle w:val="ListBullet"/>
      </w:pPr>
      <w:r>
        <w:t>Délai paiement (15 j / 30 j net / 45 j fdm / 60 j)</w:t>
      </w:r>
    </w:p>
    <w:p>
      <w:pPr>
        <w:pStyle w:val="ListBullet"/>
      </w:pPr>
      <w:r>
        <w:t>Périodicité facturation (Mensuel / Trim. / Trim. terme à échoir / Annuel avance)</w:t>
      </w:r>
    </w:p>
    <w:p>
      <w:pPr>
        <w:pStyle w:val="ListBullet"/>
      </w:pPr>
      <w:r>
        <w:t>Récapitulatif financier + bloc TCV / Coûts / Marge estimée</w:t>
      </w:r>
    </w:p>
    <w:p>
      <w:pPr>
        <w:pStyle w:val="Heading3"/>
      </w:pPr>
      <w:r>
        <w:rPr>
          <w:color w:val="3730A3"/>
          <w:sz w:val="24"/>
        </w:rPr>
        <w:t>Section 4 — Conditions juridiques &amp; dates</w:t>
      </w:r>
    </w:p>
    <w:p>
      <w:pPr>
        <w:pStyle w:val="ListBullet"/>
      </w:pPr>
      <w:r>
        <w:t>Date de début / fin (auto-calculée selon durée)</w:t>
      </w:r>
    </w:p>
    <w:p>
      <w:pPr>
        <w:pStyle w:val="ListBullet"/>
      </w:pPr>
      <w:r>
        <w:t>Modèle juridique (CGV PDF uploadé via administration)</w:t>
      </w:r>
    </w:p>
    <w:p>
      <w:pPr>
        <w:pStyle w:val="ListBullet"/>
      </w:pPr>
      <w:r>
        <w:t>Annexes (SLA, DPA RGPD, RIB…)</w:t>
      </w:r>
    </w:p>
    <w:p>
      <w:pPr>
        <w:pStyle w:val="ListBullet"/>
      </w:pPr>
      <w:r>
        <w:t>Clauses spécifiques négociées (tag NÉGOCIÉ + texte libre)</w:t>
      </w:r>
    </w:p>
    <w:p>
      <w:pPr>
        <w:pStyle w:val="Heading3"/>
      </w:pPr>
      <w:r>
        <w:rPr>
          <w:color w:val="3730A3"/>
          <w:sz w:val="24"/>
        </w:rPr>
        <w:t>Panneau « 📑 Articles du contrat »</w:t>
      </w:r>
    </w:p>
    <w:p>
      <w:r>
        <w:t>Ouvert par défaut, accessible via raccourci topbar.</w:t>
      </w:r>
    </w:p>
    <w:p>
      <w:r>
        <w:t xml:space="preserve">Contenu : 16 articles pré-remplis depuis </w:t>
      </w:r>
      <w:r>
        <w:rPr>
          <w:rFonts w:ascii="Consolas" w:hAnsi="Consolas"/>
          <w:sz w:val="18"/>
        </w:rPr>
        <w:t>window.HubContractArticles</w:t>
      </w:r>
      <w:r>
        <w:t xml:space="preserve"> (extraits du « Contrat de Services Hub Astorya ») :</w:t>
      </w:r>
    </w:p>
    <w:p>
      <w:r>
        <w:t>1. Objet du contrat</w:t>
      </w:r>
    </w:p>
    <w:p>
      <w:r>
        <w:t>2. Durée et reconduction</w:t>
      </w:r>
    </w:p>
    <w:p>
      <w:r>
        <w:t>3. Description des prestations</w:t>
      </w:r>
    </w:p>
    <w:p>
      <w:r>
        <w:t>4. Tarification et facturation</w:t>
      </w:r>
    </w:p>
    <w:p>
      <w:r>
        <w:t>5. Niveaux de service (SLA)</w:t>
      </w:r>
    </w:p>
    <w:p>
      <w:r>
        <w:t>6. Obligations du Prestataire</w:t>
      </w:r>
    </w:p>
    <w:p>
      <w:r>
        <w:t>7. Obligations du Client</w:t>
      </w:r>
    </w:p>
    <w:p>
      <w:r>
        <w:t>8. Responsabilité</w:t>
      </w:r>
    </w:p>
    <w:p>
      <w:r>
        <w:t>9. Restauration et remise en fonctionnement</w:t>
      </w:r>
    </w:p>
    <w:p>
      <w:r>
        <w:t>10. Propriété intellectuelle</w:t>
      </w:r>
    </w:p>
    <w:p>
      <w:r>
        <w:t>11. Confidentialité</w:t>
      </w:r>
    </w:p>
    <w:p>
      <w:r>
        <w:t>12. Assurances</w:t>
      </w:r>
    </w:p>
    <w:p>
      <w:r>
        <w:t>13. Résiliation</w:t>
      </w:r>
    </w:p>
    <w:p>
      <w:r>
        <w:t>14. Force majeure</w:t>
      </w:r>
    </w:p>
    <w:p>
      <w:r>
        <w:t>15. Droit applicable et juridiction</w:t>
      </w:r>
    </w:p>
    <w:p>
      <w:r>
        <w:t>16. Dispositions diverses</w:t>
      </w:r>
    </w:p>
    <w:p>
      <w:r>
        <w:t>Chaque article :</w:t>
      </w:r>
    </w:p>
    <w:p>
      <w:pPr>
        <w:pStyle w:val="ListBullet"/>
      </w:pPr>
      <w:r>
        <w:t>Header cliquable (Art. N + titre + badge MODIFIÉ si edited)</w:t>
      </w:r>
    </w:p>
    <w:p>
      <w:pPr>
        <w:pStyle w:val="ListBullet"/>
      </w:pPr>
      <w:r>
        <w:t>Textarea monospace pleine largeur, hauteur auto</w:t>
      </w:r>
    </w:p>
    <w:p>
      <w:pPr>
        <w:pStyle w:val="ListBullet"/>
      </w:pPr>
      <w:r>
        <w:t>Compteur caractères / mots</w:t>
      </w:r>
    </w:p>
    <w:p>
      <w:pPr>
        <w:pStyle w:val="ListBullet"/>
      </w:pPr>
      <w:r>
        <w:t xml:space="preserve">Bouton </w:t>
      </w:r>
      <w:r>
        <w:rPr>
          <w:b/>
        </w:rPr>
        <w:t>↺ Restaurer le texte original</w:t>
      </w:r>
      <w:r>
        <w:t xml:space="preserve"> si modifié</w:t>
      </w:r>
    </w:p>
    <w:p>
      <w:r>
        <w:t>Les diffs (</w:t>
      </w:r>
      <w:r>
        <w:rPr>
          <w:rFonts w:ascii="Consolas" w:hAnsi="Consolas"/>
          <w:sz w:val="18"/>
        </w:rPr>
        <w:t>articles_overrides</w:t>
      </w:r>
      <w:r>
        <w:t>) sont sauvegardés avec le contrat.</w:t>
      </w:r>
    </w:p>
    <w:p>
      <w:pPr>
        <w:pStyle w:val="Heading3"/>
      </w:pPr>
      <w:r>
        <w:rPr>
          <w:color w:val="3730A3"/>
          <w:sz w:val="24"/>
        </w:rPr>
        <w:t>Section 5 — Signature &amp; workflow</w:t>
      </w:r>
    </w:p>
    <w:p>
      <w:r>
        <w:t>Choix du mode de signature :</w:t>
      </w:r>
    </w:p>
    <w:p>
      <w:pPr>
        <w:pStyle w:val="ListBullet"/>
      </w:pPr>
      <w:r>
        <w:rPr>
          <w:b/>
        </w:rPr>
        <w:t>✍ Signature électronique qualifiée</w:t>
      </w:r>
      <w:r>
        <w:t xml:space="preserve"> (eIDAS via DocuSign — valeur juridique probante, 2 j)</w:t>
      </w:r>
    </w:p>
    <w:p>
      <w:pPr>
        <w:pStyle w:val="ListBullet"/>
      </w:pPr>
      <w:r>
        <w:rPr>
          <w:b/>
        </w:rPr>
        <w:t>📧 Signature simple</w:t>
      </w:r>
      <w:r>
        <w:t xml:space="preserve"> (scan retour PDF, à éviter &gt; 50 k€)</w:t>
      </w:r>
    </w:p>
    <w:p>
      <w:pPr>
        <w:pStyle w:val="ListBullet"/>
      </w:pPr>
      <w:r>
        <w:rPr>
          <w:b/>
        </w:rPr>
        <w:t>🖋 Signature manuscrite</w:t>
      </w:r>
      <w:r>
        <w:t xml:space="preserve"> (original papier, RDV physique)</w:t>
      </w:r>
    </w:p>
    <w:p>
      <w:r>
        <w:t xml:space="preserve">Bandeau aperçu PDF avec mention dynamique du mode choisi + bouton </w:t>
      </w:r>
      <w:r>
        <w:rPr>
          <w:b/>
        </w:rPr>
        <w:t>📄 Voir l'aperçu PDF complet</w:t>
      </w:r>
      <w:r>
        <w:t>.</w:t>
      </w:r>
    </w:p>
    <w:p>
      <w:pPr>
        <w:pStyle w:val="Heading3"/>
      </w:pPr>
      <w:r>
        <w:rPr>
          <w:color w:val="3730A3"/>
          <w:sz w:val="24"/>
        </w:rPr>
        <w:t>Génération PDF du contrat</w:t>
      </w:r>
    </w:p>
    <w:p>
      <w:r>
        <w:t xml:space="preserve">Bouton </w:t>
      </w:r>
      <w:r>
        <w:rPr>
          <w:b/>
        </w:rPr>
        <w:t>📄 Aperçu PDF du contrat</w:t>
      </w:r>
      <w:r>
        <w:t xml:space="preserve"> + détection automatique du modèle (Auto / Hébergement / Téléphonie / Maintenance / Service / Page Pack).</w:t>
      </w:r>
    </w:p>
    <w:p>
      <w:r>
        <w:t>Contenu PDF :</w:t>
      </w:r>
    </w:p>
    <w:p>
      <w:pPr>
        <w:pStyle w:val="ListBullet"/>
      </w:pPr>
      <w:r>
        <w:t>Header logo + titre (CONDITIONS PARTICULIÈRES)</w:t>
      </w:r>
    </w:p>
    <w:p>
      <w:pPr>
        <w:pStyle w:val="ListBullet"/>
      </w:pPr>
      <w:r>
        <w:t>Identification des parties (Prestataire + Client)</w:t>
      </w:r>
    </w:p>
    <w:p>
      <w:pPr>
        <w:pStyle w:val="ListBullet"/>
      </w:pPr>
      <w:r>
        <w:t>Description de la prestation + tableau capacité/volume</w:t>
      </w:r>
    </w:p>
    <w:p>
      <w:pPr>
        <w:pStyle w:val="ListBullet"/>
      </w:pPr>
      <w:r>
        <w:t>Conditions financières (coût + facturation + périodicité)</w:t>
      </w:r>
    </w:p>
    <w:p>
      <w:pPr>
        <w:pStyle w:val="ListBullet"/>
      </w:pPr>
      <w:r>
        <w:t>Conditions particulières (sites, durée, référent, délai paiement, indexation)</w:t>
      </w:r>
    </w:p>
    <w:p>
      <w:pPr>
        <w:pStyle w:val="ListBullet"/>
      </w:pPr>
      <w:r>
        <w:t>Bloc signature</w:t>
      </w:r>
    </w:p>
    <w:p>
      <w:pPr>
        <w:pStyle w:val="ListBullet"/>
      </w:pPr>
      <w:r>
        <w:rPr>
          <w:b/>
        </w:rPr>
        <w:t>16 articles personnalisés</w:t>
      </w:r>
      <w:r>
        <w:t xml:space="preserve"> (depuis le panneau dépliable) — remplacent les CGV génériques quand </w:t>
      </w:r>
      <w:r>
        <w:rPr>
          <w:rFonts w:ascii="Consolas" w:hAnsi="Consolas"/>
          <w:sz w:val="18"/>
        </w:rPr>
        <w:t>payload.articles</w:t>
      </w:r>
      <w:r>
        <w:t xml:space="preserve"> est fourni</w:t>
      </w:r>
    </w:p>
    <w:p>
      <w:pPr>
        <w:pStyle w:val="ListBullet"/>
      </w:pPr>
      <w:r>
        <w:t>Mandat SEPA (selon type)</w:t>
      </w:r>
    </w:p>
    <w:p>
      <w:pPr>
        <w:pStyle w:val="ListBullet"/>
      </w:pPr>
      <w:r>
        <w:t>Footer pagination + identité Astorya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9. PLANNING COMMERCIAL</w:t>
      </w:r>
    </w:p>
    <w:p>
      <w:pPr>
        <w:pStyle w:val="Heading3"/>
      </w:pPr>
      <w:r>
        <w:rPr>
          <w:color w:val="3730A3"/>
          <w:sz w:val="24"/>
        </w:rPr>
        <w:t>Route : `/planning-commercial`</w:t>
      </w:r>
    </w:p>
    <w:p>
      <w:r>
        <w:t>Vue calendaire style Outlook :</w:t>
      </w:r>
    </w:p>
    <w:p>
      <w:pPr>
        <w:pStyle w:val="ListBullet"/>
      </w:pPr>
      <w:r>
        <w:t>Grille 7 colonnes Lun → Dim, cellules jour 110 px</w:t>
      </w:r>
    </w:p>
    <w:p>
      <w:pPr>
        <w:pStyle w:val="ListBullet"/>
      </w:pPr>
      <w:r>
        <w:t>Navigation ‹ Aujourd'hui ›</w:t>
      </w:r>
    </w:p>
    <w:p>
      <w:pPr>
        <w:pStyle w:val="ListBullet"/>
      </w:pPr>
      <w:r>
        <w:t>Numéro du jour cerclé rouge si aujourd'hui</w:t>
      </w:r>
    </w:p>
    <w:p>
      <w:pPr>
        <w:pStyle w:val="ListBullet"/>
      </w:pPr>
      <w:r>
        <w:t>Week-ends et jours hors-mois en gris pâle</w:t>
      </w:r>
    </w:p>
    <w:p>
      <w:pPr>
        <w:pStyle w:val="ListBullet"/>
      </w:pPr>
      <w:r>
        <w:t>Événements en pilules colorées avec bordure gauche :</w:t>
      </w:r>
    </w:p>
    <w:p>
      <w:pPr>
        <w:pStyle w:val="ListBullet"/>
      </w:pPr>
      <w:r>
        <w:rPr>
          <w:b/>
        </w:rPr>
        <w:t>Violet</w:t>
      </w:r>
      <w:r>
        <w:t xml:space="preserve"> : Date de décision potentielle</w:t>
      </w:r>
    </w:p>
    <w:p>
      <w:pPr>
        <w:pStyle w:val="ListBullet"/>
      </w:pPr>
      <w:r>
        <w:rPr>
          <w:b/>
        </w:rPr>
        <w:t>Cyan</w:t>
      </w:r>
      <w:r>
        <w:t xml:space="preserve"> : Échéance contrat concurrent</w:t>
      </w:r>
    </w:p>
    <w:p>
      <w:pPr>
        <w:pStyle w:val="ListBullet"/>
      </w:pPr>
      <w:r>
        <w:t>Pastille couleur stage SPANCO devant le nom</w:t>
      </w:r>
    </w:p>
    <w:p>
      <w:pPr>
        <w:pStyle w:val="ListBullet"/>
      </w:pPr>
      <w:r>
        <w:t>Limite 3 événements par jour + lien « + N de plus » → popup détaillé</w:t>
      </w:r>
    </w:p>
    <w:p>
      <w:pPr>
        <w:pStyle w:val="ListBullet"/>
      </w:pPr>
      <w:r>
        <w:t>Filtre : Toutes / Décision / Concurrent</w:t>
      </w:r>
    </w:p>
    <w:p>
      <w:r>
        <w:t xml:space="preserve">Source de données : </w:t>
      </w:r>
      <w:r>
        <w:rPr>
          <w:rFonts w:ascii="Consolas" w:hAnsi="Consolas"/>
          <w:sz w:val="18"/>
        </w:rPr>
        <w:t>api.opportunities.list()</w:t>
      </w:r>
      <w:r>
        <w:t>. Chaque opp génère 1 ou 2 entrées selon les dates renseignées.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10. TICKETS ET HOTLINE</w:t>
      </w:r>
    </w:p>
    <w:p>
      <w:pPr>
        <w:pStyle w:val="Heading3"/>
      </w:pPr>
      <w:r>
        <w:rPr>
          <w:color w:val="3730A3"/>
          <w:sz w:val="24"/>
        </w:rPr>
        <w:t>Route : `/ticketing`</w:t>
      </w:r>
    </w:p>
    <w:p>
      <w:pPr>
        <w:pStyle w:val="ListBullet"/>
      </w:pPr>
      <w:r>
        <w:t>Liste des tickets avec filtres : priorité (P1–P4), statut, type, owner</w:t>
      </w:r>
    </w:p>
    <w:p>
      <w:pPr>
        <w:pStyle w:val="ListBullet"/>
      </w:pPr>
      <w:r>
        <w:t>Compteur P1 (clignotant rouge si &gt; 0)</w:t>
      </w:r>
    </w:p>
    <w:p>
      <w:pPr>
        <w:pStyle w:val="ListBullet"/>
      </w:pPr>
      <w:r>
        <w:t>Création de ticket via modale (client, type, description, priorité, SLA)</w:t>
      </w:r>
    </w:p>
    <w:p>
      <w:pPr>
        <w:pStyle w:val="ListBullet"/>
      </w:pPr>
      <w:r>
        <w:t>Détail ticket : timeline, attachments, échanges, escalade</w:t>
      </w:r>
    </w:p>
    <w:p>
      <w:pPr>
        <w:pStyle w:val="ListBullet"/>
      </w:pPr>
      <w:r>
        <w:t>Intégration 3CX (lancement appel via Web Client)</w:t>
      </w:r>
    </w:p>
    <w:p>
      <w:pPr>
        <w:pStyle w:val="Heading3"/>
      </w:pPr>
      <w:r>
        <w:rPr>
          <w:color w:val="3730A3"/>
          <w:sz w:val="24"/>
        </w:rPr>
        <w:t>Hotline popup</w:t>
      </w:r>
    </w:p>
    <w:p>
      <w:r>
        <w:t>Notifications temps réel :</w:t>
      </w:r>
    </w:p>
    <w:p>
      <w:pPr>
        <w:pStyle w:val="ListBullet"/>
      </w:pPr>
      <w:r>
        <w:t>Pop-up clignotant sur P1 entrant</w:t>
      </w:r>
    </w:p>
    <w:p>
      <w:pPr>
        <w:pStyle w:val="ListBullet"/>
      </w:pPr>
      <w:r>
        <w:t>Toast de notification sur P2</w:t>
      </w:r>
    </w:p>
    <w:p>
      <w:pPr>
        <w:pStyle w:val="ListBullet"/>
      </w:pPr>
      <w:r>
        <w:t>Lien direct vers le ticket</w:t>
      </w:r>
    </w:p>
    <w:p>
      <w:pPr>
        <w:pStyle w:val="ListBullet"/>
      </w:pPr>
      <w:r>
        <w:t>Acquittement obligatoire</w:t>
      </w:r>
    </w:p>
    <w:p>
      <w:pPr>
        <w:pStyle w:val="Heading3"/>
      </w:pPr>
      <w:r>
        <w:rPr>
          <w:color w:val="3730A3"/>
          <w:sz w:val="24"/>
        </w:rPr>
        <w:t>Procédure badge</w:t>
      </w:r>
    </w:p>
    <w:p>
      <w:r>
        <w:t>Sur chaque ticket, badge de procédure standard (RAS / Escalade / Intervention sur site / Devis nécessaire) avec checklist de qualification.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11. PROJETS ET LIVRABLES</w:t>
      </w:r>
    </w:p>
    <w:p>
      <w:pPr>
        <w:pStyle w:val="Heading3"/>
      </w:pPr>
      <w:r>
        <w:rPr>
          <w:color w:val="3730A3"/>
          <w:sz w:val="24"/>
        </w:rPr>
        <w:t>Routes</w:t>
      </w:r>
    </w:p>
    <w:p>
      <w:pPr>
        <w:pStyle w:val="ListBullet"/>
      </w:pPr>
      <w:r>
        <w:rPr>
          <w:rFonts w:ascii="Consolas" w:hAnsi="Consolas"/>
          <w:sz w:val="18"/>
        </w:rPr>
        <w:t>/projets</w:t>
      </w:r>
      <w:r>
        <w:t xml:space="preserve"> — Liste maîtresse</w:t>
      </w:r>
    </w:p>
    <w:p>
      <w:pPr>
        <w:pStyle w:val="ListBullet"/>
      </w:pPr>
      <w:r>
        <w:rPr>
          <w:rFonts w:ascii="Consolas" w:hAnsi="Consolas"/>
          <w:sz w:val="18"/>
        </w:rPr>
        <w:t>/projets-tableau</w:t>
      </w:r>
      <w:r>
        <w:t xml:space="preserve"> — Vue tableau triable</w:t>
      </w:r>
    </w:p>
    <w:p>
      <w:pPr>
        <w:pStyle w:val="ListBullet"/>
      </w:pPr>
      <w:r>
        <w:rPr>
          <w:rFonts w:ascii="Consolas" w:hAnsi="Consolas"/>
          <w:sz w:val="18"/>
        </w:rPr>
        <w:t>/projets-kanban</w:t>
      </w:r>
      <w:r>
        <w:t xml:space="preserve"> — Kanban par statut</w:t>
      </w:r>
    </w:p>
    <w:p>
      <w:pPr>
        <w:pStyle w:val="ListBullet"/>
      </w:pPr>
      <w:r>
        <w:rPr>
          <w:rFonts w:ascii="Consolas" w:hAnsi="Consolas"/>
          <w:sz w:val="18"/>
        </w:rPr>
        <w:t>/projets-calendrier</w:t>
      </w:r>
      <w:r>
        <w:t xml:space="preserve"> — Vue calendrier</w:t>
      </w:r>
    </w:p>
    <w:p>
      <w:pPr>
        <w:pStyle w:val="ListBullet"/>
      </w:pPr>
      <w:r>
        <w:rPr>
          <w:rFonts w:ascii="Consolas" w:hAnsi="Consolas"/>
          <w:sz w:val="18"/>
        </w:rPr>
        <w:t>/projets-gantt</w:t>
      </w:r>
      <w:r>
        <w:t xml:space="preserve"> — Diagramme de Gantt</w:t>
      </w:r>
    </w:p>
    <w:p>
      <w:pPr>
        <w:pStyle w:val="ListBullet"/>
      </w:pPr>
      <w:r>
        <w:rPr>
          <w:rFonts w:ascii="Consolas" w:hAnsi="Consolas"/>
          <w:sz w:val="18"/>
        </w:rPr>
        <w:t>/projet?id=...</w:t>
      </w:r>
      <w:r>
        <w:t xml:space="preserve"> — Détail projet</w:t>
      </w:r>
    </w:p>
    <w:p>
      <w:pPr>
        <w:pStyle w:val="Heading3"/>
      </w:pPr>
      <w:r>
        <w:rPr>
          <w:color w:val="3730A3"/>
          <w:sz w:val="24"/>
        </w:rPr>
        <w:t>Fonctionnalités</w:t>
      </w:r>
    </w:p>
    <w:p>
      <w:pPr>
        <w:pStyle w:val="ListBullet"/>
      </w:pPr>
      <w:r>
        <w:t xml:space="preserve">Auto-création de projet quand une opp passe en stage </w:t>
      </w:r>
      <w:r>
        <w:rPr>
          <w:rFonts w:ascii="Consolas" w:hAnsi="Consolas"/>
          <w:sz w:val="18"/>
        </w:rPr>
        <w:t>won</w:t>
      </w:r>
      <w:r>
        <w:t xml:space="preserve"> (Ordre)</w:t>
      </w:r>
    </w:p>
    <w:p>
      <w:pPr>
        <w:pStyle w:val="ListBullet"/>
      </w:pPr>
      <w:r>
        <w:t>Lien bidirectionnel opportunity_id ↔ project_id</w:t>
      </w:r>
    </w:p>
    <w:p>
      <w:pPr>
        <w:pStyle w:val="ListBullet"/>
      </w:pPr>
      <w:r>
        <w:t>Statuts : Prévu, En cours, En pause, Terminé, Annulé</w:t>
      </w:r>
    </w:p>
    <w:p>
      <w:pPr>
        <w:pStyle w:val="ListBullet"/>
      </w:pPr>
      <w:r>
        <w:t>Phases avec dates de début/fin + responsable</w:t>
      </w:r>
    </w:p>
    <w:p>
      <w:pPr>
        <w:pStyle w:val="ListBullet"/>
      </w:pPr>
      <w:r>
        <w:t>Documents commerciaux liés (devis, commande, BL, facture)</w:t>
      </w:r>
    </w:p>
    <w:p>
      <w:pPr>
        <w:pStyle w:val="ListBullet"/>
      </w:pPr>
      <w:r>
        <w:t>Inventaire des actifs livrés (modale AssetInventory)</w:t>
      </w:r>
    </w:p>
    <w:p>
      <w:pPr>
        <w:pStyle w:val="ListBullet"/>
      </w:pPr>
      <w:r>
        <w:t>Compteur d'heures consommées (lien temps &amp; activités)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12. TEMPS ET ACTIVITÉS</w:t>
      </w:r>
    </w:p>
    <w:p>
      <w:pPr>
        <w:pStyle w:val="Heading3"/>
      </w:pPr>
      <w:r>
        <w:rPr>
          <w:color w:val="3730A3"/>
          <w:sz w:val="24"/>
        </w:rPr>
        <w:t>Route : `/temps-activites`</w:t>
      </w:r>
    </w:p>
    <w:p>
      <w:pPr>
        <w:pStyle w:val="ListBullet"/>
      </w:pPr>
      <w:r>
        <w:t>Saisie temps par jour / semaine / mois</w:t>
      </w:r>
    </w:p>
    <w:p>
      <w:pPr>
        <w:pStyle w:val="ListBullet"/>
      </w:pPr>
      <w:r>
        <w:t>Catégories : Production, Avant-vente, Support, Administratif, Formation</w:t>
      </w:r>
    </w:p>
    <w:p>
      <w:pPr>
        <w:pStyle w:val="ListBullet"/>
      </w:pPr>
      <w:r>
        <w:t>Rattachement client / projet / ticket</w:t>
      </w:r>
    </w:p>
    <w:p>
      <w:pPr>
        <w:pStyle w:val="ListBullet"/>
      </w:pPr>
      <w:r>
        <w:t>Validation manager</w:t>
      </w:r>
    </w:p>
    <w:p>
      <w:pPr>
        <w:pStyle w:val="ListBullet"/>
      </w:pPr>
      <w:r>
        <w:t>Export CSV pour paie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13. STOCK ET CATALOGUE</w:t>
      </w:r>
    </w:p>
    <w:p>
      <w:pPr>
        <w:pStyle w:val="Heading3"/>
      </w:pPr>
      <w:r>
        <w:rPr>
          <w:color w:val="3730A3"/>
          <w:sz w:val="24"/>
        </w:rPr>
        <w:t>Route : `/stock`</w:t>
      </w:r>
    </w:p>
    <w:p>
      <w:pPr>
        <w:pStyle w:val="ListBullet"/>
      </w:pPr>
      <w:r>
        <w:t>Inventaire des actifs (matériel + licences)</w:t>
      </w:r>
    </w:p>
    <w:p>
      <w:pPr>
        <w:pStyle w:val="ListBullet"/>
      </w:pPr>
      <w:r>
        <w:t>Liaison fournisseur (table suppliers + combo dynamique)</w:t>
      </w:r>
    </w:p>
    <w:p>
      <w:pPr>
        <w:pStyle w:val="ListBullet"/>
      </w:pPr>
      <w:r>
        <w:t>Mouvements : entrée, sortie, transfert, réservation</w:t>
      </w:r>
    </w:p>
    <w:p>
      <w:pPr>
        <w:pStyle w:val="ListBullet"/>
      </w:pPr>
      <w:r>
        <w:t>Catalogue articles (familles, marques, modèles, prix d'achat indicatif, prix de vente)</w:t>
      </w:r>
    </w:p>
    <w:p>
      <w:pPr>
        <w:pStyle w:val="ListBullet"/>
      </w:pPr>
      <w:r>
        <w:t>Modale AssetInventory pour rattacher du stock à un projet/client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14. COMPTABILITÉ ET TRÉSORERIE</w:t>
      </w:r>
    </w:p>
    <w:p>
      <w:pPr>
        <w:pStyle w:val="Heading3"/>
      </w:pPr>
      <w:r>
        <w:rPr>
          <w:color w:val="3730A3"/>
          <w:sz w:val="24"/>
        </w:rPr>
        <w:t>Routes</w:t>
      </w:r>
    </w:p>
    <w:p>
      <w:pPr>
        <w:pStyle w:val="ListBullet"/>
      </w:pPr>
      <w:r>
        <w:rPr>
          <w:rFonts w:ascii="Consolas" w:hAnsi="Consolas"/>
          <w:sz w:val="18"/>
        </w:rPr>
        <w:t>/comptabilite</w:t>
      </w:r>
      <w:r>
        <w:t xml:space="preserve"> — Vue d'ensemble</w:t>
      </w:r>
    </w:p>
    <w:p>
      <w:pPr>
        <w:pStyle w:val="ListBullet"/>
      </w:pPr>
      <w:r>
        <w:rPr>
          <w:rFonts w:ascii="Consolas" w:hAnsi="Consolas"/>
          <w:sz w:val="18"/>
        </w:rPr>
        <w:t>/facturation</w:t>
      </w:r>
      <w:r>
        <w:t xml:space="preserve"> — Gestion factures et avoirs</w:t>
      </w:r>
    </w:p>
    <w:p>
      <w:pPr>
        <w:pStyle w:val="ListBullet"/>
      </w:pPr>
      <w:r>
        <w:rPr>
          <w:rFonts w:ascii="Consolas" w:hAnsi="Consolas"/>
          <w:sz w:val="18"/>
        </w:rPr>
        <w:t>/tresorerie</w:t>
      </w:r>
      <w:r>
        <w:t xml:space="preserve"> — Encaissements / décaissements</w:t>
      </w:r>
    </w:p>
    <w:p>
      <w:pPr>
        <w:pStyle w:val="Heading3"/>
      </w:pPr>
      <w:r>
        <w:rPr>
          <w:color w:val="3730A3"/>
          <w:sz w:val="24"/>
        </w:rPr>
        <w:t>Fonctionnalités</w:t>
      </w:r>
    </w:p>
    <w:p>
      <w:pPr>
        <w:pStyle w:val="ListBullet"/>
      </w:pPr>
      <w:r>
        <w:t>Export FEC (Fichier des Écritures Comptables)</w:t>
      </w:r>
    </w:p>
    <w:p>
      <w:pPr>
        <w:pStyle w:val="ListBullet"/>
      </w:pPr>
      <w:r>
        <w:t>Rapprochement bancaire manuel</w:t>
      </w:r>
    </w:p>
    <w:p>
      <w:pPr>
        <w:pStyle w:val="ListBullet"/>
      </w:pPr>
      <w:r>
        <w:t>Suivi des relances (J+15, J+30, J+45 fdm)</w:t>
      </w:r>
    </w:p>
    <w:p>
      <w:pPr>
        <w:pStyle w:val="ListBullet"/>
      </w:pPr>
      <w:r>
        <w:t>Tableau de bord ARC (Avenir Recouvrement Clients)</w:t>
      </w:r>
    </w:p>
    <w:p>
      <w:pPr>
        <w:pStyle w:val="ListBullet"/>
      </w:pPr>
      <w:r>
        <w:t>Graphes : CA mensuel, marge, créances par âge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15. MARKETING ET INTELLIGENCE CONCURRENTIELLE</w:t>
      </w:r>
    </w:p>
    <w:p>
      <w:pPr>
        <w:pStyle w:val="Heading3"/>
      </w:pPr>
      <w:r>
        <w:rPr>
          <w:color w:val="3730A3"/>
          <w:sz w:val="24"/>
        </w:rPr>
        <w:t>Routes</w:t>
      </w:r>
    </w:p>
    <w:p>
      <w:pPr>
        <w:pStyle w:val="ListBullet"/>
      </w:pPr>
      <w:r>
        <w:rPr>
          <w:rFonts w:ascii="Consolas" w:hAnsi="Consolas"/>
          <w:sz w:val="18"/>
        </w:rPr>
        <w:t>/marketing</w:t>
      </w:r>
      <w:r>
        <w:t xml:space="preserve"> — Pilotage campagnes</w:t>
      </w:r>
    </w:p>
    <w:p>
      <w:pPr>
        <w:pStyle w:val="ListBullet"/>
      </w:pPr>
      <w:r>
        <w:rPr>
          <w:rFonts w:ascii="Consolas" w:hAnsi="Consolas"/>
          <w:sz w:val="18"/>
        </w:rPr>
        <w:t>/intelligence-concurrentielle</w:t>
      </w:r>
      <w:r>
        <w:t xml:space="preserve"> — Veille concurrents</w:t>
      </w:r>
    </w:p>
    <w:p>
      <w:pPr>
        <w:pStyle w:val="ListBullet"/>
      </w:pPr>
      <w:r>
        <w:rPr>
          <w:rFonts w:ascii="Consolas" w:hAnsi="Consolas"/>
          <w:sz w:val="18"/>
        </w:rPr>
        <w:t>/fins-contrats-concurrents</w:t>
      </w:r>
      <w:r>
        <w:t xml:space="preserve"> — Pipeline reconquête concurrent</w:t>
      </w:r>
    </w:p>
    <w:p>
      <w:pPr>
        <w:pStyle w:val="Heading3"/>
      </w:pPr>
      <w:r>
        <w:rPr>
          <w:color w:val="3730A3"/>
          <w:sz w:val="24"/>
        </w:rPr>
        <w:t>Marketing</w:t>
      </w:r>
    </w:p>
    <w:p>
      <w:pPr>
        <w:pStyle w:val="ListBullet"/>
      </w:pPr>
      <w:r>
        <w:t>Campagnes email, événements, salons</w:t>
      </w:r>
    </w:p>
    <w:p>
      <w:pPr>
        <w:pStyle w:val="ListBullet"/>
      </w:pPr>
      <w:r>
        <w:t>Tracking des leads par source</w:t>
      </w:r>
    </w:p>
    <w:p>
      <w:pPr>
        <w:pStyle w:val="ListBullet"/>
      </w:pPr>
      <w:r>
        <w:t>Brouillons IA d'emails d'introduction</w:t>
      </w:r>
    </w:p>
    <w:p>
      <w:pPr>
        <w:pStyle w:val="ListBullet"/>
      </w:pPr>
      <w:r>
        <w:t>Plaquette PDF Astorya téléchargeable</w:t>
      </w:r>
    </w:p>
    <w:p>
      <w:pPr>
        <w:pStyle w:val="Heading3"/>
      </w:pPr>
      <w:r>
        <w:rPr>
          <w:color w:val="3730A3"/>
          <w:sz w:val="24"/>
        </w:rPr>
        <w:t>Intelligence concurrentielle</w:t>
      </w:r>
    </w:p>
    <w:p>
      <w:pPr>
        <w:pStyle w:val="ListBullet"/>
      </w:pPr>
      <w:r>
        <w:t>Battle cards par concurrent (Salesforce, Pega, Sage…)</w:t>
      </w:r>
    </w:p>
    <w:p>
      <w:pPr>
        <w:pStyle w:val="ListBullet"/>
      </w:pPr>
      <w:r>
        <w:t>Forces / faiblesses / pricing comparé</w:t>
      </w:r>
    </w:p>
    <w:p>
      <w:pPr>
        <w:pStyle w:val="ListBullet"/>
      </w:pPr>
      <w:r>
        <w:t>Cas clients gagnés contre concurrent</w:t>
      </w:r>
    </w:p>
    <w:p>
      <w:pPr>
        <w:pStyle w:val="ListBullet"/>
      </w:pPr>
      <w:r>
        <w:t>Veille tarifaire et nouveautés produit</w:t>
      </w:r>
    </w:p>
    <w:p>
      <w:pPr>
        <w:pStyle w:val="Heading3"/>
      </w:pPr>
      <w:r>
        <w:rPr>
          <w:color w:val="3730A3"/>
          <w:sz w:val="24"/>
        </w:rPr>
        <w:t>Fins de contrats concurrents</w:t>
      </w:r>
    </w:p>
    <w:p>
      <w:r>
        <w:t xml:space="preserve">Vue dédiée des opportunités avec champ </w:t>
      </w:r>
      <w:r>
        <w:rPr>
          <w:rFonts w:ascii="Consolas" w:hAnsi="Consolas"/>
          <w:sz w:val="18"/>
        </w:rPr>
        <w:t>contract_end</w:t>
      </w:r>
      <w:r>
        <w:t xml:space="preserve"> renseigné, triées par urgence. Permet de relancer les prospects 90 jours avant la fin de leur contrat actuel.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16. RESSOURCES HUMAINES</w:t>
      </w:r>
    </w:p>
    <w:p>
      <w:pPr>
        <w:pStyle w:val="Heading3"/>
      </w:pPr>
      <w:r>
        <w:rPr>
          <w:color w:val="3730A3"/>
          <w:sz w:val="24"/>
        </w:rPr>
        <w:t>Route : `/ressources-humaines`</w:t>
      </w:r>
    </w:p>
    <w:p>
      <w:pPr>
        <w:pStyle w:val="ListBullet"/>
      </w:pPr>
      <w:r>
        <w:t>Annuaire collaborateurs</w:t>
      </w:r>
    </w:p>
    <w:p>
      <w:pPr>
        <w:pStyle w:val="ListBullet"/>
      </w:pPr>
      <w:r>
        <w:t>Onboarding / offboarding</w:t>
      </w:r>
    </w:p>
    <w:p>
      <w:pPr>
        <w:pStyle w:val="ListBullet"/>
      </w:pPr>
      <w:r>
        <w:t>Compétences et certifications</w:t>
      </w:r>
    </w:p>
    <w:p>
      <w:pPr>
        <w:pStyle w:val="ListBullet"/>
      </w:pPr>
      <w:r>
        <w:t>Suivi formations</w:t>
      </w:r>
    </w:p>
    <w:p>
      <w:pPr>
        <w:pStyle w:val="ListBullet"/>
      </w:pPr>
      <w:r>
        <w:t>Évaluations annuelles</w:t>
      </w:r>
    </w:p>
    <w:p>
      <w:pPr>
        <w:pStyle w:val="Heading3"/>
      </w:pPr>
      <w:r>
        <w:rPr>
          <w:color w:val="3730A3"/>
          <w:sz w:val="24"/>
        </w:rPr>
        <w:t>Équipe commerciale</w:t>
      </w:r>
    </w:p>
    <w:p>
      <w:r>
        <w:t xml:space="preserve">Route : </w:t>
      </w:r>
      <w:r>
        <w:rPr>
          <w:rFonts w:ascii="Consolas" w:hAnsi="Consolas"/>
          <w:sz w:val="18"/>
        </w:rPr>
        <w:t>/equipe-commerciale</w:t>
      </w:r>
      <w:r>
        <w:t xml:space="preserve"> — Vue dédiée des commerciaux avec leurs KPI individuels (CA généré, taux de transformation, panier moyen, opportunités en cours).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17. ADMINISTRATION ET PARAMÉTRAGE</w:t>
      </w:r>
    </w:p>
    <w:p>
      <w:pPr>
        <w:pStyle w:val="Heading3"/>
      </w:pPr>
      <w:r>
        <w:rPr>
          <w:color w:val="3730A3"/>
          <w:sz w:val="24"/>
        </w:rPr>
        <w:t>Routes</w:t>
      </w:r>
    </w:p>
    <w:p>
      <w:pPr>
        <w:pStyle w:val="ListBullet"/>
      </w:pPr>
      <w:r>
        <w:rPr>
          <w:rFonts w:ascii="Consolas" w:hAnsi="Consolas"/>
          <w:sz w:val="18"/>
        </w:rPr>
        <w:t>/administration-utilisateurs</w:t>
      </w:r>
      <w:r>
        <w:t xml:space="preserve"> — Gestion users, rôles, permissions, modèles CGV</w:t>
      </w:r>
    </w:p>
    <w:p>
      <w:pPr>
        <w:pStyle w:val="ListBullet"/>
      </w:pPr>
      <w:r>
        <w:rPr>
          <w:rFonts w:ascii="Consolas" w:hAnsi="Consolas"/>
          <w:sz w:val="18"/>
        </w:rPr>
        <w:t>/administration-contrats-mapping</w:t>
      </w:r>
      <w:r>
        <w:t xml:space="preserve"> — Règles de détection auto du modèle de contrat</w:t>
      </w:r>
    </w:p>
    <w:p>
      <w:pPr>
        <w:pStyle w:val="Heading3"/>
      </w:pPr>
      <w:r>
        <w:rPr>
          <w:color w:val="3730A3"/>
          <w:sz w:val="24"/>
        </w:rPr>
        <w:t>Administration utilisateurs</w:t>
      </w:r>
    </w:p>
    <w:p>
      <w:pPr>
        <w:pStyle w:val="ListBullet"/>
      </w:pPr>
      <w:r>
        <w:t>Création / modification / désactivation de compte</w:t>
      </w:r>
    </w:p>
    <w:p>
      <w:pPr>
        <w:pStyle w:val="ListBullet"/>
      </w:pPr>
      <w:r>
        <w:t>Attribution de rôle (Admin / Commercial / Technicien / Comptable / Lecture)</w:t>
      </w:r>
    </w:p>
    <w:p>
      <w:pPr>
        <w:pStyle w:val="ListBullet"/>
      </w:pPr>
      <w:r>
        <w:t>Upload de templates CGV (PDF) avec extraction de texte</w:t>
      </w:r>
    </w:p>
    <w:p>
      <w:pPr>
        <w:pStyle w:val="ListBullet"/>
      </w:pPr>
      <w:r>
        <w:t xml:space="preserve">Templates marqués </w:t>
      </w:r>
      <w:r>
        <w:rPr>
          <w:rFonts w:ascii="Consolas" w:hAnsi="Consolas"/>
          <w:sz w:val="18"/>
        </w:rPr>
        <w:t>is_default</w:t>
      </w:r>
      <w:r>
        <w:t xml:space="preserve"> pour pré-sélection</w:t>
      </w:r>
    </w:p>
    <w:p>
      <w:pPr>
        <w:pStyle w:val="Heading3"/>
      </w:pPr>
      <w:r>
        <w:rPr>
          <w:color w:val="3730A3"/>
          <w:sz w:val="24"/>
        </w:rPr>
        <w:t>Bouton de purge</w:t>
      </w:r>
    </w:p>
    <w:p>
      <w:r>
        <w:t xml:space="preserve">Bouton </w:t>
      </w:r>
      <w:r>
        <w:rPr>
          <w:b/>
        </w:rPr>
        <w:t>🧹 Purger opportunités</w:t>
      </w:r>
      <w:r>
        <w:t xml:space="preserve"> (admin uniquement) — supprime toutes les opportunités test/junk de la table + localStorage. Action irréversible avec triple confirmation.</w:t>
      </w:r>
    </w:p>
    <w:p>
      <w:pPr>
        <w:pStyle w:val="Heading3"/>
      </w:pPr>
      <w:r>
        <w:rPr>
          <w:color w:val="3730A3"/>
          <w:sz w:val="24"/>
        </w:rPr>
        <w:t>Mapping contrats</w:t>
      </w:r>
    </w:p>
    <w:p>
      <w:r>
        <w:t>Règles de détection automatique du modèle de contrat selon les SKU produits :</w:t>
      </w:r>
    </w:p>
    <w:p>
      <w:pPr>
        <w:pStyle w:val="ListBullet"/>
      </w:pPr>
      <w:r>
        <w:t>HOST/HEBE/SERV/365/EXCH → Hébergement</w:t>
      </w:r>
    </w:p>
    <w:p>
      <w:pPr>
        <w:pStyle w:val="ListBullet"/>
      </w:pPr>
      <w:r>
        <w:t>TEL/PHONE/SDA/FIBRE → Téléphonie</w:t>
      </w:r>
    </w:p>
    <w:p>
      <w:pPr>
        <w:pStyle w:val="ListBullet"/>
      </w:pPr>
      <w:r>
        <w:t>MAINT/HOTLINE/SUPPORT → Maintenance</w:t>
      </w:r>
    </w:p>
    <w:p>
      <w:pPr>
        <w:pStyle w:val="ListBullet"/>
      </w:pPr>
      <w:r>
        <w:t>SVC/PREST → Service</w:t>
      </w:r>
    </w:p>
    <w:p>
      <w:pPr>
        <w:pStyle w:val="ListBullet"/>
      </w:pPr>
      <w:r>
        <w:t>PAGE/PACK/PRINT/MFP → Page Pack</w:t>
      </w:r>
    </w:p>
    <w:p>
      <w:pPr>
        <w:pStyle w:val="ListBullet"/>
      </w:pPr>
      <w:r>
        <w:t>Règles utilisateur custom configurables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18. SÉCURITÉ ET RGPD</w:t>
      </w:r>
    </w:p>
    <w:p>
      <w:pPr>
        <w:pStyle w:val="Heading3"/>
      </w:pPr>
      <w:r>
        <w:rPr>
          <w:color w:val="3730A3"/>
          <w:sz w:val="24"/>
        </w:rPr>
        <w:t>Mesures techniques</w:t>
      </w:r>
    </w:p>
    <w:p>
      <w:pPr>
        <w:pStyle w:val="ListBullet"/>
      </w:pPr>
      <w:r>
        <w:t>Chiffrement TLS 1.3 sur tous les flux</w:t>
      </w:r>
    </w:p>
    <w:p>
      <w:pPr>
        <w:pStyle w:val="ListBullet"/>
      </w:pPr>
      <w:r>
        <w:t>Row-Level Security (RLS) Supabase sur toutes les tables sensibles</w:t>
      </w:r>
    </w:p>
    <w:p>
      <w:pPr>
        <w:pStyle w:val="ListBullet"/>
      </w:pPr>
      <w:r>
        <w:t>Sessions JWT avec rotation</w:t>
      </w:r>
    </w:p>
    <w:p>
      <w:pPr>
        <w:pStyle w:val="ListBullet"/>
      </w:pPr>
      <w:r>
        <w:t>Audit log de toutes les actions sensibles</w:t>
      </w:r>
    </w:p>
    <w:p>
      <w:pPr>
        <w:pStyle w:val="ListBullet"/>
      </w:pPr>
      <w:r>
        <w:t>Pas de mot de passe stocké en clair (bcrypt côté Supabase)</w:t>
      </w:r>
    </w:p>
    <w:p>
      <w:pPr>
        <w:pStyle w:val="Heading3"/>
      </w:pPr>
      <w:r>
        <w:rPr>
          <w:color w:val="3730A3"/>
          <w:sz w:val="24"/>
        </w:rPr>
        <w:t>Conformité RGPD</w:t>
      </w:r>
    </w:p>
    <w:p>
      <w:pPr>
        <w:pStyle w:val="ListBullet"/>
      </w:pPr>
      <w:r>
        <w:t>Hébergement EU exclusivement</w:t>
      </w:r>
    </w:p>
    <w:p>
      <w:pPr>
        <w:pStyle w:val="ListBullet"/>
      </w:pPr>
      <w:r>
        <w:t>Article 20 RGPD (portabilité) : module d'export ZIP intégral des données client</w:t>
      </w:r>
    </w:p>
    <w:p>
      <w:pPr>
        <w:pStyle w:val="ListBullet"/>
      </w:pPr>
      <w:r>
        <w:t>Droit à l'effacement : suppression complète + journal des suppressions</w:t>
      </w:r>
    </w:p>
    <w:p>
      <w:pPr>
        <w:pStyle w:val="ListBullet"/>
      </w:pPr>
      <w:r>
        <w:t>DPO référent : achat@astorya.fr</w:t>
      </w:r>
    </w:p>
    <w:p>
      <w:pPr>
        <w:pStyle w:val="ListBullet"/>
      </w:pPr>
      <w:r>
        <w:t>Registre des sous-traitants (Vercel, Supabase, OVH) en annexe du Contrat de Services</w:t>
      </w:r>
    </w:p>
    <w:p>
      <w:pPr>
        <w:pStyle w:val="Heading3"/>
      </w:pPr>
      <w:r>
        <w:rPr>
          <w:color w:val="3730A3"/>
          <w:sz w:val="24"/>
        </w:rPr>
        <w:t>Cyber-assurance obligatoire</w:t>
      </w:r>
    </w:p>
    <w:p>
      <w:r>
        <w:t>Le Client doit souscrire une assurance cyber (article 8 bis du Contrat de mise à disposition). Couverture minimale : RC pro + atteinte aux données + rançongiciel.</w:t>
      </w:r>
    </w:p>
    <w:p>
      <w:pPr>
        <w:pStyle w:val="Heading3"/>
      </w:pPr>
      <w:r>
        <w:rPr>
          <w:color w:val="3730A3"/>
          <w:sz w:val="24"/>
        </w:rPr>
        <w:t>Sauvegarde air-gap</w:t>
      </w:r>
    </w:p>
    <w:p>
      <w:r>
        <w:t>Sauvegarde mensuelle déconnectée physiquement du SI (option non-refusable, article 8 bis). Restauration depuis air-gap facturée selon grille tarifaire (690 €, 1 200 €, 1 500 €+).</w:t>
      </w:r>
    </w:p>
    <w:p>
      <w:pPr>
        <w:pStyle w:val="Heading3"/>
      </w:pPr>
      <w:r>
        <w:rPr>
          <w:color w:val="3730A3"/>
          <w:sz w:val="24"/>
        </w:rPr>
        <w:t>Exclusion de responsabilité</w:t>
      </w:r>
    </w:p>
    <w:p>
      <w:r>
        <w:t xml:space="preserve">Toute modification du code source du Hub par le Client via un tiers (IA générative, développeur externe, fork) </w:t>
      </w:r>
      <w:r>
        <w:rPr>
          <w:b/>
        </w:rPr>
        <w:t>annule la garantie</w:t>
      </w:r>
      <w:r>
        <w:t xml:space="preserve"> d'Astorya (article 10 bis). Restauration depuis sauvegarde fonctionnelle facturée selon grille.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19. SAUVEGARDE ET RÉVERSIBILITÉ</w:t>
      </w:r>
    </w:p>
    <w:p>
      <w:pPr>
        <w:pStyle w:val="Heading3"/>
      </w:pPr>
      <w:r>
        <w:rPr>
          <w:color w:val="3730A3"/>
          <w:sz w:val="24"/>
        </w:rPr>
        <w:t>Sauvegardes automatiques</w:t>
      </w:r>
    </w:p>
    <w:p>
      <w:pPr>
        <w:pStyle w:val="ListBullet"/>
      </w:pPr>
      <w:r>
        <w:t>Snapshot quotidien de la base à 02h00 (rétention 30 jours)</w:t>
      </w:r>
    </w:p>
    <w:p>
      <w:pPr>
        <w:pStyle w:val="ListBullet"/>
      </w:pPr>
      <w:r>
        <w:t>Point-in-time recovery 7 jours</w:t>
      </w:r>
    </w:p>
    <w:p>
      <w:pPr>
        <w:pStyle w:val="ListBullet"/>
      </w:pPr>
      <w:r>
        <w:t>Réplication WAL temps réel (Supabase managed)</w:t>
      </w:r>
    </w:p>
    <w:p>
      <w:pPr>
        <w:pStyle w:val="ListBullet"/>
      </w:pPr>
      <w:r>
        <w:t>Sauvegarde air-gap mensuelle externalisée</w:t>
      </w:r>
    </w:p>
    <w:p>
      <w:pPr>
        <w:pStyle w:val="Heading3"/>
      </w:pPr>
      <w:r>
        <w:rPr>
          <w:color w:val="3730A3"/>
          <w:sz w:val="24"/>
        </w:rPr>
        <w:t>Export de réversibilité (article 20 RGPD)</w:t>
      </w:r>
    </w:p>
    <w:p>
      <w:r>
        <w:t xml:space="preserve">Bouton </w:t>
      </w:r>
      <w:r>
        <w:rPr>
          <w:b/>
        </w:rPr>
        <w:t>⬇ Exporter les données</w:t>
      </w:r>
      <w:r>
        <w:t xml:space="preserve"> sur la fiche client. Génère un ZIP contenant :</w:t>
      </w:r>
    </w:p>
    <w:p>
      <w:pPr>
        <w:pStyle w:val="ListBullet"/>
      </w:pPr>
      <w:r>
        <w:rPr>
          <w:rFonts w:ascii="Consolas" w:hAnsi="Consolas"/>
          <w:sz w:val="18"/>
        </w:rPr>
        <w:t>data/&lt;table&gt;.csv</w:t>
      </w:r>
      <w:r>
        <w:t xml:space="preserve"> — une CSV UTF-8 BOM par table liée au client (clients, contacts, opportunities, commercial_docs, contracts, tickets, actions, projects…)</w:t>
      </w:r>
    </w:p>
    <w:p>
      <w:pPr>
        <w:pStyle w:val="ListBullet"/>
      </w:pPr>
      <w:r>
        <w:rPr>
          <w:rFonts w:ascii="Consolas" w:hAnsi="Consolas"/>
          <w:sz w:val="18"/>
        </w:rPr>
        <w:t>data_complete.json</w:t>
      </w:r>
      <w:r>
        <w:t xml:space="preserve"> — dump complet structuré</w:t>
      </w:r>
    </w:p>
    <w:p>
      <w:pPr>
        <w:pStyle w:val="ListBullet"/>
      </w:pPr>
      <w:r>
        <w:rPr>
          <w:rFonts w:ascii="Consolas" w:hAnsi="Consolas"/>
          <w:sz w:val="18"/>
        </w:rPr>
        <w:t>manifest.json</w:t>
      </w:r>
      <w:r>
        <w:t xml:space="preserve"> — versions + checksums SHA-256</w:t>
      </w:r>
    </w:p>
    <w:p>
      <w:pPr>
        <w:pStyle w:val="ListBullet"/>
      </w:pPr>
      <w:r>
        <w:rPr>
          <w:rFonts w:ascii="Consolas" w:hAnsi="Consolas"/>
          <w:sz w:val="18"/>
        </w:rPr>
        <w:t>README.md</w:t>
      </w:r>
      <w:r>
        <w:t xml:space="preserve"> — schéma des données + exemple d'import</w:t>
      </w:r>
    </w:p>
    <w:p>
      <w:r>
        <w:t xml:space="preserve">Nom du fichier : </w:t>
      </w:r>
      <w:r>
        <w:rPr>
          <w:rFonts w:ascii="Consolas" w:hAnsi="Consolas"/>
          <w:sz w:val="18"/>
        </w:rPr>
        <w:t>export-&lt;slug-client&gt;-&lt;YYYY-MM-DD&gt;.zip</w:t>
      </w:r>
    </w:p>
    <w:p>
      <w:pPr>
        <w:pStyle w:val="Heading3"/>
      </w:pPr>
      <w:r>
        <w:rPr>
          <w:color w:val="3730A3"/>
          <w:sz w:val="24"/>
        </w:rPr>
        <w:t>Restauration après incident</w:t>
      </w:r>
    </w:p>
    <w:p>
      <w:r>
        <w:t>Procédure documentée :</w:t>
      </w:r>
    </w:p>
    <w:p>
      <w:r>
        <w:t>1. Diagnostic initial (≤ 2h)</w:t>
      </w:r>
    </w:p>
    <w:p>
      <w:r>
        <w:t>2. Restauration depuis sauvegarde chaude (PITR) → 4–8h</w:t>
      </w:r>
    </w:p>
    <w:p>
      <w:r>
        <w:t>3. Si échec, restauration depuis air-gap → 24–72h</w:t>
      </w:r>
    </w:p>
    <w:p>
      <w:r>
        <w:t>4. Tests d'intégrité + recette utilisateur</w:t>
      </w:r>
    </w:p>
    <w:p>
      <w:r>
        <w:t>5. Bilan post-mortem</w:t>
      </w:r>
    </w:p>
    <w:p>
      <w:r>
        <w:t>Tarification selon gravité (cf. Annexe 5 du Contrat de Services).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20. SUPPORT ET MAINTENANCE</w:t>
      </w:r>
    </w:p>
    <w:p>
      <w:pPr>
        <w:pStyle w:val="Heading3"/>
      </w:pPr>
      <w:r>
        <w:rPr>
          <w:color w:val="3730A3"/>
          <w:sz w:val="24"/>
        </w:rPr>
        <w:t>Canaux de support</w:t>
      </w:r>
    </w:p>
    <w:p>
      <w:pPr>
        <w:pStyle w:val="ListBullet"/>
      </w:pPr>
      <w:r>
        <w:rPr>
          <w:b/>
        </w:rPr>
        <w:t>Hotline 3CX</w:t>
      </w:r>
      <w:r>
        <w:t xml:space="preserve"> : Web Client intégré, dial direct depuis l'app</w:t>
      </w:r>
    </w:p>
    <w:p>
      <w:pPr>
        <w:pStyle w:val="ListBullet"/>
      </w:pPr>
      <w:r>
        <w:rPr>
          <w:b/>
        </w:rPr>
        <w:t>Email</w:t>
      </w:r>
      <w:r>
        <w:t xml:space="preserve"> : achat@astorya.fr</w:t>
      </w:r>
    </w:p>
    <w:p>
      <w:pPr>
        <w:pStyle w:val="ListBullet"/>
      </w:pPr>
      <w:r>
        <w:rPr>
          <w:b/>
        </w:rPr>
        <w:t>Tickets</w:t>
      </w:r>
      <w:r>
        <w:t xml:space="preserve"> : module </w:t>
      </w:r>
      <w:r>
        <w:rPr>
          <w:rFonts w:ascii="Consolas" w:hAnsi="Consolas"/>
          <w:sz w:val="18"/>
        </w:rPr>
        <w:t>/ticketing</w:t>
      </w:r>
      <w:r>
        <w:t xml:space="preserve"> avec SLA contractuel</w:t>
      </w:r>
    </w:p>
    <w:p>
      <w:pPr>
        <w:pStyle w:val="ListBullet"/>
      </w:pPr>
      <w:r>
        <w:rPr>
          <w:b/>
        </w:rPr>
        <w:t>Portail client</w:t>
      </w:r>
      <w:r>
        <w:t xml:space="preserve"> : suivi des demandes en temps réel</w:t>
      </w:r>
    </w:p>
    <w:p>
      <w:pPr>
        <w:pStyle w:val="Heading3"/>
      </w:pPr>
      <w:r>
        <w:rPr>
          <w:color w:val="3730A3"/>
          <w:sz w:val="24"/>
        </w:rPr>
        <w:t>SLA par formule (Contrat de Services)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EF2FF"/>
          </w:tcPr>
          <w:p>
            <w:r>
              <w:rPr>
                <w:b/>
                <w:color w:val="1F2942"/>
                <w:sz w:val="18"/>
              </w:rPr>
              <w:t>Formule</w:t>
            </w:r>
          </w:p>
        </w:tc>
        <w:tc>
          <w:tcPr>
            <w:tcW w:type="dxa" w:w="1994"/>
            <w:shd w:val="clear" w:color="auto" w:fill="EEF2FF"/>
          </w:tcPr>
          <w:p>
            <w:r>
              <w:rPr>
                <w:b/>
                <w:color w:val="1F2942"/>
                <w:sz w:val="18"/>
              </w:rPr>
              <w:t>Disponibilité</w:t>
            </w:r>
          </w:p>
        </w:tc>
        <w:tc>
          <w:tcPr>
            <w:tcW w:type="dxa" w:w="1994"/>
            <w:shd w:val="clear" w:color="auto" w:fill="EEF2FF"/>
          </w:tcPr>
          <w:p>
            <w:r>
              <w:rPr>
                <w:b/>
                <w:color w:val="1F2942"/>
                <w:sz w:val="18"/>
              </w:rPr>
              <w:t>P1 (critique)</w:t>
            </w:r>
          </w:p>
        </w:tc>
        <w:tc>
          <w:tcPr>
            <w:tcW w:type="dxa" w:w="1994"/>
            <w:shd w:val="clear" w:color="auto" w:fill="EEF2FF"/>
          </w:tcPr>
          <w:p>
            <w:r>
              <w:rPr>
                <w:b/>
                <w:color w:val="1F2942"/>
                <w:sz w:val="18"/>
              </w:rPr>
              <w:t>P2 (haute)</w:t>
            </w:r>
          </w:p>
        </w:tc>
        <w:tc>
          <w:tcPr>
            <w:tcW w:type="dxa" w:w="1994"/>
            <w:shd w:val="clear" w:color="auto" w:fill="EEF2FF"/>
          </w:tcPr>
          <w:p>
            <w:r>
              <w:rPr>
                <w:b/>
                <w:color w:val="1F2942"/>
                <w:sz w:val="18"/>
              </w:rPr>
              <w:t>P3 (normale)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Essentiel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99,5 %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4h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8h ouvrées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2j ouvrés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Business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99,7 %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2h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4h ouvrées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1j ouvré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Premium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99,9 %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1h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2h ouvrées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≤ 4h ouvrées</w:t>
            </w:r>
          </w:p>
        </w:tc>
      </w:tr>
    </w:tbl>
    <w:p/>
    <w:p>
      <w:pPr>
        <w:pStyle w:val="Heading3"/>
      </w:pPr>
      <w:r>
        <w:rPr>
          <w:color w:val="3730A3"/>
          <w:sz w:val="24"/>
        </w:rPr>
        <w:t>Maintenance corrective</w:t>
      </w:r>
    </w:p>
    <w:p>
      <w:r>
        <w:t>Incluse dans toutes les formules. Corrections de bugs déployées par Astorya sans intervention client.</w:t>
      </w:r>
    </w:p>
    <w:p>
      <w:pPr>
        <w:pStyle w:val="Heading3"/>
      </w:pPr>
      <w:r>
        <w:rPr>
          <w:color w:val="3730A3"/>
          <w:sz w:val="24"/>
        </w:rPr>
        <w:t>Maintenance évolutive</w:t>
      </w:r>
    </w:p>
    <w:p>
      <w:r>
        <w:t>Incluse pour les évolutions générales du produit. Évolutions spécifiques au client : devis sur demande (TMA).</w:t>
      </w:r>
    </w:p>
    <w:p>
      <w:pPr>
        <w:pStyle w:val="Heading3"/>
      </w:pPr>
      <w:r>
        <w:rPr>
          <w:color w:val="3730A3"/>
          <w:sz w:val="24"/>
        </w:rPr>
        <w:t>TMA (Tierce Maintenance Applicative)</w:t>
      </w:r>
    </w:p>
    <w:p>
      <w:r>
        <w:t>Sur demande, devis au forfait ou en régie. Couvre :</w:t>
      </w:r>
    </w:p>
    <w:p>
      <w:pPr>
        <w:pStyle w:val="ListBullet"/>
      </w:pPr>
      <w:r>
        <w:t>Développements spécifiques</w:t>
      </w:r>
    </w:p>
    <w:p>
      <w:pPr>
        <w:pStyle w:val="ListBullet"/>
      </w:pPr>
      <w:r>
        <w:t>Connecteurs API tiers</w:t>
      </w:r>
    </w:p>
    <w:p>
      <w:pPr>
        <w:pStyle w:val="ListBullet"/>
      </w:pPr>
      <w:r>
        <w:t>Personnalisation du PDF / mailing</w:t>
      </w:r>
    </w:p>
    <w:p>
      <w:pPr>
        <w:pStyle w:val="ListBullet"/>
      </w:pPr>
      <w:r>
        <w:t>Imports de données externes</w:t>
      </w:r>
    </w:p>
    <w:p>
      <w:pPr>
        <w:pStyle w:val="ListBullet"/>
      </w:pPr>
      <w:r>
        <w:t>Formations utilisateurs sur site</w:t>
      </w:r>
    </w:p>
    <w:p>
      <w:pPr>
        <w:spacing w:before="80"/>
        <w:pBdr>
          <w:bottom w:val="single" w:sz="6" w:color="C0C7D2"/>
        </w:pBdr>
      </w:pPr>
    </w:p>
    <w:p>
      <w:pPr>
        <w:pStyle w:val="Heading2"/>
      </w:pPr>
      <w:r>
        <w:rPr>
          <w:color w:val="1F2942"/>
          <w:sz w:val="28"/>
        </w:rPr>
        <w:t>CONTACTS</w:t>
      </w:r>
    </w:p>
    <w:p>
      <w:r>
        <w:rPr>
          <w:b/>
        </w:rPr>
        <w:t>ASTORYA SGI</w:t>
      </w:r>
    </w:p>
    <w:p>
      <w:r>
        <w:t>9 rue du Petit Châtelier</w:t>
      </w:r>
    </w:p>
    <w:p>
      <w:r>
        <w:t>44300 Nantes</w:t>
      </w:r>
    </w:p>
    <w:p>
      <w:r>
        <w:t>SIRET 523 625 804 00027</w:t>
      </w:r>
    </w:p>
    <w:p>
      <w:r>
        <w:t>Tél : 02 85 52 13 96</w:t>
      </w:r>
    </w:p>
    <w:p>
      <w:r>
        <w:t>Email : contact@astorya.fr</w:t>
      </w:r>
    </w:p>
    <w:p>
      <w:r>
        <w:t>Site : www.astorya.fr</w:t>
      </w:r>
    </w:p>
    <w:p>
      <w:r>
        <w:rPr>
          <w:b/>
        </w:rPr>
        <w:t>Hotline support</w:t>
      </w:r>
      <w:r>
        <w:t xml:space="preserve"> : 02 85 52 13 96 (option 1)</w:t>
      </w:r>
    </w:p>
    <w:p>
      <w:r>
        <w:rPr>
          <w:b/>
        </w:rPr>
        <w:t>Commercial</w:t>
      </w:r>
      <w:r>
        <w:t xml:space="preserve"> : 02 85 52 13 96 (option 2)</w:t>
      </w:r>
    </w:p>
    <w:p>
      <w:r>
        <w:rPr>
          <w:b/>
        </w:rPr>
        <w:t>Comptabilité</w:t>
      </w:r>
      <w:r>
        <w:t xml:space="preserve"> : compta@astorya.fr</w:t>
      </w:r>
    </w:p>
    <w:p>
      <w:pPr>
        <w:spacing w:before="80"/>
        <w:pBdr>
          <w:bottom w:val="single" w:sz="6" w:color="C0C7D2"/>
        </w:pBdr>
      </w:pPr>
    </w:p>
    <w:p>
      <w:r>
        <w:rPr>
          <w:i/>
        </w:rPr>
        <w:t>Document généré automatiquement à partir du code source du Hub Astorya — version 2026.06.</w:t>
      </w:r>
    </w:p>
    <w:p>
      <w:r>
        <w:rPr>
          <w:i/>
        </w:rPr>
        <w:t>Pour toute correction ou suggestion, contacter achat@astorya.fr.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