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7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8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10.jpeg" ContentType="image/jpeg"/>
  <Override PartName="/word/media/image13.png" ContentType="image/png"/>
  <Override PartName="/word/media/image12.jpeg" ContentType="image/jpeg"/>
  <Override PartName="/word/media/image1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rFonts w:ascii="Calibri" w:hAnsi="Calibri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165735</wp:posOffset>
            </wp:positionV>
            <wp:extent cx="2589530" cy="297561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86" t="46829" r="237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97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0870" cy="2193290"/>
            <wp:effectExtent l="0" t="0" r="0" b="0"/>
            <wp:wrapSquare wrapText="largest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1" t="0" r="0" b="6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1409700" cy="7229475"/>
            <wp:effectExtent l="0" t="0" r="0" b="0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4815" cy="7204710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89535</wp:posOffset>
            </wp:positionV>
            <wp:extent cx="4286250" cy="600710"/>
            <wp:effectExtent l="0" t="0" r="0" b="0"/>
            <wp:wrapSquare wrapText="largest"/>
            <wp:docPr id="11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43" t="78574" r="0" b="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/>
        <w:drawing>
          <wp:inline distT="0" distB="0" distL="0" distR="0">
            <wp:extent cx="5273040" cy="380936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85240"/>
            <wp:effectExtent l="0" t="0" r="0" b="0"/>
            <wp:wrapSquare wrapText="largest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rFonts w:ascii="Calibri" w:hAnsi="Calibri"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4295"/>
            <wp:effectExtent l="0" t="0" r="0" b="0"/>
            <wp:wrapSquare wrapText="largest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2711450</wp:posOffset>
            </wp:positionV>
            <wp:extent cx="4052570" cy="840105"/>
            <wp:effectExtent l="0" t="0" r="0" b="0"/>
            <wp:wrapSquare wrapText="largest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3653" t="0" r="95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Вывод: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ar-SA"/>
        </w:rPr>
        <w:t>В результате проделанной работы были изучены основные понятия, принципы осуществления логических операций, принципы минимизации логических функций через карты Карно и диаграмму Вейча, составление КСМ, принципы минимизации логических функций с помощью возможностей системы multisim.</w:t>
      </w:r>
      <w:r>
        <w:rPr>
          <w:b/>
          <w:bCs/>
          <w:sz w:val="28"/>
          <w:szCs w:val="28"/>
          <w:lang w:val="ru-RU" w:eastAsia="zh-CN" w:bidi="ar-SA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image" Target="media/image10.jpe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LibreOffice/25.8.2.2$Windows_X86_64 LibreOffice_project/d401f2107ccab8f924a8e2df40f573aab7605b6f</Application>
  <AppVersion>15.0000</AppVersion>
  <Pages>7</Pages>
  <Words>254</Words>
  <Characters>1955</Characters>
  <CharactersWithSpaces>2168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2025-10-23T02:24:16Z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