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3502E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Каменное зодчество Древней Руси: Краткий обзор</w:t>
      </w:r>
    </w:p>
    <w:p w14:paraId="3A417263">
      <w:pPr>
        <w:keepNext w:val="0"/>
        <w:keepLines w:val="0"/>
        <w:widowControl/>
        <w:suppressLineNumbers w:val="0"/>
        <w:spacing w:after="240" w:afterAutospacing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4A00C0E3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1. Введение</w:t>
      </w:r>
    </w:p>
    <w:p w14:paraId="3D772CAA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6E06AFB6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Каменное зодчество Древней Руси, развивавшееся с X по XIII век, стало символом государственного и культурного расцвета. Оно органично соединило византийские традиции с местными архитектурными приёмами.</w:t>
      </w:r>
    </w:p>
    <w:p w14:paraId="2633E1CF">
      <w:pPr>
        <w:keepNext w:val="0"/>
        <w:keepLines w:val="0"/>
        <w:widowControl/>
        <w:suppressLineNumbers w:val="0"/>
        <w:spacing w:after="240" w:afterAutospacing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299749FC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2. Начало пути: Десятинная</w:t>
      </w:r>
      <w:bookmarkStart w:id="0" w:name="_GoBack"/>
      <w:bookmarkEnd w:id="0"/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 xml:space="preserve"> церковь</w:t>
      </w:r>
    </w:p>
    <w:p w14:paraId="21C6E0E2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62D15A59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Первый каменный храм Киевской Руси был построен в Киеве в конце X века по приказу князя Владимира Святославича. Десятинная церковь ознаменовала переход к христианству и заложила основу для дальнейшего развития каменного строительства.</w:t>
      </w:r>
    </w:p>
    <w:p w14:paraId="572B964A">
      <w:pPr>
        <w:keepNext w:val="0"/>
        <w:keepLines w:val="0"/>
        <w:widowControl/>
        <w:suppressLineNumbers w:val="0"/>
        <w:spacing w:after="240" w:afterAutospacing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6A2E7F70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3. Вершины мастерства: Софийские соборы</w:t>
      </w:r>
    </w:p>
    <w:p w14:paraId="6A79FDC7">
      <w:pPr>
        <w:keepNext w:val="0"/>
        <w:keepLines w:val="0"/>
        <w:widowControl/>
        <w:suppressLineNumbers w:val="0"/>
        <w:spacing w:after="240" w:afterAutospacing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1A377882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София Киевская</w:t>
      </w: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 (XI в.) – возведена при Ярославе Мудром. Монументальный собор со сложной структурой, фресками и мозаиками стал духовным и политическим центром Руси. Включён в список Всемирного наследия ЮНЕСКО.</w:t>
      </w:r>
    </w:p>
    <w:p w14:paraId="6AA717B4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03BDE188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София Новгородская</w:t>
      </w: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 (середина XI в.) – демонстрирует более строгий и мощный стиль. Символизировала независимость Новгорода. Знаменита своими куполами, фресками и ролью в православной жизни Северной Руси.</w:t>
      </w:r>
    </w:p>
    <w:p w14:paraId="3FA7C583">
      <w:pPr>
        <w:keepNext w:val="0"/>
        <w:keepLines w:val="0"/>
        <w:widowControl/>
        <w:suppressLineNumbers w:val="0"/>
        <w:spacing w:after="240" w:afterAutospacing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128440BE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4. Сравнительный анализ</w:t>
      </w:r>
    </w:p>
    <w:p w14:paraId="7531DFCB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02EDCFA6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Храмы в Киеве и Новгороде, носящие имя Святой Софии, отражают региональные различия:</w:t>
      </w:r>
    </w:p>
    <w:p w14:paraId="4E6BA8BE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2B771B05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Киев:</w:t>
      </w: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 влияние византийской пышности, использование камня.</w:t>
      </w:r>
    </w:p>
    <w:p w14:paraId="6CD74EBA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49D8D34C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Новгород:</w:t>
      </w: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 сдержанная мощь, применение кирпича.</w:t>
      </w:r>
    </w:p>
    <w:p w14:paraId="6FDDA7B4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2EA62E3C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Оба собора стали центрами летописания, искусства и духовной жизни.</w:t>
      </w:r>
    </w:p>
    <w:p w14:paraId="12BD063A">
      <w:pPr>
        <w:keepNext w:val="0"/>
        <w:keepLines w:val="0"/>
        <w:widowControl/>
        <w:suppressLineNumbers w:val="0"/>
        <w:spacing w:after="240" w:afterAutospacing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2139790D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b/>
          <w:bCs/>
          <w:kern w:val="0"/>
          <w:sz w:val="32"/>
          <w:szCs w:val="32"/>
          <w:lang w:val="en-US" w:eastAsia="zh-CN" w:bidi="ar"/>
        </w:rPr>
        <w:t>5. Заключение</w:t>
      </w:r>
    </w:p>
    <w:p w14:paraId="78FF765A">
      <w:pPr>
        <w:keepNext w:val="0"/>
        <w:keepLines w:val="0"/>
        <w:widowControl/>
        <w:suppressLineNumbers w:val="0"/>
        <w:ind w:left="-3" w:leftChars="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</w:p>
    <w:p w14:paraId="7006C07D">
      <w:pPr>
        <w:keepNext w:val="0"/>
        <w:keepLines w:val="0"/>
        <w:widowControl/>
        <w:suppressLineNumbers w:val="0"/>
        <w:ind w:left="-3" w:leftChars="0" w:right="720" w:firstLine="0" w:firstLineChars="0"/>
        <w:jc w:val="left"/>
        <w:rPr>
          <w:rFonts w:hint="default" w:asciiTheme="minorAscii" w:hAnsiTheme="minorAscii" w:eastAsiaTheme="minorEastAsia" w:cstheme="minorEastAsia"/>
          <w:sz w:val="22"/>
          <w:szCs w:val="22"/>
        </w:rPr>
      </w:pPr>
      <w:r>
        <w:rPr>
          <w:rFonts w:hint="default" w:asciiTheme="minorAscii" w:hAnsiTheme="minorAscii" w:eastAsiaTheme="minorEastAsia" w:cstheme="minorEastAsia"/>
          <w:kern w:val="0"/>
          <w:sz w:val="32"/>
          <w:szCs w:val="32"/>
          <w:lang w:val="en-US" w:eastAsia="zh-CN" w:bidi="ar"/>
        </w:rPr>
        <w:t>Каменное зодчество Древней Руси сыграло ключевую роль в укреплении международного авторитета государства, становлении национальной культурной идентичности и создании архитектурных традиций, которые повлияли на зодчество последующих веков. Эти сооружения остаются не только памятниками истории, но и живыми символами духовной преемственности.</w:t>
      </w:r>
    </w:p>
    <w:p w14:paraId="7FEAEA97">
      <w:pPr>
        <w:ind w:left="-3" w:leftChars="0" w:firstLine="0" w:firstLineChars="0"/>
        <w:rPr>
          <w:rFonts w:hint="default" w:asciiTheme="minorAscii" w:hAnsiTheme="minorAscii" w:eastAsiaTheme="minorEastAsia" w:cstheme="minorEastAsia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D206E"/>
    <w:rsid w:val="2D125BFD"/>
    <w:rsid w:val="390022FA"/>
    <w:rsid w:val="4EDA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2025-10-01T08:19:33Z</dcterms:created>
  <dc:creator>User</dc:creator>
  <cp:lastModifiedBy>User</cp:lastModifiedBy>
  <dcterms:modified xsi:type="dcterms:W3CDTF">2025-10-01T08:25:11Z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CD9BD7C0313944AA99C9D313D0FBBD88_12</vt:lpwstr>
  </property>
</Properties>
</file>