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Ордена Трудового Красного Знамени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Федеральное Государственное бюджетное образовательное учреждение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высшего образования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«Московский Технический Университет Связи и Информатики»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Кафедра «Сетевые информационные технологии и сервисы»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szCs w:val="28"/>
          <w:shd w:fill="FFFFFF" w:val="clear"/>
        </w:rPr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Лабораторная работа №7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по дисциплине «ИТ» на тему: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color w:val="000000"/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«</w:t>
      </w:r>
      <w:r>
        <w:rPr>
          <w:color w:val="000000"/>
          <w:sz w:val="28"/>
          <w:szCs w:val="28"/>
        </w:rPr>
        <w:t>Исследование методов регистрации двоичных сигналов</w:t>
      </w:r>
      <w:r>
        <w:rPr>
          <w:color w:val="000000"/>
          <w:sz w:val="28"/>
          <w:szCs w:val="28"/>
          <w:shd w:fill="FFFFFF" w:val="clear"/>
        </w:rPr>
        <w:t>»</w:t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Выполнил: студент группы БСТ2502</w:t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Кочкин Иван Владимирович </w:t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shd w:fill="FFFFFF" w:val="clear"/>
        </w:rPr>
        <w:t>Проверила: старший преподаватель Комкова М. Г.</w:t>
      </w:r>
    </w:p>
    <w:p>
      <w:pPr>
        <w:pStyle w:val="Normal"/>
        <w:bidi w:val="0"/>
        <w:spacing w:lineRule="auto" w:line="240" w:before="0" w:after="160"/>
        <w:ind w:hanging="0"/>
        <w:jc w:val="start"/>
        <w:rPr/>
      </w:pPr>
      <w:r>
        <w:rPr/>
      </w:r>
      <w:r>
        <w:br w:type="page"/>
      </w:r>
    </w:p>
    <w:p>
      <w:pPr>
        <w:pStyle w:val="Normal"/>
        <w:bidi w:val="0"/>
        <w:spacing w:before="0" w:after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Цель работы:</w:t>
      </w:r>
    </w:p>
    <w:p>
      <w:pPr>
        <w:pStyle w:val="Normal"/>
        <w:numPr>
          <w:ilvl w:val="1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Изучение методов регистрации двоичных сигналов.</w:t>
      </w:r>
    </w:p>
    <w:p>
      <w:pPr>
        <w:pStyle w:val="Normal"/>
        <w:numPr>
          <w:ilvl w:val="1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Изучение принципов работы устройств регистрации.</w:t>
      </w:r>
    </w:p>
    <w:p>
      <w:pPr>
        <w:pStyle w:val="Normal"/>
        <w:numPr>
          <w:ilvl w:val="1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Экспериментальное определение зависимости вероятности ошибки от характеристик устройств регистрации при действии краевых искажений и дроблений.</w:t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Схема лабораторного макета: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Схема лабораторного макета изображена на рисунке 1.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120130" cy="3411855"/>
            <wp:effectExtent l="0" t="0" r="0" b="0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11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Рисунок 1. Схема </w:t>
      </w:r>
      <w:r>
        <w:rPr>
          <w:b w:val="false"/>
          <w:bCs w:val="false"/>
          <w:sz w:val="28"/>
          <w:szCs w:val="28"/>
        </w:rPr>
        <w:t>лабораторного макета</w:t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Ход работы</w:t>
      </w:r>
    </w:p>
    <w:p>
      <w:pPr>
        <w:pStyle w:val="Normal"/>
        <w:numPr>
          <w:ilvl w:val="1"/>
          <w:numId w:val="2"/>
        </w:numPr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Определить исправляющую способность приёмников по краевым искажениям.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Таблица №1. 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Приёмники искажения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Стробирующий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Интегральный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Односторонние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49</w:t>
            </w:r>
          </w:p>
        </w:tc>
      </w:tr>
      <w:tr>
        <w:trPr>
          <w:trHeight w:val="412" w:hRule="atLeast"/>
        </w:trPr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Двусторонние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-49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-24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numPr>
          <w:ilvl w:val="1"/>
          <w:numId w:val="2"/>
        </w:numPr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Сделать распечатку, показывающую работу приёмников при действии  краевых  искажений.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6084570" cy="3349625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4570" cy="3349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Рисунок 2. Работа приёмников при действии односторонних краевых искажений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6092825" cy="3827145"/>
            <wp:effectExtent l="0" t="0" r="0" b="0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2825" cy="3827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Рисунок 3. Работа приёмников при действии двусторонних краевых искажений</w:t>
      </w:r>
      <w:r>
        <w:br w:type="page"/>
      </w:r>
    </w:p>
    <w:p>
      <w:pPr>
        <w:pStyle w:val="Normal"/>
        <w:bidi w:val="0"/>
        <w:spacing w:before="0" w:after="0"/>
        <w:jc w:val="center"/>
        <w:rPr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24605"/>
            <wp:effectExtent l="0" t="0" r="0" b="0"/>
            <wp:wrapSquare wrapText="largest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2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>Рисунок 4. Работа приёмников при действии краевых искажений.</w:t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w:r>
        <w:br w:type="page"/>
      </w:r>
    </w:p>
    <w:p>
      <w:pPr>
        <w:pStyle w:val="Normal"/>
        <w:numPr>
          <w:ilvl w:val="1"/>
          <w:numId w:val="2"/>
        </w:numPr>
        <w:bidi w:val="0"/>
        <w:spacing w:before="0" w:after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Определить исправляющую способность приёмников  по дроблениям.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Таблица №2. Исправляющая способность приёмников при действии дроблений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Приёмник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Стробирующий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Интегральный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Дробление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</w:p>
        </w:tc>
      </w:tr>
    </w:tbl>
    <w:p>
      <w:pPr>
        <w:pStyle w:val="Normal"/>
        <w:numPr>
          <w:ilvl w:val="1"/>
          <w:numId w:val="2"/>
        </w:numPr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w:rPr>
          <w:b w:val="false"/>
          <w:bCs w:val="false"/>
          <w:sz w:val="28"/>
          <w:szCs w:val="28"/>
        </w:rPr>
        <w:t>Сделать распечатку, показывающую  работу приёмников при действии дроблений.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6120130" cy="3857625"/>
            <wp:effectExtent l="0" t="0" r="0" b="0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57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Рисунок 5. Работа приёмников при действии дроблений</w:t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w:r>
        <w:br w:type="page"/>
      </w:r>
    </w:p>
    <w:p>
      <w:pPr>
        <w:pStyle w:val="Normal"/>
        <w:numPr>
          <w:ilvl w:val="1"/>
          <w:numId w:val="2"/>
        </w:numPr>
        <w:bidi w:val="0"/>
        <w:spacing w:before="0" w:after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Измерить зависимость числа ошибок на выходе приёмников от длительности дроблений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8"/>
          <w:szCs w:val="28"/>
          <w:lang w:val="ru-RU"/>
        </w:rPr>
      </w:pPr>
      <w:r>
        <w:rPr>
          <w:b w:val="false"/>
          <w:bCs w:val="false"/>
          <w:sz w:val="28"/>
          <w:szCs w:val="28"/>
        </w:rPr>
        <w:t xml:space="preserve">Таблица </w:t>
      </w:r>
      <w:r>
        <w:rPr>
          <w:b w:val="false"/>
          <w:bCs w:val="false"/>
          <w:sz w:val="28"/>
          <w:szCs w:val="28"/>
          <w:lang w:val="ru-RU"/>
        </w:rPr>
        <w:t>№3.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N</w:t>
      </w:r>
      <w:r>
        <w:rPr>
          <w:b w:val="false"/>
          <w:bCs w:val="false"/>
          <w:sz w:val="28"/>
          <w:szCs w:val="28"/>
          <w:lang w:val="ru-RU"/>
        </w:rPr>
        <w:t>пер = 10000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N</w:t>
      </w:r>
      <w:r>
        <w:rPr>
          <w:b w:val="false"/>
          <w:bCs w:val="false"/>
          <w:sz w:val="28"/>
          <w:szCs w:val="28"/>
          <w:lang w:val="ru-RU"/>
        </w:rPr>
        <w:t xml:space="preserve">др = </w:t>
      </w:r>
      <w:r>
        <w:rPr>
          <w:b w:val="false"/>
          <w:bCs w:val="false"/>
          <w:sz w:val="28"/>
          <w:szCs w:val="28"/>
          <w:lang w:val="en-US"/>
        </w:rPr>
        <w:t>7 * 100  = 700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76"/>
        <w:gridCol w:w="1376"/>
        <w:gridCol w:w="1378"/>
        <w:gridCol w:w="1377"/>
        <w:gridCol w:w="1377"/>
        <w:gridCol w:w="1377"/>
        <w:gridCol w:w="1377"/>
      </w:tblGrid>
      <w:tr>
        <w:trPr/>
        <w:tc>
          <w:tcPr>
            <w:tcW w:w="1376" w:type="dxa"/>
            <w:vMerge w:val="restart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position w:val="0"/>
                <w:sz w:val="28"/>
                <w:sz w:val="28"/>
                <w:szCs w:val="28"/>
                <w:vertAlign w:val="baseline"/>
                <w:lang w:val="en-US"/>
              </w:rPr>
            </w:pPr>
            <w:r>
              <w:rPr>
                <w:bCs w:val="false"/>
                <w:iCs w:val="false"/>
                <w:position w:val="0"/>
                <w:sz w:val="28"/>
                <w:sz w:val="28"/>
                <w:szCs w:val="28"/>
                <w:vertAlign w:val="baseline"/>
                <w:lang w:val="en-US"/>
              </w:rPr>
              <w:t>Tдр</w:t>
            </w:r>
          </w:p>
        </w:tc>
        <w:tc>
          <w:tcPr>
            <w:tcW w:w="4131" w:type="dxa"/>
            <w:gridSpan w:val="3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Стробирующий</w:t>
            </w:r>
          </w:p>
        </w:tc>
        <w:tc>
          <w:tcPr>
            <w:tcW w:w="4131" w:type="dxa"/>
            <w:gridSpan w:val="3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Интегральный</w:t>
            </w:r>
          </w:p>
        </w:tc>
      </w:tr>
      <w:tr>
        <w:trPr/>
        <w:tc>
          <w:tcPr>
            <w:tcW w:w="1376" w:type="dxa"/>
            <w:vMerge w:val="continue"/>
            <w:tcBorders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  <w:lang w:val="en-US"/>
              </w:rPr>
              <w:t>N</w:t>
            </w:r>
            <w:r>
              <w:rPr>
                <w:bCs w:val="false"/>
                <w:iCs w:val="false"/>
                <w:sz w:val="28"/>
                <w:szCs w:val="28"/>
                <w:lang w:val="ru-RU"/>
              </w:rPr>
              <w:t>ош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  <w:lang w:val="en-US"/>
              </w:rPr>
              <w:t>K</w:t>
            </w:r>
            <w:r>
              <w:rPr>
                <w:bCs w:val="false"/>
                <w:iCs w:val="false"/>
                <w:sz w:val="28"/>
                <w:szCs w:val="28"/>
                <w:lang w:val="ru-RU"/>
              </w:rPr>
              <w:t>ош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  <w:lang w:val="en-US"/>
              </w:rPr>
              <w:t>P</w:t>
            </w:r>
            <w:r>
              <w:rPr>
                <w:bCs w:val="false"/>
                <w:iCs w:val="false"/>
                <w:sz w:val="28"/>
                <w:szCs w:val="28"/>
                <w:lang w:val="ru-RU"/>
              </w:rPr>
              <w:t>ош/др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  <w:lang w:val="en-US"/>
              </w:rPr>
              <w:t>N</w:t>
            </w:r>
            <w:r>
              <w:rPr>
                <w:bCs w:val="false"/>
                <w:iCs w:val="false"/>
                <w:sz w:val="28"/>
                <w:szCs w:val="28"/>
                <w:lang w:val="ru-RU"/>
              </w:rPr>
              <w:t>ош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  <w:lang w:val="en-US"/>
              </w:rPr>
              <w:t>K</w:t>
            </w:r>
            <w:r>
              <w:rPr>
                <w:bCs w:val="false"/>
                <w:iCs w:val="false"/>
                <w:sz w:val="28"/>
                <w:szCs w:val="28"/>
                <w:lang w:val="ru-RU"/>
              </w:rPr>
              <w:t>ош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  <w:lang w:val="en-US"/>
              </w:rPr>
              <w:t>P</w:t>
            </w:r>
            <w:r>
              <w:rPr>
                <w:bCs w:val="false"/>
                <w:iCs w:val="false"/>
                <w:sz w:val="28"/>
                <w:szCs w:val="28"/>
                <w:lang w:val="ru-RU"/>
              </w:rPr>
              <w:t>ош/др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  <w:lang w:val="ru-RU"/>
              </w:rPr>
            </w:pPr>
            <w:r>
              <w:rPr>
                <w:bCs w:val="false"/>
                <w:iCs w:val="false"/>
                <w:sz w:val="28"/>
                <w:szCs w:val="28"/>
                <w:lang w:val="ru-RU"/>
              </w:rPr>
              <w:t>0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10</w:t>
            </w:r>
          </w:p>
        </w:tc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70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0,0</w:t>
            </w:r>
            <w:r>
              <w:rPr>
                <w:sz w:val="28"/>
                <w:szCs w:val="28"/>
                <w:lang w:val="en-US"/>
              </w:rPr>
              <w:t>7</w:t>
            </w:r>
            <w:r>
              <w:rPr>
                <w:sz w:val="28"/>
                <w:szCs w:val="28"/>
                <w:lang w:val="en-US"/>
              </w:rPr>
              <w:t>00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0,1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sz w:val="28"/>
                <w:szCs w:val="28"/>
                <w:lang w:val="en-US"/>
              </w:rPr>
            </w:pPr>
            <w:r>
              <w:fldChar w:fldCharType="begin"/>
            </w:r>
            <w:r>
              <w:rPr>
                <w:sz w:val="28"/>
                <w:szCs w:val="28"/>
                <w:lang w:val="en-US"/>
              </w:rPr>
              <w:instrText xml:space="preserve"> =(E4)/10000</w:instrText>
            </w:r>
            <w:r>
              <w:rPr>
                <w:sz w:val="28"/>
                <w:szCs w:val="28"/>
                <w:lang w:val="en-US"/>
              </w:rPr>
              <w:fldChar w:fldCharType="separate"/>
            </w:r>
            <w:r>
              <w:rPr>
                <w:sz w:val="28"/>
                <w:szCs w:val="28"/>
                <w:lang w:val="en-US"/>
              </w:rPr>
              <w:t>0</w:t>
            </w:r>
            <w:r>
              <w:rPr>
                <w:sz w:val="28"/>
                <w:szCs w:val="28"/>
                <w:lang w:val="en-US"/>
              </w:rPr>
              <w:fldChar w:fldCharType="end"/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  <w:lang w:val="en-US"/>
              </w:rPr>
            </w:pPr>
            <w:r>
              <w:rPr>
                <w:bCs w:val="false"/>
                <w:iCs w:val="false"/>
                <w:sz w:val="28"/>
                <w:szCs w:val="28"/>
                <w:lang w:val="en-US"/>
              </w:rPr>
              <w:t>0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20</w:t>
            </w:r>
          </w:p>
        </w:tc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168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0,0168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0,24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0,000</w:t>
            </w:r>
            <w:r>
              <w:rPr>
                <w:sz w:val="28"/>
                <w:lang w:val="en-US"/>
              </w:rPr>
              <w:t>2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30</w:t>
            </w:r>
          </w:p>
        </w:tc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223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0,0223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0,32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16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0,0016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0,0229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40</w:t>
            </w:r>
          </w:p>
        </w:tc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274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0,0274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0,39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18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0,0018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0,0257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50</w:t>
            </w:r>
          </w:p>
        </w:tc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349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0,0349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0,5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358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0,0358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0,5114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60</w:t>
            </w:r>
          </w:p>
        </w:tc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434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0,0434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0,62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436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0,0436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0,6229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70</w:t>
            </w:r>
          </w:p>
        </w:tc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479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0,0479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0,68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489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0,0489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0,6986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80</w:t>
            </w:r>
          </w:p>
        </w:tc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574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0,0574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0,82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577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0,0577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0,8243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90</w:t>
            </w:r>
          </w:p>
        </w:tc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622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0,0622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0,89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628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0,0628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0,8971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100</w:t>
            </w:r>
          </w:p>
        </w:tc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694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0,0694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0,99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698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0,0698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0,9971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110</w:t>
            </w:r>
          </w:p>
        </w:tc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764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0,0764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1,09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768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0,0768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1,0971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120</w:t>
            </w:r>
          </w:p>
        </w:tc>
        <w:tc>
          <w:tcPr>
            <w:tcW w:w="1376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835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0,0835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1,19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5"/>
              <w:bidi w:val="0"/>
              <w:jc w:val="center"/>
              <w:rPr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837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0,0837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jc w:val="center"/>
              <w:rPr>
                <w:sz w:val="28"/>
              </w:rPr>
            </w:pPr>
            <w:r>
              <w:rPr>
                <w:sz w:val="28"/>
              </w:rPr>
              <w:t>1,1957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numPr>
          <w:ilvl w:val="1"/>
          <w:numId w:val="2"/>
        </w:numPr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Выполнить индивидуальное задание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drawing>
          <wp:inline distT="0" distB="0" distL="0" distR="0">
            <wp:extent cx="2781300" cy="4572635"/>
            <wp:effectExtent l="0" t="0" r="0" b="0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4572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Вывод: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  <w:lang w:val="ru-RU"/>
        </w:rPr>
      </w:pPr>
      <w:r>
        <w:rPr>
          <w:b w:val="false"/>
          <w:bCs w:val="false"/>
          <w:sz w:val="28"/>
          <w:szCs w:val="28"/>
          <w:lang w:val="ru-RU"/>
        </w:rPr>
        <w:t>Изучил методы регистрации двоичных сигналов и принципы работы устройств регистрации. Экспериментально определил зависимость вероятности ошибки от характеристик устройств регистрации при действии краевых искажений и дроблений.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  <w:lang w:val="ru-RU"/>
        </w:rPr>
      </w:pPr>
      <w:r>
        <w:rPr>
          <w:b w:val="false"/>
          <w:bCs w:val="false"/>
          <w:sz w:val="28"/>
          <w:szCs w:val="28"/>
          <w:lang w:val="ru-R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Контрольные вопросы: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Поясните назначение устройства регистрации при передаче двоичных сигналов от передатчика к приёмнику. 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Поясните метод стробирования.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Поясните метод интегрирования.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Поясните комбинированный метод.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Как влияет точность работы системы синхронизации на величину исправляющей способности.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Сравните различные методы регистрации при действии искажений двоичных сигналов</w:t>
      </w:r>
    </w:p>
    <w:sectPr>
      <w:footerReference w:type="default" r:id="rId8"/>
      <w:footerReference w:type="first" r:id="rId9"/>
      <w:type w:val="nextPage"/>
      <w:pgSz w:w="11906" w:h="16838"/>
      <w:pgMar w:left="1134" w:right="1134" w:gutter="0" w:header="0" w:top="1134" w:footer="1134" w:bottom="1693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t>Москва, 2025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2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character" w:styleId="user">
    <w:name w:val="Символ нумерации (user)"/>
    <w:qFormat/>
    <w:rPr/>
  </w:style>
  <w:style w:type="character" w:styleId="user1">
    <w:name w:val="Маркеры (user)"/>
    <w:qFormat/>
    <w:rPr>
      <w:rFonts w:ascii="OpenSymbol" w:hAnsi="OpenSymbol" w:eastAsia="OpenSymbol" w:cs="OpenSymbol"/>
    </w:rPr>
  </w:style>
  <w:style w:type="character" w:styleId="Style14">
    <w:name w:val="Символ нумерации"/>
    <w:qFormat/>
    <w:rPr/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Lucida San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qFormat/>
    <w:pPr>
      <w:spacing w:lineRule="auto" w:line="240" w:before="280" w:after="280"/>
      <w:ind w:hanging="0"/>
    </w:pPr>
    <w:rPr>
      <w:color w:val="auto"/>
      <w:sz w:val="24"/>
      <w:szCs w:val="24"/>
    </w:rPr>
  </w:style>
  <w:style w:type="paragraph" w:styleId="user4">
    <w:name w:val="Колонтитулы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Style17">
    <w:name w:val="Колонтитулы"/>
    <w:basedOn w:val="Normal"/>
    <w:qFormat/>
    <w:pPr/>
    <w:rPr/>
  </w:style>
  <w:style w:type="paragraph" w:styleId="Footer">
    <w:name w:val="footer"/>
    <w:basedOn w:val="user4"/>
    <w:pPr>
      <w:suppressLineNumbers/>
    </w:pPr>
    <w:rPr/>
  </w:style>
  <w:style w:type="paragraph" w:styleId="user5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6">
    <w:name w:val="Заголовок таблицы (user)"/>
    <w:basedOn w:val="user5"/>
    <w:qFormat/>
    <w:pPr>
      <w:suppressLineNumbers/>
      <w:jc w:val="center"/>
    </w:pPr>
    <w:rPr>
      <w:b/>
      <w:bCs/>
    </w:rPr>
  </w:style>
  <w:style w:type="paragraph" w:styleId="Style18">
    <w:name w:val="Содержимое таблицы"/>
    <w:basedOn w:val="Normal"/>
    <w:qFormat/>
    <w:pPr>
      <w:widowControl w:val="false"/>
      <w:suppressLineNumbers/>
    </w:pPr>
    <w:rPr/>
  </w:style>
  <w:style w:type="paragraph" w:styleId="Style19">
    <w:name w:val="Заголовок таблицы"/>
    <w:basedOn w:val="Style18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289</TotalTime>
  <Application>LibreOffice/25.8.2.2$Windows_X86_64 LibreOffice_project/d401f2107ccab8f924a8e2df40f573aab7605b6f</Application>
  <AppVersion>15.0000</AppVersion>
  <Pages>8</Pages>
  <Words>393</Words>
  <Characters>2548</Characters>
  <CharactersWithSpaces>2775</CharactersWithSpaces>
  <Paragraphs>164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2025-11-13T19:54:25Z</dcterms:created>
  <dc:creator/>
  <dc:description/>
  <dc:language>ru-RU</dc:language>
  <cp:lastModifiedBy/>
  <dcterms:modified xsi:type="dcterms:W3CDTF">2025-11-20T19:48:50Z</dcterms:modified>
  <cp:revision>161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