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8BA34" w14:textId="3BF3A1B1" w:rsidR="00A5268A" w:rsidRDefault="00A5268A" w:rsidP="00A5268A">
      <w:pPr>
        <w:snapToGrid w:val="0"/>
        <w:contextualSpacing/>
        <w:rPr>
          <w:rFonts w:ascii="微軟正黑體" w:eastAsia="微軟正黑體" w:hAnsi="微軟正黑體"/>
          <w:b/>
          <w:bCs/>
        </w:rPr>
        <w:keepLines/>
      </w:pPr>
      <w:r>
        <w:rPr>
          <w:rFonts w:ascii="微軟正黑體" w:eastAsia="微軟正黑體" w:hAnsi="微軟正黑體" w:hint="eastAsia"/>
          <w:b/>
          <w:bCs/>
        </w:rPr>
        <w:t>Topic：RWA 試辦案整體方案與 IPS／金融市場部合作架構討論</w:t>
      </w:r>
    </w:p>
    <w:p w14:paraId="6628BA34" w14:textId="3BF3A1B1" w:rsidR="00A5268A" w:rsidRDefault="00A5268A" w:rsidP="00A5268A">
      <w:pPr>
        <w:snapToGrid w:val="0"/>
        <w:contextualSpacing/>
        <w:rPr>
          <w:rFonts w:ascii="微軟正黑體" w:eastAsia="微軟正黑體" w:hAnsi="微軟正黑體"/>
          <w:b/>
          <w:bCs/>
        </w:rPr>
        <w:keepLines/>
      </w:pPr>
      <w:r>
        <w:rPr>
          <w:rFonts w:ascii="微軟正黑體" w:eastAsia="微軟正黑體" w:hAnsi="微軟正黑體" w:hint="eastAsia"/>
          <w:b/>
          <w:bCs/>
        </w:rPr>
        <w:t>Date：</w:t>
      </w:r>
    </w:p>
    <w:p w14:paraId="6628BA34" w14:textId="3BF3A1B1" w:rsidR="00A5268A" w:rsidRDefault="00A5268A" w:rsidP="00A5268A">
      <w:pPr>
        <w:snapToGrid w:val="0"/>
        <w:contextualSpacing/>
        <w:rPr>
          <w:rFonts w:ascii="微軟正黑體" w:eastAsia="微軟正黑體" w:hAnsi="微軟正黑體"/>
          <w:b/>
          <w:bCs/>
        </w:rPr>
        <w:keepLines/>
        <w:keepNext/>
      </w:pPr>
      <w:r>
        <w:rPr>
          <w:rFonts w:ascii="微軟正黑體" w:eastAsia="微軟正黑體" w:hAnsi="微軟正黑體" w:hint="eastAsia"/>
          <w:b/>
          <w:bCs/>
        </w:rPr>
        <w:t>Participant：總經理、策略企劃部資深協理、金融市場部副總、IPS 資深協理、金融市場部副理、IPS 同仁、策略企劃部同仁</w:t>
      </w:r>
    </w:p>
    <w:p w14:paraId="36619268" w14:textId="77777777" w:rsidR="0089788B" w:rsidRDefault="0089788B" w:rsidP="005D67DC">
      <w:pPr>
        <w:snapToGrid w:val="0"/>
        <w:rPr>
          <w:b/>
          <w:bCs/>
        </w:rPr>
      </w:pPr>
    </w:p>
    <w:p w14:paraId="414E0752" w14:textId="5C8D7256" w:rsidR="005D67DC" w:rsidRPr="005D67DC" w:rsidRDefault="005D67DC" w:rsidP="005D67DC">
      <w:pPr>
        <w:snapToGrid w:val="0"/>
        <w:rPr>
          <w:b/>
          <w:bCs/>
        </w:rPr>
        <w:keepLines/>
        <w:keepNext/>
      </w:pPr>
      <w:r>
        <w:rPr>
          <w:b/>
          <w:bCs/>
        </w:rPr>
        <w:t>Key Takeaway</w:t>
      </w:r>
    </w:p>
    <w:p w14:paraId="697BA795" w14:textId="503B378D" w:rsidR="005D67DC" w:rsidRPr="005D67DC" w:rsidRDefault="005D67DC" w:rsidP="005D67DC">
      <w:pPr>
        <w:numPr>
          <w:ilvl w:val="0"/>
          <w:numId w:val="1"/>
        </w:numPr>
        <w:snapToGrid w:val="0"/>
        <w:keepLines/>
      </w:pPr>
      <w:r>
        <w:t>本案預計 8 月底向金控提出 Proposal，證券端先整合 IPS、金融市場部與銀行合作構想，經總經理確認後再由金控就 SBI 合作模式及集團內部分工進行 top-down 裁決</w:t>
      </w:r>
    </w:p>
    <w:p w14:paraId="697BA795" w14:textId="503B378D" w:rsidR="005D67DC" w:rsidRPr="005D67DC" w:rsidRDefault="005D67DC" w:rsidP="005D67DC">
      <w:pPr>
        <w:numPr>
          <w:ilvl w:val="0"/>
          <w:numId w:val="1"/>
        </w:numPr>
        <w:snapToGrid w:val="0"/>
        <w:keepLines/>
      </w:pPr>
      <w:r>
        <w:t>IPS 初步以複委託／omnibus account 承作，高資產、銀行既有虛擬資產保管企業客戶及 OSU 客戶為主要客群，惟支付幣別、accounting mismatch、SBI whitelist 與銀行 Custody 角色仍是主要落地障礙</w:t>
      </w:r>
    </w:p>
    <w:p w14:paraId="697BA795" w14:textId="503B378D" w:rsidR="005D67DC" w:rsidRPr="005D67DC" w:rsidRDefault="005D67DC" w:rsidP="005D67DC">
      <w:pPr>
        <w:numPr>
          <w:ilvl w:val="0"/>
          <w:numId w:val="1"/>
        </w:numPr>
        <w:snapToGrid w:val="0"/>
        <w:keepLines/>
      </w:pPr>
      <w:r>
        <w:t>金融市場部採自營 back-to-back 雖較複委託單純，但 KGIS 與終端客戶原則上均需具備 Wallet 並取得境外平台 whitelist；凱基的核心價值主要來自既有 Client Relationship 與協助 whitelist onboarding</w:t>
      </w:r>
    </w:p>
    <w:p w14:paraId="697BA795" w14:textId="503B378D" w:rsidR="005D67DC" w:rsidRPr="005D67DC" w:rsidRDefault="005D67DC" w:rsidP="005D67DC">
      <w:pPr>
        <w:numPr>
          <w:ilvl w:val="0"/>
          <w:numId w:val="1"/>
        </w:numPr>
        <w:snapToGrid w:val="0"/>
        <w:keepLines/>
      </w:pPr>
      <w:r>
        <w:t>IPS 與金融市場部客群重疊可先以客戶是否具備 Digital Wallet 及 whitelist 資格作為 routing 邏輯，具備兩項條件者可評估自營，未具 Wallet 者原則上走複委託</w:t>
      </w:r>
    </w:p>
    <w:p w14:paraId="697BA795" w14:textId="503B378D" w:rsidR="005D67DC" w:rsidRPr="005D67DC" w:rsidRDefault="005D67DC" w:rsidP="005D67DC">
      <w:pPr>
        <w:numPr>
          <w:ilvl w:val="0"/>
          <w:numId w:val="1"/>
        </w:numPr>
        <w:snapToGrid w:val="0"/>
        <w:keepLines/>
      </w:pPr>
      <w:r>
        <w:t>複委託模式尚須釐清 Stablecoin 是否需同幣進出及能否由 KGIS／銀行代持；若可行，帳戶架構可能需更接近 OSU 的 omnibus account，而非現行交割帳戶圈存模式</w:t>
      </w:r>
    </w:p>
    <w:p w14:paraId="4AB2F9AF" w14:textId="77777777" w:rsidR="005D67DC" w:rsidRPr="005D67DC" w:rsidRDefault="00000000" w:rsidP="005D67DC">
      <w:pPr>
        <w:snapToGrid w:val="0"/>
      </w:pPr>
      <w:r>
        <w:pict w14:anchorId="4A33D3B8">
          <v:rect id="_x0000_i1025" style="width:0;height:1.5pt" o:hralign="center" o:hrstd="t" o:hr="t" fillcolor="#a0a0a0" stroked="f"/>
        </w:pict>
      </w:r>
    </w:p>
    <w:p w14:paraId="36619268" w14:textId="77777777" w:rsidR="0089788B" w:rsidRDefault="0089788B" w:rsidP="005D67DC">
      <w:pPr>
        <w:snapToGrid w:val="0"/>
        <w:rPr>
          <w:b/>
          <w:bCs/>
        </w:rPr>
      </w:pPr>
    </w:p>
    <w:p w14:paraId="4F219274" w14:textId="7BD1B033" w:rsidR="005D67DC" w:rsidRPr="005D67DC" w:rsidRDefault="005D67DC" w:rsidP="005D67DC">
      <w:pPr>
        <w:snapToGrid w:val="0"/>
        <w:rPr>
          <w:b/>
          <w:bCs/>
        </w:rPr>
        <w:keepLines/>
        <w:keepNext/>
      </w:pPr>
      <w:r>
        <w:rPr>
          <w:b/>
          <w:bCs/>
        </w:rPr>
        <w:t>台灣本地 RWA 與 SBI 跨境合作屬兩條不同路徑，本地方案偏政策試辦與基礎建設驗證，SBI 路徑則較直接連結既有 Digital Asset 客群需求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台灣目前規劃明年 3 月推進國內公司債／金融債 RWA，主要沿用既有發行與交易制度，另以鏈上系統處理交割並搭配存款代幣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會中認為本地模式仍主要由法幣出發，既有債券與基金本即可用法幣投資，因此短期 Client Value Proposition 相對有限</w:t>
      </w:r>
    </w:p>
    <w:p w14:paraId="4AD05773" w14:textId="548B3A1C" w:rsidR="005D67DC" w:rsidRPr="005D67DC" w:rsidRDefault="005D67DC" w:rsidP="005D67DC">
      <w:pPr>
        <w:numPr>
          <w:ilvl w:val="0"/>
          <w:numId w:val="2"/>
        </w:numPr>
        <w:snapToGrid w:val="0"/>
        <w:keepLines/>
      </w:pPr>
      <w:r>
        <w:t>RWA Tokenization 原始商業邏輯較偏向讓既有 Digital Currency 持有人取得孳息及 Wealth Management 商品</w:t>
      </w:r>
    </w:p>
    <w:p w14:paraId="4AD05773" w14:textId="548B3A1C" w:rsidR="005D67DC" w:rsidRPr="005D67DC" w:rsidRDefault="005D67DC" w:rsidP="005D67DC">
      <w:pPr>
        <w:numPr>
          <w:ilvl w:val="0"/>
          <w:numId w:val="2"/>
        </w:numPr>
        <w:snapToGrid w:val="0"/>
        <w:keepLines/>
      </w:pPr>
      <w:r>
        <w:t>若仍以 Fiat → RWA → Fiat 運作，Tokenization 的額外價值相對不明顯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本地試辦仍可能因主管機關政策要求而需配合，且多數串接可透過 API 完成，與 SBI 跨境方案並不互斥</w:t>
      </w:r>
    </w:p>
    <w:p w14:paraId="36619268" w14:textId="77777777" w:rsidR="0089788B" w:rsidRDefault="0089788B" w:rsidP="005D67DC">
      <w:pPr>
        <w:snapToGrid w:val="0"/>
        <w:rPr>
          <w:b/>
          <w:bCs/>
        </w:rPr>
      </w:pPr>
    </w:p>
    <w:p w14:paraId="4F219274" w14:textId="7BD1B033" w:rsidR="005D67DC" w:rsidRPr="005D67DC" w:rsidRDefault="005D67DC" w:rsidP="005D67DC">
      <w:pPr>
        <w:snapToGrid w:val="0"/>
        <w:rPr>
          <w:b/>
          <w:bCs/>
        </w:rPr>
        <w:keepLines/>
        <w:keepNext/>
      </w:pPr>
      <w:r>
        <w:rPr>
          <w:b/>
          <w:bCs/>
        </w:rPr>
        <w:t>IPS 初步以複委託為核心，由 KGIS 以 omnibus account 統一持有 Token／Stablecoin，並在帳內記錄各客戶部位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初步目標客群分為高資產客戶、凱基銀行既有虛擬資產保管企業客戶，以及 OSU／亞太資產管理相關境外客戶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初步商品聚焦 Money Market Fund 與日本高股息基金，分別承接 Digital Asset 客戶 Parking／Yield 需求及 SBI 日本端商品優勢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客戶於 App 下單後，由 KGIS 接收交易指示，銀行完成 Fiat／Stablecoin 兌換，再送 SBI 境外平台交易</w:t>
      </w:r>
    </w:p>
    <w:p w14:paraId="4AD05773" w14:textId="548B3A1C" w:rsidR="005D67DC" w:rsidRPr="005D67DC" w:rsidRDefault="005D67DC" w:rsidP="005D67DC">
      <w:pPr>
        <w:numPr>
          <w:ilvl w:val="0"/>
          <w:numId w:val="2"/>
        </w:numPr>
        <w:snapToGrid w:val="0"/>
        <w:keepLines/>
      </w:pPr>
      <w:r>
        <w:t>SBI 完成交易後，Stablecoin 與 RWA Token 進行 DVP，交易結果及庫存再回到 KGIS 系統進行 omnibus bookkeeping</w:t>
      </w:r>
    </w:p>
    <w:p w14:paraId="36619268" w14:textId="77777777" w:rsidR="0089788B" w:rsidRDefault="0089788B" w:rsidP="005D67DC">
      <w:pPr>
        <w:snapToGrid w:val="0"/>
        <w:rPr>
          <w:b/>
          <w:bCs/>
        </w:rPr>
      </w:pPr>
    </w:p>
    <w:p w14:paraId="4F219274" w14:textId="7BD1B033" w:rsidR="005D67DC" w:rsidRPr="005D67DC" w:rsidRDefault="005D67DC" w:rsidP="005D67DC">
      <w:pPr>
        <w:snapToGrid w:val="0"/>
        <w:rPr>
          <w:b/>
          <w:bCs/>
        </w:rPr>
        <w:keepLines/>
        <w:keepNext/>
      </w:pPr>
      <w:r>
        <w:rPr>
          <w:b/>
          <w:bCs/>
        </w:rPr>
        <w:t>IPS 的主要落地風險集中在 Payment、Accounting、Whitelist／Compliance 與 Custody 四個面向，均需在正式 Proposal 前持續釐清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Payment：實際 Settlement Currency 尚未確認，原規劃偏向 USD／USDC，但 SBI 日本商品可能要求 JPYC，若涉及多次兌換將產生額外 FX spread 與 conversion cost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Accounting：KGIS Wallet 法律上由證券持有，對客戶端則形成代持義務；若 Token 資產端屬 intangible asset，可能與負債端形成 accounting mismatch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Whitelist／Compliance：KGIS 須取得 SBI Japan 或相關境外平台 whitelist，且 omnibus account 可能涉及 beneficial owner 揭露、KYC、Source of Fund、AML 與後續 DD／audit obligation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Custody：證券端希望由銀行承接 Wallet／Private Key Custody，但銀行現行可承作範圍及未來 Stablecoin／RWA 牌照仍待確認，最終分工交由金控統整</w:t>
      </w:r>
    </w:p>
    <w:p w14:paraId="36619268" w14:textId="77777777" w:rsidR="0089788B" w:rsidRDefault="0089788B" w:rsidP="005D67DC">
      <w:pPr>
        <w:snapToGrid w:val="0"/>
        <w:rPr>
          <w:b/>
          <w:bCs/>
        </w:rPr>
      </w:pPr>
    </w:p>
    <w:p w14:paraId="4F219274" w14:textId="7BD1B033" w:rsidR="005D67DC" w:rsidRPr="005D67DC" w:rsidRDefault="005D67DC" w:rsidP="005D67DC">
      <w:pPr>
        <w:snapToGrid w:val="0"/>
        <w:rPr>
          <w:b/>
          <w:bCs/>
        </w:rPr>
        <w:keepLines/>
        <w:keepNext/>
      </w:pPr>
      <w:r>
        <w:rPr>
          <w:b/>
          <w:bCs/>
        </w:rPr>
        <w:t>SBI 商品目前主要採初級市場 Mint／Burn，並未完整實現 24/7、碎片化與去中心化等典型 Tokenization 特性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現階段 SBI 商品以初級市場申購／贖回為主，申購時 Mint、贖回時 Burn，不走 secondary matching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Mint／Burn 仍受產品或平台營業時間限制，因此並非真正 24/7；DVP 亦是在交易條件事前確認完成後執行款券同步交割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系統面仍須與 IT 確認 Firewall、DDoS 及 KGIS 與境外平台 API 串接方式</w:t>
      </w:r>
    </w:p>
    <w:p w14:paraId="36619268" w14:textId="77777777" w:rsidR="0089788B" w:rsidRDefault="0089788B" w:rsidP="005D67DC">
      <w:pPr>
        <w:snapToGrid w:val="0"/>
        <w:rPr>
          <w:b/>
          <w:bCs/>
        </w:rPr>
      </w:pPr>
    </w:p>
    <w:p w14:paraId="4F219274" w14:textId="7BD1B033" w:rsidR="005D67DC" w:rsidRPr="005D67DC" w:rsidRDefault="005D67DC" w:rsidP="005D67DC">
      <w:pPr>
        <w:snapToGrid w:val="0"/>
        <w:rPr>
          <w:b/>
          <w:bCs/>
        </w:rPr>
        <w:keepLines/>
        <w:keepNext/>
      </w:pPr>
      <w:r>
        <w:rPr>
          <w:b/>
          <w:bCs/>
        </w:rPr>
        <w:t>金融市場部傾向以自營 back-to-back 參與，流程雖較複委託直接，但商業必要性取決於凱基是否能持續掌握客戶入口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商品可先從既有 Tokenized Money Market／Government Bond 類商品中選擇，實際品項仍須視可取得的客戶需求決定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自營模式先決條件為 KGIS 本身取得 SBI whitelist，且客戶具備 Digital Wallet 並取得對應 whitelist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若上述條件均成立，客戶理論上亦可能直接與 SBI 交易；Real-time DVP 下亦缺乏傳統 pre-settlement risk 與 Credit／Leverage 的中介必要</w:t>
      </w:r>
    </w:p>
    <w:p w14:paraId="4AD05773" w14:textId="548B3A1C" w:rsidR="005D67DC" w:rsidRPr="005D67DC" w:rsidRDefault="005D67DC" w:rsidP="005D67DC">
      <w:pPr>
        <w:numPr>
          <w:ilvl w:val="0"/>
          <w:numId w:val="2"/>
        </w:numPr>
        <w:snapToGrid w:val="0"/>
        <w:keepLines/>
      </w:pPr>
      <w:r>
        <w:t>凱基可提供的核心差異化主要在既有 Client Relationship、產品包裝，以及協助客戶完成 SBI whitelist onboarding</w:t>
      </w:r>
    </w:p>
    <w:p w14:paraId="36619268" w14:textId="77777777" w:rsidR="0089788B" w:rsidRDefault="0089788B" w:rsidP="005D67DC">
      <w:pPr>
        <w:snapToGrid w:val="0"/>
        <w:rPr>
          <w:b/>
          <w:bCs/>
        </w:rPr>
      </w:pPr>
    </w:p>
    <w:p w14:paraId="4F219274" w14:textId="7BD1B033" w:rsidR="005D67DC" w:rsidRPr="005D67DC" w:rsidRDefault="005D67DC" w:rsidP="005D67DC">
      <w:pPr>
        <w:snapToGrid w:val="0"/>
        <w:rPr>
          <w:b/>
          <w:bCs/>
        </w:rPr>
        <w:keepLines/>
        <w:keepNext/>
      </w:pPr>
      <w:r>
        <w:rPr>
          <w:b/>
          <w:bCs/>
        </w:rPr>
        <w:t>IPS 與金融市場部不宜各自以商品線切客群，應建立單一 Client Routing Logic，由凱基先判斷適用交易架構再對客戶提供整合方案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具 Digital Wallet 且已／可取得 SBI whitelist 的客戶，可評估由金融市場部以自營 back-to-back 承作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未具 Digital Wallet 的客戶原則上走複委託，由 KGIS omnibus account 統一持有 Token／Stablecoin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最終仍須明確定義 Client Ownership、Revenue Attribution 與 IPS／金融市場部實際分工，避免兩個業務單位同時面對同一客戶</w:t>
      </w:r>
    </w:p>
    <w:p w14:paraId="36619268" w14:textId="77777777" w:rsidR="0089788B" w:rsidRDefault="0089788B" w:rsidP="005D67DC">
      <w:pPr>
        <w:snapToGrid w:val="0"/>
        <w:rPr>
          <w:b/>
          <w:bCs/>
        </w:rPr>
      </w:pPr>
    </w:p>
    <w:p w14:paraId="4F219274" w14:textId="7BD1B033" w:rsidR="005D67DC" w:rsidRPr="005D67DC" w:rsidRDefault="005D67DC" w:rsidP="005D67DC">
      <w:pPr>
        <w:snapToGrid w:val="0"/>
        <w:rPr>
          <w:b/>
          <w:bCs/>
        </w:rPr>
        <w:keepLines/>
        <w:keepNext/>
      </w:pPr>
      <w:r>
        <w:rPr>
          <w:b/>
          <w:bCs/>
        </w:rPr>
        <w:t>複委託若要真正承接 RWA，帳戶與 Stablecoin Custody 架構可能需由現行交割帳戶模式轉向更接近 OSU 的 omnibus account／sub-ledger 設計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現行台灣複委託主要透過客戶銀行交割帳戶進行圈存及扣款，並非資金預先進入券商 omnibus account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RWA 若採 KGIS omnibus Wallet，Token 與 Stablecoin 將集中於 KGIS／Custodian Wallet，再由 KGIS 內部帳務記錄各客戶 entitlement</w:t>
      </w:r>
    </w:p>
    <w:p w14:paraId="55FC4AD9" w14:textId="5AE534D0" w:rsidR="005D67DC" w:rsidRPr="005D67DC" w:rsidRDefault="005D67DC" w:rsidP="005D67DC">
      <w:pPr>
        <w:snapToGrid w:val="0"/>
        <w:keepLines/>
      </w:pPr>
      <w:r>
        <w:t>• 後續需確認同幣進出限制、客戶贖回後 USDC／JPYC 是否可持續代持、OSU-style omnibus cash account 的可行性，以及 Stablecoin 法律持有人與帳務負債的對應方式</w:t>
      </w:r>
    </w:p>
    <w:p w14:paraId="36619268" w14:textId="77777777" w:rsidR="0089788B" w:rsidRDefault="0089788B" w:rsidP="005D67DC">
      <w:pPr>
        <w:snapToGrid w:val="0"/>
        <w:rPr>
          <w:b/>
          <w:bCs/>
        </w:rPr>
      </w:pPr>
    </w:p>
    <w:p w14:paraId="021624F4" w14:textId="588BF144" w:rsidR="005D67DC" w:rsidRPr="005D67DC" w:rsidRDefault="005D67DC" w:rsidP="005D67DC">
      <w:pPr>
        <w:snapToGrid w:val="0"/>
        <w:rPr>
          <w:b/>
          <w:bCs/>
        </w:rPr>
        <w:pageBreakBefore/>
        <w:keepLines/>
        <w:keepNext/>
      </w:pPr>
      <w:r>
        <w:rPr>
          <w:b/>
          <w:bCs/>
        </w:rPr>
        <w:t>待確認事項與後續行動（Open Items / Next Action）</w:t>
      </w:r>
    </w:p>
    <w:p w14:paraId="26945199" w14:textId="77777777" w:rsidR="005D67DC" w:rsidRPr="005D67DC" w:rsidRDefault="005D67DC" w:rsidP="005D67DC">
      <w:pPr>
        <w:snapToGrid w:val="0"/>
        <w:keepLines/>
      </w:pPr>
      <w:r>
        <w:t>• SBI／境外平台</w:t>
      </w:r>
    </w:p>
    <w:p w14:paraId="230B33D3" w14:textId="77777777" w:rsidR="005D67DC" w:rsidRPr="005D67DC" w:rsidRDefault="005D67DC" w:rsidP="005D67DC">
      <w:pPr>
        <w:numPr>
          <w:ilvl w:val="0"/>
          <w:numId w:val="10"/>
        </w:numPr>
        <w:snapToGrid w:val="0"/>
        <w:keepLines/>
      </w:pPr>
      <w:r>
        <w:t>確認各商品實際 Settlement Currency，包含 USDC、JPYC 的適用情境、Fiat／Stablecoin 轉換路徑與成本</w:t>
      </w:r>
    </w:p>
    <w:p w14:paraId="230B33D3" w14:textId="77777777" w:rsidR="005D67DC" w:rsidRPr="005D67DC" w:rsidRDefault="005D67DC" w:rsidP="005D67DC">
      <w:pPr>
        <w:numPr>
          <w:ilvl w:val="0"/>
          <w:numId w:val="10"/>
        </w:numPr>
        <w:snapToGrid w:val="0"/>
        <w:keepLines/>
      </w:pPr>
      <w:r>
        <w:t>釐清 KGIS 取得 SBI／DigiFT whitelist 的資格、審核流程、所需時間及當地主管機關要求</w:t>
      </w:r>
    </w:p>
    <w:p w14:paraId="230B33D3" w14:textId="77777777" w:rsidR="005D67DC" w:rsidRPr="005D67DC" w:rsidRDefault="005D67DC" w:rsidP="005D67DC">
      <w:pPr>
        <w:numPr>
          <w:ilvl w:val="0"/>
          <w:numId w:val="10"/>
        </w:numPr>
        <w:snapToGrid w:val="0"/>
        <w:keepLines/>
      </w:pPr>
      <w:r>
        <w:t>確認 omnibus sub-brokerage 是否須逐戶揭露 beneficial owner，以及後續 KYC、AML、Source of Fund、DD／audit obligation</w:t>
      </w:r>
    </w:p>
    <w:p w14:paraId="26945199" w14:textId="77777777" w:rsidR="005D67DC" w:rsidRPr="005D67DC" w:rsidRDefault="005D67DC" w:rsidP="005D67DC">
      <w:pPr>
        <w:snapToGrid w:val="0"/>
        <w:keepLines/>
      </w:pPr>
      <w:r>
        <w:t>• 內部／監理</w:t>
      </w:r>
    </w:p>
    <w:p w14:paraId="230B33D3" w14:textId="77777777" w:rsidR="005D67DC" w:rsidRPr="005D67DC" w:rsidRDefault="005D67DC" w:rsidP="005D67DC">
      <w:pPr>
        <w:numPr>
          <w:ilvl w:val="0"/>
          <w:numId w:val="10"/>
        </w:numPr>
        <w:snapToGrid w:val="0"/>
        <w:keepLines/>
      </w:pPr>
      <w:r>
        <w:t>確認 KGIS 以 omnibus Wallet 代持 RWA Token 時的資產負債認列方式，以及是否存在 intangible asset 與客戶負債間的 accounting mismatch</w:t>
      </w:r>
    </w:p>
    <w:p w14:paraId="230B33D3" w14:textId="77777777" w:rsidR="005D67DC" w:rsidRPr="005D67DC" w:rsidRDefault="005D67DC" w:rsidP="005D67DC">
      <w:pPr>
        <w:numPr>
          <w:ilvl w:val="0"/>
          <w:numId w:val="10"/>
        </w:numPr>
        <w:snapToGrid w:val="0"/>
        <w:keepLines/>
      </w:pPr>
      <w:r>
        <w:t>由金控確認凱基銀行是否願意及能否承接 Stablecoin／RWA Wallet 與 Private Key Custody，以及相關牌照與時程</w:t>
      </w:r>
    </w:p>
    <w:p w14:paraId="230B33D3" w14:textId="77777777" w:rsidR="005D67DC" w:rsidRPr="005D67DC" w:rsidRDefault="005D67DC" w:rsidP="005D67DC">
      <w:pPr>
        <w:numPr>
          <w:ilvl w:val="0"/>
          <w:numId w:val="10"/>
        </w:numPr>
        <w:snapToGrid w:val="0"/>
        <w:keepLines/>
      </w:pPr>
      <w:r>
        <w:t>釐清 OSU 是否可納入本案，並評估是否需爭取 OSU-style omnibus account 作為複委託資金及 Stablecoin 存放架構</w:t>
      </w:r>
    </w:p>
    <w:p w14:paraId="230B33D3" w14:textId="77777777" w:rsidR="005D67DC" w:rsidRPr="005D67DC" w:rsidRDefault="005D67DC" w:rsidP="005D67DC">
      <w:pPr>
        <w:numPr>
          <w:ilvl w:val="0"/>
          <w:numId w:val="10"/>
        </w:numPr>
        <w:snapToGrid w:val="0"/>
        <w:keepLines/>
      </w:pPr>
      <w:r>
        <w:t>確認複委託是否要求同幣進、同幣出，以及客戶贖回後 USDC／JPYC 是否可由 KGIS／銀行持續代持</w:t>
      </w:r>
    </w:p>
    <w:p w14:paraId="230B33D3" w14:textId="77777777" w:rsidR="005D67DC" w:rsidRPr="005D67DC" w:rsidRDefault="005D67DC" w:rsidP="005D67DC">
      <w:pPr>
        <w:numPr>
          <w:ilvl w:val="0"/>
          <w:numId w:val="10"/>
        </w:numPr>
        <w:snapToGrid w:val="0"/>
        <w:keepLines/>
      </w:pPr>
      <w:r>
        <w:t>與 IT 確認 Firewall、DDoS、API 串接及 Wallet／Custody 系統需求</w:t>
      </w:r>
    </w:p>
    <w:p w14:paraId="26945199" w14:textId="77777777" w:rsidR="005D67DC" w:rsidRPr="005D67DC" w:rsidRDefault="005D67DC" w:rsidP="005D67DC">
      <w:pPr>
        <w:snapToGrid w:val="0"/>
        <w:keepLines/>
      </w:pPr>
      <w:r>
        <w:t>• 分工與後續推進</w:t>
      </w:r>
    </w:p>
    <w:p w14:paraId="230B33D3" w14:textId="77777777" w:rsidR="005D67DC" w:rsidRPr="005D67DC" w:rsidRDefault="005D67DC" w:rsidP="005D67DC">
      <w:pPr>
        <w:numPr>
          <w:ilvl w:val="0"/>
          <w:numId w:val="10"/>
        </w:numPr>
        <w:snapToGrid w:val="0"/>
        <w:keepLines/>
      </w:pPr>
      <w:r>
        <w:t>完成 IPS／金融市場部共同 Client Routing Logic，明確定義自營與複委託的適用條件、Client Ownership 與業務分工</w:t>
      </w:r>
    </w:p>
    <w:p w14:paraId="230B33D3" w14:textId="77777777" w:rsidR="005D67DC" w:rsidRPr="005D67DC" w:rsidRDefault="005D67DC" w:rsidP="005D67DC">
      <w:pPr>
        <w:numPr>
          <w:ilvl w:val="0"/>
          <w:numId w:val="10"/>
        </w:numPr>
        <w:snapToGrid w:val="0"/>
        <w:keepLines/>
      </w:pPr>
      <w:r>
        <w:t>研究 009816 上鏈轉為 Token 的實際流程，作為後續台灣本地 Tokenization 案例參考</w:t>
      </w:r>
    </w:p>
    <w:p w14:paraId="230B33D3" w14:textId="77777777" w:rsidR="005D67DC" w:rsidRPr="005D67DC" w:rsidRDefault="005D67DC" w:rsidP="005D67DC">
      <w:pPr>
        <w:numPr>
          <w:ilvl w:val="0"/>
          <w:numId w:val="10"/>
        </w:numPr>
        <w:snapToGrid w:val="0"/>
        <w:keepLines/>
      </w:pPr>
      <w:r>
        <w:t>策略企劃部完成整體方案統整後先交 IPS 與金融市場部確認，再提交總經理／金控作最終討論</w:t>
      </w:r>
    </w:p>
    <w:p w14:paraId="230B33D3" w14:textId="77777777" w:rsidR="005D67DC" w:rsidRPr="005D67DC" w:rsidRDefault="005D67DC" w:rsidP="005D67DC">
      <w:pPr>
        <w:numPr>
          <w:ilvl w:val="0"/>
          <w:numId w:val="10"/>
        </w:numPr>
        <w:snapToGrid w:val="0"/>
        <w:keepLines/>
      </w:pPr>
      <w:r>
        <w:t>依既定時程於 8 月底向金控提出 Proposal，供金控就 SBI 合作模式、銀行角色與集團分工進行 top-down 裁決</w:t>
      </w:r>
    </w:p>
    <w:sectPr w:rsidR="00A546DE" w:rsidRPr="005D67DC" w:rsidSect="00A546DE">
      <w:headerReference w:type="default" r:id="rId10"/>
      <w:footerReference w:type="default" r:id="rId11"/>
      <w:pgSz w:w="11906" w:h="16838"/>
      <w:pgMar w:top="1440" w:right="1800" w:bottom="1440" w:left="1800" w:header="141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16A57" w14:textId="77777777" w:rsidR="00BE111A" w:rsidRDefault="00BE111A" w:rsidP="00A546DE">
      <w:r>
        <w:separator/>
      </w:r>
    </w:p>
  </w:endnote>
  <w:endnote w:type="continuationSeparator" w:id="0">
    <w:p w14:paraId="5B484038" w14:textId="77777777" w:rsidR="00BE111A" w:rsidRDefault="00BE111A" w:rsidP="00A54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2F275542" w14:paraId="54491067" w14:textId="77777777" w:rsidTr="2F275542">
      <w:trPr>
        <w:trHeight w:val="300"/>
      </w:trPr>
      <w:tc>
        <w:tcPr>
          <w:tcW w:w="2765" w:type="dxa"/>
        </w:tcPr>
        <w:p w14:paraId="4D080726" w14:textId="77777777" w:rsidR="2F275542" w:rsidRDefault="2F275542" w:rsidP="2F275542">
          <w:pPr>
            <w:pStyle w:val="a3"/>
            <w:ind w:left="-115"/>
          </w:pPr>
        </w:p>
      </w:tc>
      <w:tc>
        <w:tcPr>
          <w:tcW w:w="2765" w:type="dxa"/>
        </w:tcPr>
        <w:p w14:paraId="48072D46" w14:textId="77777777" w:rsidR="2F275542" w:rsidRDefault="2F275542" w:rsidP="2F275542">
          <w:pPr>
            <w:pStyle w:val="a3"/>
            <w:jc w:val="center"/>
          </w:pPr>
        </w:p>
      </w:tc>
      <w:tc>
        <w:tcPr>
          <w:tcW w:w="2765" w:type="dxa"/>
        </w:tcPr>
        <w:p w14:paraId="5660A28E" w14:textId="77777777" w:rsidR="2F275542" w:rsidRDefault="2F275542" w:rsidP="2F275542">
          <w:pPr>
            <w:pStyle w:val="a3"/>
            <w:ind w:right="-115"/>
            <w:jc w:val="right"/>
          </w:pPr>
        </w:p>
      </w:tc>
    </w:tr>
  </w:tbl>
  <w:p w14:paraId="12073210" w14:textId="77777777" w:rsidR="2F275542" w:rsidRDefault="2F275542" w:rsidP="2F27554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2C766" w14:textId="77777777" w:rsidR="00BE111A" w:rsidRDefault="00BE111A" w:rsidP="00A546DE">
      <w:r>
        <w:separator/>
      </w:r>
    </w:p>
  </w:footnote>
  <w:footnote w:type="continuationSeparator" w:id="0">
    <w:p w14:paraId="57D73C70" w14:textId="77777777" w:rsidR="00BE111A" w:rsidRDefault="00BE111A" w:rsidP="00A546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0DB28" w14:textId="77777777" w:rsidR="00A546DE" w:rsidRDefault="00A546DE">
    <w:pPr>
      <w:pStyle w:val="a3"/>
    </w:pPr>
    <w:r>
      <w:rPr>
        <w:noProof/>
      </w:rPr>
      <w:drawing>
        <wp:inline distT="0" distB="0" distL="0" distR="0" wp14:anchorId="4D923102" wp14:editId="7C6EFCB4">
          <wp:extent cx="1228725" cy="419944"/>
          <wp:effectExtent l="0" t="0" r="0" b="0"/>
          <wp:docPr id="1976360267" name="圖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0850" cy="4309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F4C"/>
    <w:multiLevelType w:val="multilevel"/>
    <w:tmpl w:val="30AE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6733D"/>
    <w:multiLevelType w:val="multilevel"/>
    <w:tmpl w:val="7E44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C77B2"/>
    <w:multiLevelType w:val="multilevel"/>
    <w:tmpl w:val="4E9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53D21"/>
    <w:multiLevelType w:val="multilevel"/>
    <w:tmpl w:val="A89C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445F9"/>
    <w:multiLevelType w:val="multilevel"/>
    <w:tmpl w:val="6E82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C238C"/>
    <w:multiLevelType w:val="multilevel"/>
    <w:tmpl w:val="D51A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332AE"/>
    <w:multiLevelType w:val="multilevel"/>
    <w:tmpl w:val="F0CE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A521E"/>
    <w:multiLevelType w:val="multilevel"/>
    <w:tmpl w:val="0B06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B0598"/>
    <w:multiLevelType w:val="multilevel"/>
    <w:tmpl w:val="894C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E2786"/>
    <w:multiLevelType w:val="multilevel"/>
    <w:tmpl w:val="D238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37611"/>
    <w:multiLevelType w:val="multilevel"/>
    <w:tmpl w:val="5868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821903">
    <w:abstractNumId w:val="10"/>
  </w:num>
  <w:num w:numId="2" w16cid:durableId="1854685145">
    <w:abstractNumId w:val="1"/>
  </w:num>
  <w:num w:numId="3" w16cid:durableId="1741561975">
    <w:abstractNumId w:val="5"/>
  </w:num>
  <w:num w:numId="4" w16cid:durableId="1219904578">
    <w:abstractNumId w:val="2"/>
  </w:num>
  <w:num w:numId="5" w16cid:durableId="629171389">
    <w:abstractNumId w:val="8"/>
  </w:num>
  <w:num w:numId="6" w16cid:durableId="1803421026">
    <w:abstractNumId w:val="9"/>
  </w:num>
  <w:num w:numId="7" w16cid:durableId="1540512567">
    <w:abstractNumId w:val="3"/>
  </w:num>
  <w:num w:numId="8" w16cid:durableId="325548194">
    <w:abstractNumId w:val="0"/>
  </w:num>
  <w:num w:numId="9" w16cid:durableId="596671761">
    <w:abstractNumId w:val="4"/>
  </w:num>
  <w:num w:numId="10" w16cid:durableId="1187989753">
    <w:abstractNumId w:val="6"/>
  </w:num>
  <w:num w:numId="11" w16cid:durableId="5654107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ttachedTemplate r:id="rId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7DC"/>
    <w:rsid w:val="00033D31"/>
    <w:rsid w:val="00052F3E"/>
    <w:rsid w:val="000A0744"/>
    <w:rsid w:val="000C4532"/>
    <w:rsid w:val="00142D7D"/>
    <w:rsid w:val="001C2165"/>
    <w:rsid w:val="001C2E6E"/>
    <w:rsid w:val="001F60BB"/>
    <w:rsid w:val="0023122A"/>
    <w:rsid w:val="00270754"/>
    <w:rsid w:val="00287369"/>
    <w:rsid w:val="002C7663"/>
    <w:rsid w:val="00356840"/>
    <w:rsid w:val="003F6D0B"/>
    <w:rsid w:val="00402F9C"/>
    <w:rsid w:val="004271F8"/>
    <w:rsid w:val="004503A6"/>
    <w:rsid w:val="00472ABC"/>
    <w:rsid w:val="00491BA8"/>
    <w:rsid w:val="0052714B"/>
    <w:rsid w:val="005415D1"/>
    <w:rsid w:val="005617AB"/>
    <w:rsid w:val="005D67DC"/>
    <w:rsid w:val="005F23E0"/>
    <w:rsid w:val="005F2C5A"/>
    <w:rsid w:val="005F77D6"/>
    <w:rsid w:val="00613010"/>
    <w:rsid w:val="00623EE6"/>
    <w:rsid w:val="006703C0"/>
    <w:rsid w:val="006E158B"/>
    <w:rsid w:val="00772D63"/>
    <w:rsid w:val="00784DC1"/>
    <w:rsid w:val="0079084E"/>
    <w:rsid w:val="007B62DC"/>
    <w:rsid w:val="007F055F"/>
    <w:rsid w:val="00821BF8"/>
    <w:rsid w:val="008363A9"/>
    <w:rsid w:val="008556B4"/>
    <w:rsid w:val="0089788B"/>
    <w:rsid w:val="008A285F"/>
    <w:rsid w:val="008C3BC5"/>
    <w:rsid w:val="008D771D"/>
    <w:rsid w:val="00900337"/>
    <w:rsid w:val="0092015A"/>
    <w:rsid w:val="009C326C"/>
    <w:rsid w:val="009D26D5"/>
    <w:rsid w:val="009E0155"/>
    <w:rsid w:val="00A12D15"/>
    <w:rsid w:val="00A3462B"/>
    <w:rsid w:val="00A5268A"/>
    <w:rsid w:val="00A546DE"/>
    <w:rsid w:val="00A61B5A"/>
    <w:rsid w:val="00A9084D"/>
    <w:rsid w:val="00AD6D7A"/>
    <w:rsid w:val="00AD6FC2"/>
    <w:rsid w:val="00AF3BDC"/>
    <w:rsid w:val="00B14762"/>
    <w:rsid w:val="00B15528"/>
    <w:rsid w:val="00B627EC"/>
    <w:rsid w:val="00B81C15"/>
    <w:rsid w:val="00BA5002"/>
    <w:rsid w:val="00BE111A"/>
    <w:rsid w:val="00BF0429"/>
    <w:rsid w:val="00BF7E0C"/>
    <w:rsid w:val="00C055C9"/>
    <w:rsid w:val="00C165B4"/>
    <w:rsid w:val="00C53C84"/>
    <w:rsid w:val="00C74BA1"/>
    <w:rsid w:val="00C8705B"/>
    <w:rsid w:val="00CA63BA"/>
    <w:rsid w:val="00D02044"/>
    <w:rsid w:val="00D51712"/>
    <w:rsid w:val="00DF5DA7"/>
    <w:rsid w:val="00E170E0"/>
    <w:rsid w:val="00E82C6E"/>
    <w:rsid w:val="00F240BD"/>
    <w:rsid w:val="00F244A9"/>
    <w:rsid w:val="00F6237D"/>
    <w:rsid w:val="00FB3055"/>
    <w:rsid w:val="2F27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14D63"/>
  <w15:chartTrackingRefBased/>
  <w15:docId w15:val="{3E27058D-0E26-4BB9-93F0-BD8C9F932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015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46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546D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546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546DE"/>
    <w:rPr>
      <w:sz w:val="20"/>
      <w:szCs w:val="20"/>
    </w:rPr>
  </w:style>
  <w:style w:type="table" w:styleId="a7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8">
    <w:name w:val="Hyperlink"/>
    <w:basedOn w:val="a0"/>
    <w:uiPriority w:val="99"/>
    <w:unhideWhenUsed/>
    <w:rsid w:val="005D67D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D67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7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0013960\OneDrive%20-%20&#20977;&#22522;&#37329;&#25511;\&#25991;&#20214;\&#33258;&#35330;%20Office%20&#31684;&#26412;\ASTON.dot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STON">
      <a:majorFont>
        <a:latin typeface="Trebuchet MS"/>
        <a:ea typeface="微軟正黑體"/>
        <a:cs typeface=""/>
      </a:majorFont>
      <a:minorFont>
        <a:latin typeface="Trebuchet MS"/>
        <a:ea typeface="微軟正黑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bc59d3-45e3-4ebf-ab19-686277327d0a">
      <Terms xmlns="http://schemas.microsoft.com/office/infopath/2007/PartnerControls"/>
    </lcf76f155ced4ddcb4097134ff3c332f>
    <TaxCatchAll xmlns="b16bef46-1eec-4b5f-ad0d-963b9aa61a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5AF206868D8874A843B10EEED0C3539" ma:contentTypeVersion="12" ma:contentTypeDescription="建立新的文件。" ma:contentTypeScope="" ma:versionID="cfc0b589d901043e62f32cf95dc59379">
  <xsd:schema xmlns:xsd="http://www.w3.org/2001/XMLSchema" xmlns:xs="http://www.w3.org/2001/XMLSchema" xmlns:p="http://schemas.microsoft.com/office/2006/metadata/properties" xmlns:ns2="4bbc59d3-45e3-4ebf-ab19-686277327d0a" xmlns:ns3="b16bef46-1eec-4b5f-ad0d-963b9aa61a0b" targetNamespace="http://schemas.microsoft.com/office/2006/metadata/properties" ma:root="true" ma:fieldsID="118dcec0acbed9c8384b489a2d976e5c" ns2:_="" ns3:_="">
    <xsd:import namespace="4bbc59d3-45e3-4ebf-ab19-686277327d0a"/>
    <xsd:import namespace="b16bef46-1eec-4b5f-ad0d-963b9aa61a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c59d3-45e3-4ebf-ab19-686277327d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影像標籤" ma:readOnly="false" ma:fieldId="{5cf76f15-5ced-4ddc-b409-7134ff3c332f}" ma:taxonomyMulti="true" ma:sspId="d4ac73bf-4f50-40c3-83c9-ed5c9e1f35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bef46-1eec-4b5f-ad0d-963b9aa61a0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23ea26-017c-4025-845e-9bb91ee23d61}" ma:internalName="TaxCatchAll" ma:showField="CatchAllData" ma:web="b16bef46-1eec-4b5f-ad0d-963b9aa61a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FC4D5A-1B6E-4967-A1C9-486BA024C7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A5D636-659C-45D5-8C4F-6F0A3A819FE5}">
  <ds:schemaRefs>
    <ds:schemaRef ds:uri="http://schemas.microsoft.com/office/2006/metadata/properties"/>
    <ds:schemaRef ds:uri="http://schemas.microsoft.com/office/infopath/2007/PartnerControls"/>
    <ds:schemaRef ds:uri="4bbc59d3-45e3-4ebf-ab19-686277327d0a"/>
    <ds:schemaRef ds:uri="b16bef46-1eec-4b5f-ad0d-963b9aa61a0b"/>
  </ds:schemaRefs>
</ds:datastoreItem>
</file>

<file path=customXml/itemProps3.xml><?xml version="1.0" encoding="utf-8"?>
<ds:datastoreItem xmlns:ds="http://schemas.openxmlformats.org/officeDocument/2006/customXml" ds:itemID="{94DE1E25-4D4F-43AC-91DB-B712CB8757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c59d3-45e3-4ebf-ab19-686277327d0a"/>
    <ds:schemaRef ds:uri="b16bef46-1eec-4b5f-ad0d-963b9aa61a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ASTON.dotx</Template>
  <TotalTime>64</TotalTime>
  <Pages>3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呂新晨</dc:creator>
  <cp:keywords/>
  <dc:description/>
  <cp:lastModifiedBy>呂新晨AstonLu-HR-KGISEC</cp:lastModifiedBy>
  <cp:revision>66</cp:revision>
  <dcterms:created xsi:type="dcterms:W3CDTF">2026-07-20T10:34:00Z</dcterms:created>
  <dcterms:modified xsi:type="dcterms:W3CDTF">2026-07-20T11:44:00Z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0x010100B5AF206868D8874A843B10EEED0C3539</vt:lpwstr>
  </property>
  <property fmtid="{D5CDD505-2E9C-101B-9397-08002B2CF9AE}" pid="3" name="MediaServiceImageTags">
    <vt:lpwstr/>
  </property>
</Properties>
</file>