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left="0"/>
      </w:pPr>
      <w:r>
        <w:rPr>
          <w:b/>
          <w:sz w:val="26"/>
        </w:rPr>
        <w:t>Topic：債券 RWA 代幣化擬真交易規劃說明會</w:t>
      </w:r>
    </w:p>
    <w:p>
      <w:pPr>
        <w:spacing w:before="120" w:after="40"/>
        <w:ind w:left="0"/>
      </w:pPr>
      <w:r>
        <w:rPr>
          <w:b/>
          <w:sz w:val="22"/>
        </w:rPr>
        <w:t>Participant：</w:t>
      </w:r>
    </w:p>
    <w:p>
      <w:pPr>
        <w:spacing w:before="0" w:after="20"/>
        <w:ind w:left="283"/>
      </w:pPr>
      <w:r>
        <w:rPr>
          <w:b w:val="0"/>
          <w:sz w:val="21"/>
        </w:rPr>
        <w:t>• 櫃買中心：債券部（燕儀）、黃經理</w:t>
      </w:r>
    </w:p>
    <w:p>
      <w:pPr>
        <w:spacing w:before="0" w:after="20"/>
        <w:ind w:left="283"/>
      </w:pPr>
      <w:r>
        <w:rPr>
          <w:b w:val="0"/>
          <w:sz w:val="21"/>
        </w:rPr>
        <w:t>• 集保結算所：股務部、金融業務部（啟揚）、數位安全部</w:t>
      </w:r>
    </w:p>
    <w:p>
      <w:pPr>
        <w:spacing w:before="0" w:after="20"/>
        <w:ind w:left="283"/>
      </w:pPr>
      <w:r>
        <w:rPr>
          <w:b w:val="0"/>
          <w:sz w:val="21"/>
        </w:rPr>
        <w:t>• 凱基金控：策略企劃部、數位發展部</w:t>
      </w:r>
    </w:p>
    <w:p>
      <w:pPr>
        <w:spacing w:before="0" w:after="20"/>
        <w:ind w:left="283"/>
      </w:pPr>
      <w:r>
        <w:rPr>
          <w:b w:val="0"/>
          <w:sz w:val="21"/>
        </w:rPr>
        <w:t>• 凱基證券：業務單位、股務代理</w:t>
      </w:r>
    </w:p>
    <w:p>
      <w:pPr>
        <w:spacing w:before="0" w:after="20"/>
        <w:ind w:left="283"/>
      </w:pPr>
      <w:r>
        <w:rPr>
          <w:b w:val="0"/>
          <w:sz w:val="21"/>
        </w:rPr>
        <w:t>• 凱基銀行：資訊主管、虛擬資產保管相關單位</w:t>
      </w:r>
    </w:p>
    <w:p>
      <w:pPr>
        <w:spacing w:before="280" w:after="120"/>
        <w:ind w:left="0"/>
      </w:pPr>
      <w:r>
        <w:rPr>
          <w:b/>
          <w:sz w:val="24"/>
        </w:rPr>
        <w:t>Key Takeaways</w:t>
      </w:r>
    </w:p>
    <w:p>
      <w:pPr>
        <w:spacing w:before="0" w:after="80"/>
        <w:ind w:left="283"/>
      </w:pPr>
      <w:r>
        <w:rPr>
          <w:b w:val="0"/>
          <w:sz w:val="21"/>
        </w:rPr>
        <w:t>• 金管會主委已裁示於明年 3 月底前完成國內公司債及金融債的 RWA 擬真交易，並在正式平台上以擬真發行債券驗證未來實際發行與交割流程</w:t>
      </w:r>
    </w:p>
    <w:p>
      <w:pPr>
        <w:spacing w:before="0" w:after="80"/>
        <w:ind w:left="283"/>
      </w:pPr>
      <w:r>
        <w:rPr>
          <w:b w:val="0"/>
          <w:sz w:val="21"/>
        </w:rPr>
        <w:t>• 首階段採數位原生（Digital Native）及 B2B 架構，整檔債券直接於鏈上發行，僅集保參加人可持有鏈上錢包，一般投資人及四大基金等法人仍由券商鏈下記帳，KYC 完全沿用現行制度</w:t>
      </w:r>
    </w:p>
    <w:p>
      <w:pPr>
        <w:spacing w:before="0" w:after="80"/>
        <w:ind w:left="283"/>
      </w:pPr>
      <w:r>
        <w:rPr>
          <w:b w:val="0"/>
          <w:sz w:val="21"/>
        </w:rPr>
        <w:t>• RWA 代幣平台由證交所、櫃買中心、期交所、集保結算所及財金公司共組聯盟鏈並擔任驗證節點，並與財金公司款項代幣共鏈，以支援 Bond Token 與 Cash Token 的款券同步 DVP 交割</w:t>
      </w:r>
    </w:p>
    <w:p>
      <w:pPr>
        <w:spacing w:before="0" w:after="80"/>
        <w:ind w:left="283"/>
      </w:pPr>
      <w:r>
        <w:rPr>
          <w:b w:val="0"/>
          <w:sz w:val="21"/>
        </w:rPr>
        <w:t>• 證券商錢包目前規劃不可持有款項代幣，須由往來或交割銀行於其體系下開立款項代幣錢包，使銀行成為 RWA DVP 的必要角色，並可能進一步延伸至私鑰第三方託管</w:t>
      </w:r>
    </w:p>
    <w:p>
      <w:pPr>
        <w:spacing w:before="0" w:after="80"/>
        <w:ind w:left="283"/>
      </w:pPr>
      <w:r>
        <w:rPr>
          <w:b w:val="0"/>
          <w:sz w:val="21"/>
        </w:rPr>
        <w:t>• 凱基表達全力支持並希望參與發行，但以尋找合格買方及金控內部協同分工為兩項先決條件，尚待確認事項集中在買方、款項代幣私鑰保管方式、DVP 例外處理及虛實轉換法制</w:t>
      </w:r>
    </w:p>
    <w:p>
      <w:pPr>
        <w:spacing w:before="280" w:after="120"/>
        <w:ind w:left="0"/>
      </w:pPr>
      <w:r>
        <w:rPr>
          <w:b/>
          <w:sz w:val="24"/>
        </w:rPr>
        <w:t>General Notes</w:t>
      </w:r>
    </w:p>
    <w:p>
      <w:pPr>
        <w:spacing w:before="240" w:after="80"/>
        <w:ind w:left="0"/>
      </w:pPr>
      <w:r>
        <w:rPr>
          <w:b/>
          <w:sz w:val="22"/>
        </w:rPr>
        <w:t>主管機關已裁示明年 3 月底前完成國內公司債及金融債 RWA 擬真交易，並以正式平台提前驗證未來實際流程</w:t>
      </w:r>
    </w:p>
    <w:p>
      <w:pPr>
        <w:spacing w:before="0" w:after="40"/>
        <w:ind w:left="340"/>
      </w:pPr>
      <w:r>
        <w:rPr>
          <w:b w:val="0"/>
          <w:sz w:val="21"/>
        </w:rPr>
        <w:t>• 櫃買中心說明本次擬真交易的債券為擬真發行，但交易本身在正式平台上真實進行，目的是讓參與者提前熟悉未來正式推出的流程</w:t>
      </w:r>
    </w:p>
    <w:p>
      <w:pPr>
        <w:spacing w:before="0" w:after="20"/>
        <w:ind w:left="680"/>
      </w:pPr>
      <w:r>
        <w:rPr>
          <w:b w:val="0"/>
          <w:sz w:val="21"/>
        </w:rPr>
        <w:t>o 金管會主委已裁示於明年 3 月底前完成國內金融債與國內公司債的 RWA 擬真交易</w:t>
      </w:r>
    </w:p>
    <w:p>
      <w:pPr>
        <w:spacing w:before="0" w:after="20"/>
        <w:ind w:left="680"/>
      </w:pPr>
      <w:r>
        <w:rPr>
          <w:b w:val="0"/>
          <w:sz w:val="21"/>
        </w:rPr>
        <w:t>o 3 月試辦標的限於新台幣計價的國內公司債與金融債，款項代幣亦僅有新台幣</w:t>
      </w:r>
    </w:p>
    <w:p>
      <w:pPr>
        <w:spacing w:before="0" w:after="40"/>
        <w:ind w:left="340"/>
      </w:pPr>
      <w:r>
        <w:rPr>
          <w:b w:val="0"/>
          <w:sz w:val="21"/>
        </w:rPr>
        <w:t>• 專案時程已明確分階段推進</w:t>
      </w:r>
    </w:p>
    <w:p>
      <w:pPr>
        <w:spacing w:before="0" w:after="20"/>
        <w:ind w:left="680"/>
      </w:pPr>
      <w:r>
        <w:rPr>
          <w:b w:val="0"/>
          <w:sz w:val="21"/>
        </w:rPr>
        <w:t>o 今年 9 月公告 API 規格供參加人或第三方保管機構開發，並同步舉辦說明會</w:t>
      </w:r>
    </w:p>
    <w:p>
      <w:pPr>
        <w:spacing w:before="0" w:after="20"/>
        <w:ind w:left="680"/>
      </w:pPr>
      <w:r>
        <w:rPr>
          <w:b w:val="0"/>
          <w:sz w:val="21"/>
        </w:rPr>
        <w:t>o 10 月開始受理聯通測試及後續擬真測試申請</w:t>
      </w:r>
    </w:p>
    <w:p>
      <w:pPr>
        <w:spacing w:before="0" w:after="20"/>
        <w:ind w:left="680"/>
      </w:pPr>
      <w:r>
        <w:rPr>
          <w:b w:val="0"/>
          <w:sz w:val="21"/>
        </w:rPr>
        <w:t>o 明年 3 月中下旬開放外部單位進行擬真測試與相關功能測試</w:t>
      </w:r>
    </w:p>
    <w:p>
      <w:pPr>
        <w:spacing w:before="0" w:after="20"/>
        <w:ind w:left="680"/>
      </w:pPr>
      <w:r>
        <w:rPr>
          <w:b w:val="0"/>
          <w:sz w:val="21"/>
        </w:rPr>
        <w:t>o 擬真測試結束、法規制度完備後，報請主管機關公告上線</w:t>
      </w:r>
    </w:p>
    <w:p>
      <w:pPr>
        <w:spacing w:before="0" w:after="40"/>
        <w:ind w:left="340"/>
      </w:pPr>
      <w:r>
        <w:rPr>
          <w:b w:val="0"/>
          <w:sz w:val="21"/>
        </w:rPr>
        <w:t>• 櫃買中心目前正在廣邀參與機構，優先拜訪金控體系完整者，其次為證券商</w:t>
      </w:r>
    </w:p>
    <w:p>
      <w:pPr>
        <w:spacing w:before="0" w:after="20"/>
        <w:ind w:left="680"/>
      </w:pPr>
      <w:r>
        <w:rPr>
          <w:b w:val="0"/>
          <w:sz w:val="21"/>
        </w:rPr>
        <w:t>o 券商最大門檻在私鑰保管，若已因黃金現貨 RWA 解決私鑰保管，再擔任債券投資人或承銷商的投入成本相對不高</w:t>
      </w:r>
    </w:p>
    <w:p>
      <w:pPr>
        <w:spacing w:before="0" w:after="40"/>
        <w:ind w:left="340"/>
      </w:pPr>
      <w:r>
        <w:rPr>
          <w:b w:val="0"/>
          <w:sz w:val="21"/>
        </w:rPr>
        <w:t>• 涉及單位包含櫃買中心債券部（發行審查）、集保股務部（發行登錄交付）、集保金融業務部（次級市場議價交割）及集保數安部（私鑰保管協助）</w:t>
      </w:r>
    </w:p>
    <w:p>
      <w:pPr>
        <w:spacing w:before="240" w:after="80"/>
        <w:ind w:left="0"/>
      </w:pPr>
      <w:r>
        <w:rPr>
          <w:b/>
          <w:sz w:val="22"/>
        </w:rPr>
        <w:t>首階段採數位原生債券及 B2B 架構，一般投資人與法人機構仍維持鏈下持有模式</w:t>
      </w:r>
    </w:p>
    <w:p>
      <w:pPr>
        <w:spacing w:before="0" w:after="40"/>
        <w:ind w:left="340"/>
      </w:pPr>
      <w:r>
        <w:rPr>
          <w:b w:val="0"/>
          <w:sz w:val="21"/>
        </w:rPr>
        <w:t>• 初期規劃為整檔單期債券皆為數位原生代幣，未來才研議數位孿生或虛實互轉</w:t>
      </w:r>
    </w:p>
    <w:p>
      <w:pPr>
        <w:spacing w:before="0" w:after="20"/>
        <w:ind w:left="680"/>
      </w:pPr>
      <w:r>
        <w:rPr>
          <w:b w:val="0"/>
          <w:sz w:val="21"/>
        </w:rPr>
        <w:t>o 部分傳統交割、部分數位交割的模式不在明年 3 月初步上線範圍內</w:t>
      </w:r>
    </w:p>
    <w:p>
      <w:pPr>
        <w:spacing w:before="0" w:after="40"/>
        <w:ind w:left="340"/>
      </w:pPr>
      <w:r>
        <w:rPr>
          <w:b w:val="0"/>
          <w:sz w:val="21"/>
        </w:rPr>
        <w:t>• 鏈上錢包目前規劃僅集保參加人可擁有，一般投資人沒有鏈上錢包</w:t>
      </w:r>
    </w:p>
    <w:p>
      <w:pPr>
        <w:spacing w:before="0" w:after="20"/>
        <w:ind w:left="680"/>
      </w:pPr>
      <w:r>
        <w:rPr>
          <w:b w:val="0"/>
          <w:sz w:val="21"/>
        </w:rPr>
        <w:t>o 經紀商底下的四大基金或法人機構不需個別開錢包，由經紀商持錢包並在帳上記錄持有者</w:t>
      </w:r>
    </w:p>
    <w:p>
      <w:pPr>
        <w:spacing w:before="0" w:after="20"/>
        <w:ind w:left="680"/>
      </w:pPr>
      <w:r>
        <w:rPr>
          <w:b w:val="0"/>
          <w:sz w:val="21"/>
        </w:rPr>
        <w:t>o 投資人餘額記載於券商鏈下資料庫，並以傳統集保帳號作為連結 ID</w:t>
      </w:r>
    </w:p>
    <w:p>
      <w:pPr>
        <w:spacing w:before="0" w:after="20"/>
        <w:ind w:left="680"/>
      </w:pPr>
      <w:r>
        <w:rPr>
          <w:b w:val="0"/>
          <w:sz w:val="21"/>
        </w:rPr>
        <w:t>o 亦可透過虛實轉換將鏈上代幣轉為鏈下無實體部位，對法人機構作業影響極小</w:t>
      </w:r>
    </w:p>
    <w:p>
      <w:pPr>
        <w:spacing w:before="0" w:after="40"/>
        <w:ind w:left="340"/>
      </w:pPr>
      <w:r>
        <w:rPr>
          <w:b w:val="0"/>
          <w:sz w:val="21"/>
        </w:rPr>
        <w:t>• 壽險公司、票券公司及四大基金目前規劃均可開立錢包參與，擬真階段由金融機構直接參與即可完成測試，投資人端推廣留待正式上線</w:t>
      </w:r>
    </w:p>
    <w:p>
      <w:pPr>
        <w:spacing w:before="0" w:after="40"/>
        <w:ind w:left="340"/>
      </w:pPr>
      <w:r>
        <w:rPr>
          <w:b w:val="0"/>
          <w:sz w:val="21"/>
        </w:rPr>
        <w:t>• 投資人 KYC 完全依照現行制度辦理，參加人於平台綁定錢包進入白名單，經紀商上傳投資人集保帳號白名單</w:t>
      </w:r>
    </w:p>
    <w:p>
      <w:pPr>
        <w:spacing w:before="240" w:after="80"/>
        <w:ind w:left="0"/>
      </w:pPr>
      <w:r>
        <w:rPr>
          <w:b/>
          <w:sz w:val="22"/>
        </w:rPr>
        <w:t>RWA 代幣平台為金融周邊單位共建的聯盟鏈，並與財金公司款項代幣共鏈以支援 DVP</w:t>
      </w:r>
    </w:p>
    <w:p>
      <w:pPr>
        <w:spacing w:before="0" w:after="40"/>
        <w:ind w:left="340"/>
      </w:pPr>
      <w:r>
        <w:rPr>
          <w:b w:val="0"/>
          <w:sz w:val="21"/>
        </w:rPr>
        <w:t>• 平台底層採聯盟鏈形式，由證交所、櫃買中心、期交所、集保結算所及財金公司五家共組並擔任驗證節點</w:t>
      </w:r>
    </w:p>
    <w:p>
      <w:pPr>
        <w:spacing w:before="0" w:after="20"/>
        <w:ind w:left="680"/>
      </w:pPr>
      <w:r>
        <w:rPr>
          <w:b w:val="0"/>
          <w:sz w:val="21"/>
        </w:rPr>
        <w:t>o 技術底層採用 Hyperledger Besu，與先前金管會實驗案相同</w:t>
      </w:r>
    </w:p>
    <w:p>
      <w:pPr>
        <w:spacing w:before="0" w:after="20"/>
        <w:ind w:left="680"/>
      </w:pPr>
      <w:r>
        <w:rPr>
          <w:b w:val="0"/>
          <w:sz w:val="21"/>
        </w:rPr>
        <w:t>o 專案小組為決策核心，集保擔任平台系統管理者，負責日常營運與應用層維護</w:t>
      </w:r>
    </w:p>
    <w:p>
      <w:pPr>
        <w:spacing w:before="0" w:after="40"/>
        <w:ind w:left="340"/>
      </w:pPr>
      <w:r>
        <w:rPr>
          <w:b w:val="0"/>
          <w:sz w:val="21"/>
        </w:rPr>
        <w:t>• 有價證券 RWA 與銀行款項代幣位於同一條鏈，使款券可於鏈上同步交割</w:t>
      </w:r>
    </w:p>
    <w:p>
      <w:pPr>
        <w:spacing w:before="0" w:after="20"/>
        <w:ind w:left="680"/>
      </w:pPr>
      <w:r>
        <w:rPr>
          <w:b w:val="0"/>
          <w:sz w:val="21"/>
        </w:rPr>
        <w:t>o 款項代幣依財金公司規劃採銀行「存款代幣」與「跨行結算代幣」處理</w:t>
      </w:r>
    </w:p>
    <w:p>
      <w:pPr>
        <w:spacing w:before="0" w:after="20"/>
        <w:ind w:left="680"/>
      </w:pPr>
      <w:r>
        <w:rPr>
          <w:b w:val="0"/>
          <w:sz w:val="21"/>
        </w:rPr>
        <w:t>o 同行交易使用該銀行存款代幣，跨行則透過跨行結算代幣交割</w:t>
      </w:r>
    </w:p>
    <w:p>
      <w:pPr>
        <w:spacing w:before="0" w:after="20"/>
        <w:ind w:left="680"/>
      </w:pPr>
      <w:r>
        <w:rPr>
          <w:b w:val="0"/>
          <w:sz w:val="21"/>
        </w:rPr>
        <w:t>o 櫃買中心表示存款代幣與跨行結算代幣都會在明年 3 月 ready 供試做，未來亦將與央行進行相關實驗</w:t>
      </w:r>
    </w:p>
    <w:p>
      <w:pPr>
        <w:spacing w:before="0" w:after="40"/>
        <w:ind w:left="340"/>
      </w:pPr>
      <w:r>
        <w:rPr>
          <w:b w:val="0"/>
          <w:sz w:val="21"/>
        </w:rPr>
        <w:t>• 平台以驗證 DVP 交割可行性為主，並保留 FOP 彈性</w:t>
      </w:r>
    </w:p>
    <w:p>
      <w:pPr>
        <w:spacing w:before="0" w:after="40"/>
        <w:ind w:left="340"/>
      </w:pPr>
      <w:r>
        <w:rPr>
          <w:b w:val="0"/>
          <w:sz w:val="21"/>
        </w:rPr>
        <w:t>• 權限申請方面，發行人（或其股代）與參加人須填寫平台使用申請書及專線網路作業申請書，採專線鎖 IP，支援 Web 瀏覽器與 API 連線</w:t>
      </w:r>
    </w:p>
    <w:p>
      <w:pPr>
        <w:spacing w:before="240" w:after="80"/>
        <w:ind w:left="0"/>
      </w:pPr>
      <w:r>
        <w:rPr>
          <w:b/>
          <w:sz w:val="22"/>
        </w:rPr>
        <w:t>債券發行程序大致沿用現行制度，主要新增鑄幣、錢包綁定與私鑰簽章等鏈上作業</w:t>
      </w:r>
    </w:p>
    <w:p>
      <w:pPr>
        <w:spacing w:before="0" w:after="40"/>
        <w:ind w:left="340"/>
      </w:pPr>
      <w:r>
        <w:rPr>
          <w:b w:val="0"/>
          <w:sz w:val="21"/>
        </w:rPr>
        <w:t>• 發行日前作業與現行一致，發行人向櫃買中心送件申請發行並向集保申請債券登錄</w:t>
      </w:r>
    </w:p>
    <w:p>
      <w:pPr>
        <w:spacing w:before="0" w:after="20"/>
        <w:ind w:left="680"/>
      </w:pPr>
      <w:r>
        <w:rPr>
          <w:b w:val="0"/>
          <w:sz w:val="21"/>
        </w:rPr>
        <w:t>o 公開說明書及發行辦法需註明以分散式帳簿劃撥方式交付，並揭露 DLT 平台資訊、權利事項及特殊風險事項</w:t>
      </w:r>
    </w:p>
    <w:p>
      <w:pPr>
        <w:spacing w:before="0" w:after="20"/>
        <w:ind w:left="680"/>
      </w:pPr>
      <w:r>
        <w:rPr>
          <w:b w:val="0"/>
          <w:sz w:val="21"/>
        </w:rPr>
        <w:t>o 櫃買中心已建議主管機關發布函令，明定數位發行的公司債或金融債法律地位與現行無實體發行完全相同，並表示在會計與稅負上均無差異</w:t>
      </w:r>
    </w:p>
    <w:p>
      <w:pPr>
        <w:spacing w:before="0" w:after="40"/>
        <w:ind w:left="340"/>
      </w:pPr>
      <w:r>
        <w:rPr>
          <w:b w:val="0"/>
          <w:sz w:val="21"/>
        </w:rPr>
        <w:t>• 發行日當天由集保於代幣平台鑄幣至發行人錢包，發行人發送交付指示並完成私鑰簽章後撥轉至參加人錢包</w:t>
      </w:r>
    </w:p>
    <w:p>
      <w:pPr>
        <w:spacing w:before="0" w:after="20"/>
        <w:ind w:left="680"/>
      </w:pPr>
      <w:r>
        <w:rPr>
          <w:b w:val="0"/>
          <w:sz w:val="21"/>
        </w:rPr>
        <w:t>o FOP 模式下發行人需自行確認法幣款項收足後再發布指示</w:t>
      </w:r>
    </w:p>
    <w:p>
      <w:pPr>
        <w:spacing w:before="0" w:after="20"/>
        <w:ind w:left="680"/>
      </w:pPr>
      <w:r>
        <w:rPr>
          <w:b w:val="0"/>
          <w:sz w:val="21"/>
        </w:rPr>
        <w:t>o DVP 模式下發行人發送指示後不立即撥轉，待參加人確認、平台比對款券代幣充足後由智能合約執行款券同步交割</w:t>
      </w:r>
    </w:p>
    <w:p>
      <w:pPr>
        <w:spacing w:before="0" w:after="40"/>
        <w:ind w:left="340"/>
      </w:pPr>
      <w:r>
        <w:rPr>
          <w:b w:val="0"/>
          <w:sz w:val="21"/>
        </w:rPr>
        <w:t>• 發行人不一定需持有錢包私鑰，可全數委託股務代理機構辦理</w:t>
      </w:r>
    </w:p>
    <w:p>
      <w:pPr>
        <w:spacing w:before="0" w:after="20"/>
        <w:ind w:left="680"/>
      </w:pPr>
      <w:r>
        <w:rPr>
          <w:b w:val="0"/>
          <w:sz w:val="21"/>
        </w:rPr>
        <w:t>o 發行人待辦六項事項為申請平台權限與帳號、綁定錢包資訊、確認債券基本資料、輸入交付資訊、發起交付指示、執行私鑰簽章與上傳</w:t>
      </w:r>
    </w:p>
    <w:p>
      <w:pPr>
        <w:spacing w:before="0" w:after="20"/>
        <w:ind w:left="680"/>
      </w:pPr>
      <w:r>
        <w:rPr>
          <w:b w:val="0"/>
          <w:sz w:val="21"/>
        </w:rPr>
        <w:t>o 股代若受託代理多家發行公司，需取得授權契約並為每家發行人開立獨立錢包與私鑰</w:t>
      </w:r>
    </w:p>
    <w:p>
      <w:pPr>
        <w:spacing w:before="0" w:after="20"/>
        <w:ind w:left="680"/>
      </w:pPr>
      <w:r>
        <w:rPr>
          <w:b w:val="0"/>
          <w:sz w:val="21"/>
        </w:rPr>
        <w:t>o 簽章可採 API 串接，集保數安部亦研議提供 Web 介面方案</w:t>
      </w:r>
    </w:p>
    <w:p>
      <w:pPr>
        <w:spacing w:before="0" w:after="40"/>
        <w:ind w:left="340"/>
      </w:pPr>
      <w:r>
        <w:rPr>
          <w:b w:val="0"/>
          <w:sz w:val="21"/>
        </w:rPr>
        <w:t>• 還本付息與到期註銷維持現行作業，集保產製名冊派送本息兌領機構並以法幣撥付，債券到期自動註銷</w:t>
      </w:r>
    </w:p>
    <w:p>
      <w:pPr>
        <w:spacing w:before="0" w:after="20"/>
        <w:ind w:left="680"/>
      </w:pPr>
      <w:r>
        <w:rPr>
          <w:b w:val="0"/>
          <w:sz w:val="21"/>
        </w:rPr>
        <w:t>o 名冊可將底層投資人資訊完整輸出，編製方式與現行一致，能看到最終投資人</w:t>
      </w:r>
    </w:p>
    <w:p>
      <w:pPr>
        <w:spacing w:before="240" w:after="80"/>
        <w:ind w:left="0"/>
      </w:pPr>
      <w:r>
        <w:rPr>
          <w:b/>
          <w:sz w:val="22"/>
        </w:rPr>
        <w:t>次級市場初期仍以現行營業處所議價為主，改變集中於交易完成後的鏈上交割</w:t>
      </w:r>
    </w:p>
    <w:p>
      <w:pPr>
        <w:spacing w:before="0" w:after="40"/>
        <w:ind w:left="340"/>
      </w:pPr>
      <w:r>
        <w:rPr>
          <w:b w:val="0"/>
          <w:sz w:val="21"/>
        </w:rPr>
        <w:t>• 明年 3 月階段僅提供買賣斷交易，RP 及款項差額交割暫不納入，交易所撮合亦尚未上線</w:t>
      </w:r>
    </w:p>
    <w:p>
      <w:pPr>
        <w:spacing w:before="0" w:after="20"/>
        <w:ind w:left="680"/>
      </w:pPr>
      <w:r>
        <w:rPr>
          <w:b w:val="0"/>
          <w:sz w:val="21"/>
        </w:rPr>
        <w:t>o 交易當日於營業處所議價買賣斷，依現行規定於 T+2 日內完成交割</w:t>
      </w:r>
    </w:p>
    <w:p>
      <w:pPr>
        <w:spacing w:before="0" w:after="40"/>
        <w:ind w:left="340"/>
      </w:pPr>
      <w:r>
        <w:rPr>
          <w:b w:val="0"/>
          <w:sz w:val="21"/>
        </w:rPr>
        <w:t>• 交割模式區分 FOP 與 DVP，並依交易對象區分 B2B 與 B2C</w:t>
      </w:r>
    </w:p>
    <w:p>
      <w:pPr>
        <w:spacing w:before="0" w:after="20"/>
        <w:ind w:left="680"/>
      </w:pPr>
      <w:r>
        <w:rPr>
          <w:b w:val="0"/>
          <w:sz w:val="21"/>
        </w:rPr>
        <w:t>o FOP 為私鑰簽章後直接移轉部位</w:t>
      </w:r>
    </w:p>
    <w:p>
      <w:pPr>
        <w:spacing w:before="0" w:after="20"/>
        <w:ind w:left="680"/>
      </w:pPr>
      <w:r>
        <w:rPr>
          <w:b w:val="0"/>
          <w:sz w:val="21"/>
        </w:rPr>
        <w:t>o DVP（B2B）由雙方自營商分別輸入指令，平台比對指令並檢核券項足額後啟動智能合約款券同步交割，不足額則退回指令</w:t>
      </w:r>
    </w:p>
    <w:p>
      <w:pPr>
        <w:spacing w:before="0" w:after="20"/>
        <w:ind w:left="680"/>
      </w:pPr>
      <w:r>
        <w:rPr>
          <w:b w:val="0"/>
          <w:sz w:val="21"/>
        </w:rPr>
        <w:t>o DVP（B2C）由自營商輸入指令，經紀商確保收足投資人款項後代為點選確認，完成鏈上款券交割</w:t>
      </w:r>
    </w:p>
    <w:p>
      <w:pPr>
        <w:spacing w:before="0" w:after="20"/>
        <w:ind w:left="680"/>
      </w:pPr>
      <w:r>
        <w:rPr>
          <w:b w:val="0"/>
          <w:sz w:val="21"/>
        </w:rPr>
        <w:t>o 投資人賣出後，由經紀商將收取的存款代幣轉換為法幣匯入投資人指定帳戶</w:t>
      </w:r>
    </w:p>
    <w:p>
      <w:pPr>
        <w:spacing w:before="0" w:after="40"/>
        <w:ind w:left="340"/>
      </w:pPr>
      <w:r>
        <w:rPr>
          <w:b w:val="0"/>
          <w:sz w:val="21"/>
        </w:rPr>
        <w:t>• 虛實轉換參考國外流動性機制，於平台開設專戶控管代幣部位並通知傳統帳簿系統撥轉相對應部位，支援雙向轉換</w:t>
      </w:r>
    </w:p>
    <w:p>
      <w:pPr>
        <w:spacing w:before="0" w:after="40"/>
        <w:ind w:left="340"/>
      </w:pPr>
      <w:r>
        <w:rPr>
          <w:b w:val="0"/>
          <w:sz w:val="21"/>
        </w:rPr>
        <w:t>• 平台規劃每日款券異動明細表及存量庫存餘額表供查核對帳，異常處理機制由專案小組持續研議</w:t>
      </w:r>
    </w:p>
    <w:p>
      <w:pPr>
        <w:spacing w:before="240" w:after="80"/>
        <w:ind w:left="0"/>
      </w:pPr>
      <w:r>
        <w:rPr>
          <w:b/>
          <w:sz w:val="22"/>
        </w:rPr>
        <w:t>證券商無法自行持有款項代幣，使交割銀行成為必要角色，並可能延伸至私鑰託管</w:t>
      </w:r>
    </w:p>
    <w:p>
      <w:pPr>
        <w:spacing w:before="0" w:after="40"/>
        <w:ind w:left="340"/>
      </w:pPr>
      <w:r>
        <w:rPr>
          <w:b w:val="0"/>
          <w:sz w:val="21"/>
        </w:rPr>
        <w:t>• 款項錢包與債券錢包為兩個獨立錢包，銀行與非銀行角色不同</w:t>
      </w:r>
    </w:p>
    <w:p>
      <w:pPr>
        <w:spacing w:before="0" w:after="20"/>
        <w:ind w:left="680"/>
      </w:pPr>
      <w:r>
        <w:rPr>
          <w:b w:val="0"/>
          <w:sz w:val="21"/>
        </w:rPr>
        <w:t>o 銀行可自行開立存放債券代幣與款項代幣的錢包</w:t>
      </w:r>
    </w:p>
    <w:p>
      <w:pPr>
        <w:spacing w:before="0" w:after="20"/>
        <w:ind w:left="680"/>
      </w:pPr>
      <w:r>
        <w:rPr>
          <w:b w:val="0"/>
          <w:sz w:val="21"/>
        </w:rPr>
        <w:t>o 非銀行（如證券商）除債券代幣錢包外，款項代幣需洽往來或交割銀行於銀行體系下開立</w:t>
      </w:r>
    </w:p>
    <w:p>
      <w:pPr>
        <w:spacing w:before="0" w:after="20"/>
        <w:ind w:left="680"/>
      </w:pPr>
      <w:r>
        <w:rPr>
          <w:b w:val="0"/>
          <w:sz w:val="21"/>
        </w:rPr>
        <w:t>o 證券商發送指令時，由銀行協助回覆指令以利款項代幣移轉</w:t>
      </w:r>
    </w:p>
    <w:p>
      <w:pPr>
        <w:spacing w:before="0" w:after="40"/>
        <w:ind w:left="340"/>
      </w:pPr>
      <w:r>
        <w:rPr>
          <w:b w:val="0"/>
          <w:sz w:val="21"/>
        </w:rPr>
        <w:t>• 擬真交易六大主要角色為發行人、股務代理機構、承銷商、初級市場投資人、自營商及交割銀行，一個單位可同時擔任多種角色</w:t>
      </w:r>
    </w:p>
    <w:p>
      <w:pPr>
        <w:spacing w:before="0" w:after="20"/>
        <w:ind w:left="680"/>
      </w:pPr>
      <w:r>
        <w:rPr>
          <w:b w:val="0"/>
          <w:sz w:val="21"/>
        </w:rPr>
        <w:t>o 公司債走承銷制，承銷商為必要角色；若承銷商自行取得債券則角色同初級市場投資人，需具備款券錢包私鑰</w:t>
      </w:r>
    </w:p>
    <w:p>
      <w:pPr>
        <w:spacing w:before="0" w:after="20"/>
        <w:ind w:left="680"/>
      </w:pPr>
      <w:r>
        <w:rPr>
          <w:b w:val="0"/>
          <w:sz w:val="21"/>
        </w:rPr>
        <w:t>o 初級市場投資人與自營商均需具備款券錢包私鑰</w:t>
      </w:r>
    </w:p>
    <w:p>
      <w:pPr>
        <w:spacing w:before="0" w:after="40"/>
        <w:ind w:left="340"/>
      </w:pPr>
      <w:r>
        <w:rPr>
          <w:b w:val="0"/>
          <w:sz w:val="21"/>
        </w:rPr>
        <w:t>• 財金公司仍在研議款項架構的兩個版本</w:t>
      </w:r>
    </w:p>
    <w:p>
      <w:pPr>
        <w:spacing w:before="0" w:after="20"/>
        <w:ind w:left="680"/>
      </w:pPr>
      <w:r>
        <w:rPr>
          <w:b w:val="0"/>
          <w:sz w:val="21"/>
        </w:rPr>
        <w:t>o 版本 A 為自營商／經紀商自行保管款項代幣私鑰，平台比對足額後通知財金轉往來交割銀行風控檢核，再由智能合約扣轉買方存款代幣至賣方錢包</w:t>
      </w:r>
    </w:p>
    <w:p>
      <w:pPr>
        <w:spacing w:before="0" w:after="20"/>
        <w:ind w:left="680"/>
      </w:pPr>
      <w:r>
        <w:rPr>
          <w:b w:val="0"/>
          <w:sz w:val="21"/>
        </w:rPr>
        <w:t>o 版本 B 為由交割銀行統一保管款項私鑰並代為執行簽章</w:t>
      </w:r>
    </w:p>
    <w:p>
      <w:pPr>
        <w:spacing w:before="0" w:after="40"/>
        <w:ind w:left="340"/>
      </w:pPr>
      <w:r>
        <w:rPr>
          <w:b w:val="0"/>
          <w:sz w:val="21"/>
        </w:rPr>
        <w:t>• 銀行端虛擬資產保管的實質內容為保管私鑰，代幣均存放於區塊鏈上的錢包，銀行不涉入實質代幣持有</w:t>
      </w:r>
    </w:p>
    <w:p>
      <w:pPr>
        <w:spacing w:before="240" w:after="80"/>
        <w:ind w:left="0"/>
      </w:pPr>
      <w:r>
        <w:rPr>
          <w:b/>
          <w:sz w:val="22"/>
        </w:rPr>
        <w:t>私鑰保管有自管與第三方託管兩種方案，集團內可考量由凱基銀行統一承接託管</w:t>
      </w:r>
    </w:p>
    <w:p>
      <w:pPr>
        <w:spacing w:before="0" w:after="40"/>
        <w:ind w:left="340"/>
      </w:pPr>
      <w:r>
        <w:rPr>
          <w:b w:val="0"/>
          <w:sz w:val="21"/>
        </w:rPr>
        <w:t>• 參加人自行保管需配合開發私鑰、公鑰及地址產製、位址傳輸至 RWA 平台、部位移轉及交割指示、區塊鏈私鑰簽章機制與相關 API</w:t>
      </w:r>
    </w:p>
    <w:p>
      <w:pPr>
        <w:spacing w:before="0" w:after="40"/>
        <w:ind w:left="340"/>
      </w:pPr>
      <w:r>
        <w:rPr>
          <w:b w:val="0"/>
          <w:sz w:val="21"/>
        </w:rPr>
        <w:t>• 委託合資格第三方機構保管者，由第三方提供私鑰、公鑰、地址服務及部位移動指示之私鑰簽章服務</w:t>
      </w:r>
    </w:p>
    <w:p>
      <w:pPr>
        <w:spacing w:before="0" w:after="40"/>
        <w:ind w:left="340"/>
      </w:pPr>
      <w:r>
        <w:rPr>
          <w:b w:val="0"/>
          <w:sz w:val="21"/>
        </w:rPr>
        <w:t>• 集保提出集團可考量由自營與股代各自建置私鑰簽章技術，亦可統一委託具 Web3 託管技術的凱基銀行進行第三方託管，此為建議方案而非既定安排</w:t>
      </w:r>
    </w:p>
    <w:p>
      <w:pPr>
        <w:spacing w:before="0" w:after="40"/>
        <w:ind w:left="340"/>
      </w:pPr>
      <w:r>
        <w:rPr>
          <w:b w:val="0"/>
          <w:sz w:val="21"/>
        </w:rPr>
        <w:t>• 集保指出凱基先前已做過 wrapper 試辦，在技術上具備一定基礎</w:t>
      </w:r>
    </w:p>
    <w:p>
      <w:pPr>
        <w:spacing w:before="240" w:after="80"/>
        <w:ind w:left="0"/>
      </w:pPr>
      <w:r>
        <w:rPr>
          <w:b/>
          <w:sz w:val="22"/>
        </w:rPr>
        <w:t>凱基表態全力支持並希望參與發行，但以買方到位及金控內部協同為兩項先決條件</w:t>
      </w:r>
    </w:p>
    <w:p>
      <w:pPr>
        <w:spacing w:before="0" w:after="40"/>
        <w:ind w:left="340"/>
      </w:pPr>
      <w:r>
        <w:rPr>
          <w:b w:val="0"/>
          <w:sz w:val="21"/>
        </w:rPr>
        <w:t>• 業務單位表示一向全力支持新政策與新商品，希望參與發行並學習新業務，惟需先解決兩項前提</w:t>
      </w:r>
    </w:p>
    <w:p>
      <w:pPr>
        <w:spacing w:before="0" w:after="20"/>
        <w:ind w:left="680"/>
      </w:pPr>
      <w:r>
        <w:rPr>
          <w:b w:val="0"/>
          <w:sz w:val="21"/>
        </w:rPr>
        <w:t>o 第一為買方，需尋找願意搭配且符合資格的少數特定投資人，並提及若第三方投資機構在凱基證券開戶、交割戶設於凱基銀行，即可在體系內完成</w:t>
      </w:r>
    </w:p>
    <w:p>
      <w:pPr>
        <w:spacing w:before="0" w:after="20"/>
        <w:ind w:left="680"/>
      </w:pPr>
      <w:r>
        <w:rPr>
          <w:b w:val="0"/>
          <w:sz w:val="21"/>
        </w:rPr>
        <w:t>o 第二為金控內部搭配，策略企劃部與數位發展部將於會後討論協同分工</w:t>
      </w:r>
    </w:p>
    <w:p>
      <w:pPr>
        <w:spacing w:before="0" w:after="40"/>
        <w:ind w:left="340"/>
      </w:pPr>
      <w:r>
        <w:rPr>
          <w:b w:val="0"/>
          <w:sz w:val="21"/>
        </w:rPr>
        <w:t>• 凱基評估自身條件相對完整，具備銀行與虛擬資產保管能力，惟同業間仍需互相搭配才能完成案件，政府基金中後台配合速度可能較慢</w:t>
      </w:r>
    </w:p>
    <w:p>
      <w:pPr>
        <w:spacing w:before="0" w:after="40"/>
        <w:ind w:left="340"/>
      </w:pPr>
      <w:r>
        <w:rPr>
          <w:b w:val="0"/>
          <w:sz w:val="21"/>
        </w:rPr>
        <w:t>• 凱基證券說明香港去年已有相關制度，凱基香港預計今年 8 月底、9 月與外部合作發行第一檔將台灣企業帶到海外發行的 RWA，藉海外平台累積建置經驗</w:t>
      </w:r>
    </w:p>
    <w:p>
      <w:pPr>
        <w:spacing w:before="0" w:after="40"/>
        <w:ind w:left="340"/>
      </w:pPr>
      <w:r>
        <w:rPr>
          <w:b w:val="0"/>
          <w:sz w:val="21"/>
        </w:rPr>
        <w:t>• 凱基金控數位發展部說明去年已參與 RWA POC 專案（包含基金與外幣債券），並將於 9 月說明會深入討論虛擬資產保管、私鑰保管機制及存款代幣等技術細節</w:t>
      </w:r>
    </w:p>
    <w:p>
      <w:pPr>
        <w:spacing w:before="240" w:after="80"/>
        <w:ind w:left="0"/>
      </w:pPr>
      <w:r>
        <w:rPr>
          <w:b/>
          <w:sz w:val="22"/>
        </w:rPr>
        <w:t>尚待確認議題集中在買方到位、DVP 例外處理、款項備足查核及虛實轉換法制</w:t>
      </w:r>
    </w:p>
    <w:p>
      <w:pPr>
        <w:spacing w:before="0" w:after="40"/>
        <w:ind w:left="340"/>
      </w:pPr>
      <w:r>
        <w:rPr>
          <w:b w:val="0"/>
          <w:sz w:val="21"/>
        </w:rPr>
        <w:t>• DVP 發行交割下發行人如何確認各承銷對象款項代幣已備足，仍待流程優化</w:t>
      </w:r>
    </w:p>
    <w:p>
      <w:pPr>
        <w:spacing w:before="0" w:after="20"/>
        <w:ind w:left="680"/>
      </w:pPr>
      <w:r>
        <w:rPr>
          <w:b w:val="0"/>
          <w:sz w:val="21"/>
        </w:rPr>
        <w:t>o 集保說明 DVP 專案參與機構多為金控自營商，會事先開立錢包並備足款項代幣，發行前彼此先行聯繫確認</w:t>
      </w:r>
    </w:p>
    <w:p>
      <w:pPr>
        <w:spacing w:before="0" w:after="20"/>
        <w:ind w:left="680"/>
      </w:pPr>
      <w:r>
        <w:rPr>
          <w:b w:val="0"/>
          <w:sz w:val="21"/>
        </w:rPr>
        <w:t>o 發行人無法直接查看他人錢包餘額，系統於雙方指令齊備後自動檢核款券充足性，不足則不交割</w:t>
      </w:r>
    </w:p>
    <w:p>
      <w:pPr>
        <w:spacing w:before="0" w:after="20"/>
        <w:ind w:left="680"/>
      </w:pPr>
      <w:r>
        <w:rPr>
          <w:b w:val="0"/>
          <w:sz w:val="21"/>
        </w:rPr>
        <w:t>o 中途部分款項未備足的處理方式與線上查詢機制，集保表示後續流程優化可再行研議</w:t>
      </w:r>
    </w:p>
    <w:p>
      <w:pPr>
        <w:spacing w:before="0" w:after="40"/>
        <w:ind w:left="340"/>
      </w:pPr>
      <w:r>
        <w:rPr>
          <w:b w:val="0"/>
          <w:sz w:val="21"/>
        </w:rPr>
        <w:t>• 虛實轉換在系統上具備彈性，但法制面（如原生發行轉換為實體時的發行人認可機制）尚在研議明確規範</w:t>
      </w:r>
    </w:p>
    <w:p>
      <w:pPr>
        <w:spacing w:before="0" w:after="40"/>
        <w:ind w:left="340"/>
      </w:pPr>
      <w:r>
        <w:rPr>
          <w:b w:val="0"/>
          <w:sz w:val="21"/>
        </w:rPr>
        <w:t>• 發行人現行均已簽署發行合約，後續是否增補條款由法遵研議中</w:t>
      </w:r>
    </w:p>
    <w:p>
      <w:pPr>
        <w:spacing w:before="0" w:after="40"/>
        <w:ind w:left="340"/>
      </w:pPr>
      <w:r>
        <w:rPr>
          <w:b w:val="0"/>
          <w:sz w:val="21"/>
        </w:rPr>
        <w:t>• 款項代幣私鑰保管採自管或銀行託管的版本選擇，仍由財金公司研議中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