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2026/08/19 AM</w:t>
      </w:r>
      <w:r>
        <w:br/>
      </w:r>
      <w:r>
        <w:t xml:space="preserve">Participants: </w:t>
      </w:r>
      <w:r>
        <w:rPr>
          <w:rFonts w:hint="eastAsia"/>
        </w:rPr>
        <w:t xml:space="preserve">櫃買中心、集保結算所、凱基金控、凱基證券、凱基銀行相關主管及同仁</w:t>
      </w:r>
    </w:p>
    <w:bookmarkStart w:id="9" w:name="i.-key-takeaways"/>
    <w:p>
      <w:pPr>
        <w:pStyle w:val="Heading1"/>
      </w:pPr>
      <w:r>
        <w:t xml:space="preserve">I. Key Takeaways</w:t>
      </w:r>
    </w:p>
    <w:p>
      <w:pPr>
        <w:pStyle w:val="Compact"/>
        <w:numPr>
          <w:ilvl w:val="0"/>
          <w:numId w:val="1001"/>
        </w:numPr>
      </w:pPr>
      <w:r>
        <w:rPr>
          <w:rFonts w:hint="eastAsia"/>
          <w:b/>
          <w:bCs/>
        </w:rPr>
        <w:t xml:space="preserve">金管會規劃於</w:t>
      </w:r>
      <w:r>
        <w:rPr>
          <w:b/>
          <w:bCs/>
        </w:rPr>
        <w:t xml:space="preserve"> 2027 </w:t>
      </w:r>
      <w:r>
        <w:rPr>
          <w:rFonts w:hint="eastAsia"/>
          <w:b/>
          <w:bCs/>
        </w:rPr>
        <w:t xml:space="preserve">年</w:t>
      </w:r>
      <w:r>
        <w:rPr>
          <w:b/>
          <w:bCs/>
        </w:rPr>
        <w:t xml:space="preserve"> 3 </w:t>
      </w:r>
      <w:r>
        <w:rPr>
          <w:rFonts w:hint="eastAsia"/>
          <w:b/>
          <w:bCs/>
        </w:rPr>
        <w:t xml:space="preserve">月底前完成國內公司債及金融債</w:t>
      </w:r>
      <w:r>
        <w:rPr>
          <w:b/>
          <w:bCs/>
        </w:rPr>
        <w:t xml:space="preserve"> RWA </w:t>
      </w:r>
      <w:r>
        <w:rPr>
          <w:rFonts w:hint="eastAsia"/>
          <w:b/>
          <w:bCs/>
        </w:rPr>
        <w:t xml:space="preserve">擬真交易，並直接使用未來正式平台進行測試，2026</w:t>
      </w:r>
      <w:r>
        <w:rPr>
          <w:b/>
          <w:bCs/>
        </w:rPr>
        <w:t xml:space="preserve"> </w:t>
      </w:r>
      <w:r>
        <w:rPr>
          <w:rFonts w:hint="eastAsia"/>
          <w:b/>
          <w:bCs/>
        </w:rPr>
        <w:t xml:space="preserve">年</w:t>
      </w:r>
      <w:r>
        <w:rPr>
          <w:b/>
          <w:bCs/>
        </w:rPr>
        <w:t xml:space="preserve"> 9 </w:t>
      </w:r>
      <w:r>
        <w:rPr>
          <w:rFonts w:hint="eastAsia"/>
          <w:b/>
          <w:bCs/>
        </w:rPr>
        <w:t xml:space="preserve">月公告</w:t>
      </w:r>
      <w:r>
        <w:rPr>
          <w:b/>
          <w:bCs/>
        </w:rPr>
        <w:t xml:space="preserve"> API、10 </w:t>
      </w:r>
      <w:r>
        <w:rPr>
          <w:rFonts w:hint="eastAsia"/>
          <w:b/>
          <w:bCs/>
        </w:rPr>
        <w:t xml:space="preserve">月起進行聯通測試</w:t>
      </w:r>
    </w:p>
    <w:p>
      <w:pPr>
        <w:pStyle w:val="Compact"/>
        <w:numPr>
          <w:ilvl w:val="1"/>
          <w:numId w:val="1002"/>
        </w:numPr>
      </w:pPr>
      <w:r>
        <w:rPr>
          <w:rFonts w:hint="eastAsia"/>
        </w:rPr>
        <w:t xml:space="preserve">首階段以新台幣</w:t>
      </w:r>
      <w:r>
        <w:t xml:space="preserve"> Digital Native Bond </w:t>
      </w:r>
      <w:r>
        <w:rPr>
          <w:rFonts w:hint="eastAsia"/>
        </w:rPr>
        <w:t xml:space="preserve">為主，整檔債券直接以</w:t>
      </w:r>
      <w:r>
        <w:t xml:space="preserve"> Token </w:t>
      </w:r>
      <w:r>
        <w:rPr>
          <w:rFonts w:hint="eastAsia"/>
        </w:rPr>
        <w:t xml:space="preserve">形式發行</w:t>
      </w:r>
    </w:p>
    <w:p>
      <w:pPr>
        <w:pStyle w:val="Compact"/>
        <w:numPr>
          <w:ilvl w:val="1"/>
          <w:numId w:val="1002"/>
        </w:numPr>
      </w:pPr>
      <w:r>
        <w:rPr>
          <w:rFonts w:hint="eastAsia"/>
        </w:rPr>
        <w:t xml:space="preserve">次級市場先維持營業處所議價買賣斷，尚不納入交易所撮合、RP</w:t>
      </w:r>
      <w:r>
        <w:t xml:space="preserve"> </w:t>
      </w:r>
      <w:r>
        <w:rPr>
          <w:rFonts w:hint="eastAsia"/>
        </w:rPr>
        <w:t xml:space="preserve">及差額交割</w:t>
      </w:r>
    </w:p>
    <w:p>
      <w:pPr>
        <w:pStyle w:val="Compact"/>
        <w:numPr>
          <w:ilvl w:val="0"/>
          <w:numId w:val="1001"/>
        </w:numPr>
      </w:pPr>
      <w:r>
        <w:rPr>
          <w:rFonts w:hint="eastAsia"/>
          <w:b/>
          <w:bCs/>
        </w:rPr>
        <w:t xml:space="preserve">首階段設計以維持現有債券市場運作方式為原則，主要將發行與交割環節導入</w:t>
      </w:r>
      <w:r>
        <w:rPr>
          <w:b/>
          <w:bCs/>
        </w:rPr>
        <w:t xml:space="preserve"> Wallet、Private Key、Cash Token </w:t>
      </w:r>
      <w:r>
        <w:rPr>
          <w:rFonts w:hint="eastAsia"/>
          <w:b/>
          <w:bCs/>
        </w:rPr>
        <w:t xml:space="preserve">及</w:t>
      </w:r>
      <w:r>
        <w:rPr>
          <w:b/>
          <w:bCs/>
        </w:rPr>
        <w:t xml:space="preserve"> </w:t>
      </w:r>
      <w:r>
        <w:rPr>
          <w:rFonts w:hint="eastAsia"/>
          <w:b/>
          <w:bCs/>
        </w:rPr>
        <w:t xml:space="preserve">DVP，發行審查、KYC、投資人帳載及還本付息大致維持現制</w:t>
      </w:r>
    </w:p>
    <w:p>
      <w:pPr>
        <w:pStyle w:val="Compact"/>
        <w:numPr>
          <w:ilvl w:val="1"/>
          <w:numId w:val="1003"/>
        </w:numPr>
      </w:pPr>
      <w:r>
        <w:rPr>
          <w:rFonts w:hint="eastAsia"/>
        </w:rPr>
        <w:t xml:space="preserve">平台採</w:t>
      </w:r>
      <w:r>
        <w:t xml:space="preserve"> B2B </w:t>
      </w:r>
      <w:r>
        <w:rPr>
          <w:rFonts w:hint="eastAsia"/>
        </w:rPr>
        <w:t xml:space="preserve">架構，一般法人投資人不需自行建立</w:t>
      </w:r>
      <w:r>
        <w:t xml:space="preserve"> </w:t>
      </w:r>
      <w:r>
        <w:rPr>
          <w:rFonts w:hint="eastAsia"/>
        </w:rPr>
        <w:t xml:space="preserve">Wallet，由</w:t>
      </w:r>
      <w:r>
        <w:t xml:space="preserve"> Broker </w:t>
      </w:r>
      <w:r>
        <w:rPr>
          <w:rFonts w:hint="eastAsia"/>
        </w:rPr>
        <w:t xml:space="preserve">於鏈下帳簿記載最終持有人</w:t>
      </w:r>
    </w:p>
    <w:p>
      <w:pPr>
        <w:pStyle w:val="Compact"/>
        <w:numPr>
          <w:ilvl w:val="1"/>
          <w:numId w:val="1003"/>
        </w:numPr>
      </w:pPr>
      <w:r>
        <w:rPr>
          <w:rFonts w:hint="eastAsia"/>
        </w:rPr>
        <w:t xml:space="preserve">發行人亦可將</w:t>
      </w:r>
      <w:r>
        <w:t xml:space="preserve"> Wallet、Private Key Signature </w:t>
      </w:r>
      <w:r>
        <w:rPr>
          <w:rFonts w:hint="eastAsia"/>
        </w:rPr>
        <w:t xml:space="preserve">等鏈上作業委託股代處理，降低參與門檻</w:t>
      </w:r>
    </w:p>
    <w:p>
      <w:pPr>
        <w:pStyle w:val="Compact"/>
        <w:numPr>
          <w:ilvl w:val="0"/>
          <w:numId w:val="1001"/>
        </w:numPr>
      </w:pPr>
      <w:r>
        <w:rPr>
          <w:rFonts w:hint="eastAsia"/>
          <w:b/>
          <w:bCs/>
        </w:rPr>
        <w:t xml:space="preserve">銀行在</w:t>
      </w:r>
      <w:r>
        <w:rPr>
          <w:b/>
          <w:bCs/>
        </w:rPr>
        <w:t xml:space="preserve"> RWA </w:t>
      </w:r>
      <w:r>
        <w:rPr>
          <w:rFonts w:hint="eastAsia"/>
          <w:b/>
          <w:bCs/>
        </w:rPr>
        <w:t xml:space="preserve">架構中的角色將較現行債券交易提升，證券商無法自行持有款項</w:t>
      </w:r>
      <w:r>
        <w:rPr>
          <w:b/>
          <w:bCs/>
        </w:rPr>
        <w:t xml:space="preserve"> </w:t>
      </w:r>
      <w:r>
        <w:rPr>
          <w:rFonts w:hint="eastAsia"/>
          <w:b/>
          <w:bCs/>
        </w:rPr>
        <w:t xml:space="preserve">Token，須透過交割銀行完成</w:t>
      </w:r>
      <w:r>
        <w:rPr>
          <w:b/>
          <w:bCs/>
        </w:rPr>
        <w:t xml:space="preserve"> Deposit </w:t>
      </w:r>
      <w:r>
        <w:rPr>
          <w:rFonts w:hint="eastAsia"/>
          <w:b/>
          <w:bCs/>
        </w:rPr>
        <w:t xml:space="preserve">Token、跨行結算及可能的</w:t>
      </w:r>
      <w:r>
        <w:rPr>
          <w:b/>
          <w:bCs/>
        </w:rPr>
        <w:t xml:space="preserve"> Private Key Custody</w:t>
      </w:r>
    </w:p>
    <w:p>
      <w:pPr>
        <w:pStyle w:val="Compact"/>
        <w:numPr>
          <w:ilvl w:val="1"/>
          <w:numId w:val="1004"/>
        </w:numPr>
      </w:pPr>
      <w:r>
        <w:t xml:space="preserve">RWA Platform </w:t>
      </w:r>
      <w:r>
        <w:rPr>
          <w:rFonts w:hint="eastAsia"/>
        </w:rPr>
        <w:t xml:space="preserve">與財金</w:t>
      </w:r>
      <w:r>
        <w:t xml:space="preserve"> Cash Token </w:t>
      </w:r>
      <w:r>
        <w:rPr>
          <w:rFonts w:hint="eastAsia"/>
        </w:rPr>
        <w:t xml:space="preserve">採共鏈架構，同行以</w:t>
      </w:r>
      <w:r>
        <w:t xml:space="preserve"> Deposit </w:t>
      </w:r>
      <w:r>
        <w:rPr>
          <w:rFonts w:hint="eastAsia"/>
        </w:rPr>
        <w:t xml:space="preserve">Token、跨行以</w:t>
      </w:r>
      <w:r>
        <w:t xml:space="preserve"> Interbank Settlement Token </w:t>
      </w:r>
      <w:r>
        <w:rPr>
          <w:rFonts w:hint="eastAsia"/>
        </w:rPr>
        <w:t xml:space="preserve">進行交割</w:t>
      </w:r>
    </w:p>
    <w:p>
      <w:pPr>
        <w:pStyle w:val="Compact"/>
        <w:numPr>
          <w:ilvl w:val="1"/>
          <w:numId w:val="1004"/>
        </w:numPr>
      </w:pPr>
      <w:r>
        <w:t xml:space="preserve">Private Key </w:t>
      </w:r>
      <w:r>
        <w:rPr>
          <w:rFonts w:hint="eastAsia"/>
        </w:rPr>
        <w:t xml:space="preserve">可由參加人自行保管或委託第三方，凱基銀行既有虛擬資產保管能力可作為集團共用</w:t>
      </w:r>
      <w:r>
        <w:t xml:space="preserve"> Custody </w:t>
      </w:r>
      <w:r>
        <w:rPr>
          <w:rFonts w:hint="eastAsia"/>
        </w:rPr>
        <w:t xml:space="preserve">能力</w:t>
      </w:r>
    </w:p>
    <w:p>
      <w:pPr>
        <w:pStyle w:val="Compact"/>
        <w:numPr>
          <w:ilvl w:val="0"/>
          <w:numId w:val="1001"/>
        </w:numPr>
      </w:pPr>
      <w:r>
        <w:rPr>
          <w:rFonts w:hint="eastAsia"/>
          <w:b/>
          <w:bCs/>
        </w:rPr>
        <w:t xml:space="preserve">凱基初步表達高度參與意願且具完整金控條件，目前主要待確認</w:t>
      </w:r>
      <w:r>
        <w:rPr>
          <w:b/>
          <w:bCs/>
        </w:rPr>
        <w:t xml:space="preserve"> </w:t>
      </w:r>
      <w:r>
        <w:rPr>
          <w:rFonts w:hint="eastAsia"/>
          <w:b/>
          <w:bCs/>
        </w:rPr>
        <w:t xml:space="preserve">Buyer、集團內部角色分工及最終</w:t>
      </w:r>
      <w:r>
        <w:rPr>
          <w:b/>
          <w:bCs/>
        </w:rPr>
        <w:t xml:space="preserve"> Cash Token Custody Model</w:t>
      </w:r>
    </w:p>
    <w:p>
      <w:pPr>
        <w:pStyle w:val="Compact"/>
        <w:numPr>
          <w:ilvl w:val="1"/>
          <w:numId w:val="1005"/>
        </w:numPr>
      </w:pPr>
      <w:r>
        <w:rPr>
          <w:rFonts w:hint="eastAsia"/>
        </w:rPr>
        <w:t xml:space="preserve">凱基可涵蓋</w:t>
      </w:r>
      <w:r>
        <w:t xml:space="preserve"> Issuer、Underwriter、Transfer Agent、Dealer、Broker、Settlement Bank </w:t>
      </w:r>
      <w:r>
        <w:rPr>
          <w:rFonts w:hint="eastAsia"/>
        </w:rPr>
        <w:t xml:space="preserve">及</w:t>
      </w:r>
      <w:r>
        <w:t xml:space="preserve"> Custodian </w:t>
      </w:r>
      <w:r>
        <w:rPr>
          <w:rFonts w:hint="eastAsia"/>
        </w:rPr>
        <w:t xml:space="preserve">等多數角色</w:t>
      </w:r>
    </w:p>
    <w:p>
      <w:pPr>
        <w:pStyle w:val="Compact"/>
        <w:numPr>
          <w:ilvl w:val="1"/>
          <w:numId w:val="1005"/>
        </w:numPr>
      </w:pPr>
      <w:r>
        <w:rPr>
          <w:rFonts w:hint="eastAsia"/>
        </w:rPr>
        <w:t xml:space="preserve">凱基香港亦預計於</w:t>
      </w:r>
      <w:r>
        <w:t xml:space="preserve"> 2026 </w:t>
      </w:r>
      <w:r>
        <w:rPr>
          <w:rFonts w:hint="eastAsia"/>
        </w:rPr>
        <w:t xml:space="preserve">年</w:t>
      </w:r>
      <w:r>
        <w:t xml:space="preserve"> 8 </w:t>
      </w:r>
      <w:r>
        <w:rPr>
          <w:rFonts w:hint="eastAsia"/>
        </w:rPr>
        <w:t xml:space="preserve">月底至</w:t>
      </w:r>
      <w:r>
        <w:t xml:space="preserve"> 9 </w:t>
      </w:r>
      <w:r>
        <w:rPr>
          <w:rFonts w:hint="eastAsia"/>
        </w:rPr>
        <w:t xml:space="preserve">月進行海外</w:t>
      </w:r>
      <w:r>
        <w:t xml:space="preserve"> RWA </w:t>
      </w:r>
      <w:r>
        <w:rPr>
          <w:rFonts w:hint="eastAsia"/>
        </w:rPr>
        <w:t xml:space="preserve">發行，可同步累積發行及系統串接經驗</w:t>
      </w:r>
    </w:p>
    <w:bookmarkEnd w:id="9"/>
    <w:bookmarkStart w:id="10" w:name="ii.-general-notes"/>
    <w:p>
      <w:pPr>
        <w:pStyle w:val="Heading1"/>
      </w:pPr>
      <w:r>
        <w:t xml:space="preserve">II. General notes</w:t>
      </w:r>
    </w:p>
    <w:p>
      <w:pPr>
        <w:pStyle w:val="FirstParagraph"/>
      </w:pPr>
      <w:r>
        <w:rPr>
          <w:rFonts w:hint="eastAsia"/>
          <w:b/>
          <w:bCs/>
        </w:rPr>
        <w:t xml:space="preserve">主管機關預計於</w:t>
      </w:r>
      <w:r>
        <w:rPr>
          <w:b/>
          <w:bCs/>
        </w:rPr>
        <w:t xml:space="preserve"> 2027 </w:t>
      </w:r>
      <w:r>
        <w:rPr>
          <w:rFonts w:hint="eastAsia"/>
          <w:b/>
          <w:bCs/>
        </w:rPr>
        <w:t xml:space="preserve">年</w:t>
      </w:r>
      <w:r>
        <w:rPr>
          <w:b/>
          <w:bCs/>
        </w:rPr>
        <w:t xml:space="preserve"> 3 </w:t>
      </w:r>
      <w:r>
        <w:rPr>
          <w:rFonts w:hint="eastAsia"/>
          <w:b/>
          <w:bCs/>
        </w:rPr>
        <w:t xml:space="preserve">月底前完成國內公司債及金融債</w:t>
      </w:r>
      <w:r>
        <w:rPr>
          <w:b/>
          <w:bCs/>
        </w:rPr>
        <w:t xml:space="preserve"> RWA </w:t>
      </w:r>
      <w:r>
        <w:rPr>
          <w:rFonts w:hint="eastAsia"/>
          <w:b/>
          <w:bCs/>
        </w:rPr>
        <w:t xml:space="preserve">擬真交易，並以正式平台提前驗證未來實際發行與交割流程</w:t>
      </w:r>
    </w:p>
    <w:p>
      <w:pPr>
        <w:pStyle w:val="Compact"/>
        <w:numPr>
          <w:ilvl w:val="0"/>
          <w:numId w:val="1006"/>
        </w:numPr>
      </w:pPr>
      <w:r>
        <w:rPr>
          <w:rFonts w:hint="eastAsia"/>
        </w:rPr>
        <w:t xml:space="preserve">擬真交易將直接使用未來預計正式營運的</w:t>
      </w:r>
      <w:r>
        <w:t xml:space="preserve"> RWA </w:t>
      </w:r>
      <w:r>
        <w:rPr>
          <w:rFonts w:hint="eastAsia"/>
        </w:rPr>
        <w:t xml:space="preserve">Platform，實際進行發行、交易與交割操作，僅債券標的本身為擬真發行</w:t>
      </w:r>
    </w:p>
    <w:p>
      <w:pPr>
        <w:pStyle w:val="Compact"/>
        <w:numPr>
          <w:ilvl w:val="1"/>
          <w:numId w:val="1007"/>
        </w:numPr>
      </w:pPr>
      <w:r>
        <w:rPr>
          <w:rFonts w:hint="eastAsia"/>
        </w:rPr>
        <w:t xml:space="preserve">主要目的為讓市場參與者於正式上線前完成系統串接、流程熟悉及內部作業練兵</w:t>
      </w:r>
    </w:p>
    <w:p>
      <w:pPr>
        <w:pStyle w:val="Compact"/>
        <w:numPr>
          <w:ilvl w:val="1"/>
          <w:numId w:val="1007"/>
        </w:numPr>
      </w:pPr>
      <w:r>
        <w:rPr>
          <w:rFonts w:hint="eastAsia"/>
        </w:rPr>
        <w:t xml:space="preserve">擬真測試完成且法規制度完備後，即可報主管機關公告正式上線</w:t>
      </w:r>
    </w:p>
    <w:p>
      <w:pPr>
        <w:pStyle w:val="Compact"/>
        <w:numPr>
          <w:ilvl w:val="0"/>
          <w:numId w:val="1006"/>
        </w:numPr>
      </w:pPr>
      <w:r>
        <w:rPr>
          <w:rFonts w:hint="eastAsia"/>
        </w:rPr>
        <w:t xml:space="preserve">整體時程規劃為</w:t>
      </w:r>
      <w:r>
        <w:t xml:space="preserve"> 2026 </w:t>
      </w:r>
      <w:r>
        <w:rPr>
          <w:rFonts w:hint="eastAsia"/>
        </w:rPr>
        <w:t xml:space="preserve">年</w:t>
      </w:r>
      <w:r>
        <w:t xml:space="preserve"> 9 </w:t>
      </w:r>
      <w:r>
        <w:rPr>
          <w:rFonts w:hint="eastAsia"/>
        </w:rPr>
        <w:t xml:space="preserve">月公告</w:t>
      </w:r>
      <w:r>
        <w:t xml:space="preserve"> API </w:t>
      </w:r>
      <w:r>
        <w:rPr>
          <w:rFonts w:hint="eastAsia"/>
        </w:rPr>
        <w:t xml:space="preserve">規格、10</w:t>
      </w:r>
      <w:r>
        <w:t xml:space="preserve"> </w:t>
      </w:r>
      <w:r>
        <w:rPr>
          <w:rFonts w:hint="eastAsia"/>
        </w:rPr>
        <w:t xml:space="preserve">月起進行聯通測試，並於</w:t>
      </w:r>
      <w:r>
        <w:t xml:space="preserve"> 2027 </w:t>
      </w:r>
      <w:r>
        <w:rPr>
          <w:rFonts w:hint="eastAsia"/>
        </w:rPr>
        <w:t xml:space="preserve">年</w:t>
      </w:r>
      <w:r>
        <w:t xml:space="preserve"> 3 </w:t>
      </w:r>
      <w:r>
        <w:rPr>
          <w:rFonts w:hint="eastAsia"/>
        </w:rPr>
        <w:t xml:space="preserve">月中下旬開放外部機構進行擬真交易</w:t>
      </w:r>
    </w:p>
    <w:p>
      <w:pPr>
        <w:pStyle w:val="Compact"/>
        <w:numPr>
          <w:ilvl w:val="1"/>
          <w:numId w:val="1008"/>
        </w:numPr>
      </w:pPr>
      <w:r>
        <w:t xml:space="preserve">API </w:t>
      </w:r>
      <w:r>
        <w:rPr>
          <w:rFonts w:hint="eastAsia"/>
        </w:rPr>
        <w:t xml:space="preserve">規格將供參加人及第三方</w:t>
      </w:r>
      <w:r>
        <w:t xml:space="preserve"> Private Key Custodian </w:t>
      </w:r>
      <w:r>
        <w:rPr>
          <w:rFonts w:hint="eastAsia"/>
        </w:rPr>
        <w:t xml:space="preserve">進行系統開發</w:t>
      </w:r>
    </w:p>
    <w:p>
      <w:pPr>
        <w:pStyle w:val="Compact"/>
        <w:numPr>
          <w:ilvl w:val="1"/>
          <w:numId w:val="1008"/>
        </w:numPr>
      </w:pPr>
      <w:r>
        <w:t xml:space="preserve">10 </w:t>
      </w:r>
      <w:r>
        <w:rPr>
          <w:rFonts w:hint="eastAsia"/>
        </w:rPr>
        <w:t xml:space="preserve">月起可申請</w:t>
      </w:r>
      <w:r>
        <w:t xml:space="preserve"> connectivity test </w:t>
      </w:r>
      <w:r>
        <w:rPr>
          <w:rFonts w:hint="eastAsia"/>
        </w:rPr>
        <w:t xml:space="preserve">及後續擬真測試</w:t>
      </w:r>
    </w:p>
    <w:p>
      <w:pPr>
        <w:pStyle w:val="Compact"/>
        <w:numPr>
          <w:ilvl w:val="0"/>
          <w:numId w:val="1006"/>
        </w:numPr>
      </w:pPr>
      <w:r>
        <w:rPr>
          <w:rFonts w:hint="eastAsia"/>
        </w:rPr>
        <w:t xml:space="preserve">首階段商品範圍限於新台幣公司債及金融債，款項端亦先以新台幣</w:t>
      </w:r>
      <w:r>
        <w:t xml:space="preserve"> Token </w:t>
      </w:r>
      <w:r>
        <w:rPr>
          <w:rFonts w:hint="eastAsia"/>
        </w:rPr>
        <w:t xml:space="preserve">為主</w:t>
      </w:r>
    </w:p>
    <w:p>
      <w:pPr>
        <w:pStyle w:val="Compact"/>
        <w:numPr>
          <w:ilvl w:val="1"/>
          <w:numId w:val="1009"/>
        </w:numPr>
      </w:pPr>
      <w:r>
        <w:rPr>
          <w:rFonts w:hint="eastAsia"/>
        </w:rPr>
        <w:t xml:space="preserve">次級市場僅提供營業處所議價買賣斷</w:t>
      </w:r>
    </w:p>
    <w:p>
      <w:pPr>
        <w:pStyle w:val="Compact"/>
        <w:numPr>
          <w:ilvl w:val="1"/>
          <w:numId w:val="1009"/>
        </w:numPr>
      </w:pPr>
      <w:r>
        <w:t xml:space="preserve">Exchange matching、RP </w:t>
      </w:r>
      <w:r>
        <w:rPr>
          <w:rFonts w:hint="eastAsia"/>
        </w:rPr>
        <w:t xml:space="preserve">及款項差額交割暫不納入首階段</w:t>
      </w:r>
    </w:p>
    <w:p>
      <w:pPr>
        <w:pStyle w:val="FirstParagraph"/>
      </w:pPr>
      <w:r>
        <w:rPr>
          <w:rFonts w:hint="eastAsia"/>
          <w:b/>
          <w:bCs/>
        </w:rPr>
        <w:t xml:space="preserve">首階段採</w:t>
      </w:r>
      <w:r>
        <w:rPr>
          <w:b/>
          <w:bCs/>
        </w:rPr>
        <w:t xml:space="preserve"> Digital Native Bond </w:t>
      </w:r>
      <w:r>
        <w:rPr>
          <w:rFonts w:hint="eastAsia"/>
          <w:b/>
          <w:bCs/>
        </w:rPr>
        <w:t xml:space="preserve">及</w:t>
      </w:r>
      <w:r>
        <w:rPr>
          <w:b/>
          <w:bCs/>
        </w:rPr>
        <w:t xml:space="preserve"> B2B </w:t>
      </w:r>
      <w:r>
        <w:rPr>
          <w:rFonts w:hint="eastAsia"/>
          <w:b/>
          <w:bCs/>
        </w:rPr>
        <w:t xml:space="preserve">架構，整檔債券直接於鏈上發行，但一般投資人仍維持現有鏈下持有及交易模式</w:t>
      </w:r>
    </w:p>
    <w:p>
      <w:pPr>
        <w:pStyle w:val="Compact"/>
        <w:numPr>
          <w:ilvl w:val="0"/>
          <w:numId w:val="1010"/>
        </w:numPr>
      </w:pPr>
      <w:r>
        <w:rPr>
          <w:rFonts w:hint="eastAsia"/>
        </w:rPr>
        <w:t xml:space="preserve">首階段將整檔單期債券直接發行為</w:t>
      </w:r>
      <w:r>
        <w:t xml:space="preserve"> Digital Native </w:t>
      </w:r>
      <w:r>
        <w:rPr>
          <w:rFonts w:hint="eastAsia"/>
        </w:rPr>
        <w:t xml:space="preserve">Token，而非將既有傳統債券部分轉為</w:t>
      </w:r>
      <w:r>
        <w:t xml:space="preserve"> Token</w:t>
      </w:r>
    </w:p>
    <w:p>
      <w:pPr>
        <w:pStyle w:val="Compact"/>
        <w:numPr>
          <w:ilvl w:val="1"/>
          <w:numId w:val="1011"/>
        </w:numPr>
      </w:pPr>
      <w:r>
        <w:rPr>
          <w:rFonts w:hint="eastAsia"/>
        </w:rPr>
        <w:t xml:space="preserve">未來才進一步研議</w:t>
      </w:r>
      <w:r>
        <w:t xml:space="preserve"> Digital </w:t>
      </w:r>
      <w:r>
        <w:rPr>
          <w:rFonts w:hint="eastAsia"/>
        </w:rPr>
        <w:t xml:space="preserve">Twin，包括傳統部位與</w:t>
      </w:r>
      <w:r>
        <w:t xml:space="preserve"> Token </w:t>
      </w:r>
      <w:r>
        <w:rPr>
          <w:rFonts w:hint="eastAsia"/>
        </w:rPr>
        <w:t xml:space="preserve">部位並存及雙向轉換</w:t>
      </w:r>
    </w:p>
    <w:p>
      <w:pPr>
        <w:pStyle w:val="Compact"/>
        <w:numPr>
          <w:ilvl w:val="1"/>
          <w:numId w:val="1011"/>
        </w:numPr>
      </w:pPr>
      <w:r>
        <w:rPr>
          <w:rFonts w:hint="eastAsia"/>
        </w:rPr>
        <w:t xml:space="preserve">平台技術面已預留虛實轉換機制，但相關法律效果仍待進一步確認</w:t>
      </w:r>
    </w:p>
    <w:p>
      <w:pPr>
        <w:pStyle w:val="Compact"/>
        <w:numPr>
          <w:ilvl w:val="0"/>
          <w:numId w:val="1010"/>
        </w:numPr>
      </w:pPr>
      <w:r>
        <w:rPr>
          <w:rFonts w:hint="eastAsia"/>
        </w:rPr>
        <w:t xml:space="preserve">一般法人投資人不需自行建立</w:t>
      </w:r>
      <w:r>
        <w:t xml:space="preserve"> Wallet </w:t>
      </w:r>
      <w:r>
        <w:rPr>
          <w:rFonts w:hint="eastAsia"/>
        </w:rPr>
        <w:t xml:space="preserve">或管理</w:t>
      </w:r>
      <w:r>
        <w:t xml:space="preserve"> Private </w:t>
      </w:r>
      <w:r>
        <w:rPr>
          <w:rFonts w:hint="eastAsia"/>
        </w:rPr>
        <w:t xml:space="preserve">Key，而是由</w:t>
      </w:r>
      <w:r>
        <w:t xml:space="preserve"> Broker </w:t>
      </w:r>
      <w:r>
        <w:rPr>
          <w:rFonts w:hint="eastAsia"/>
        </w:rPr>
        <w:t xml:space="preserve">代表客戶進行鏈上操作</w:t>
      </w:r>
    </w:p>
    <w:p>
      <w:pPr>
        <w:pStyle w:val="Compact"/>
        <w:numPr>
          <w:ilvl w:val="1"/>
          <w:numId w:val="1012"/>
        </w:numPr>
      </w:pPr>
      <w:r>
        <w:t xml:space="preserve">Broker </w:t>
      </w:r>
      <w:r>
        <w:rPr>
          <w:rFonts w:hint="eastAsia"/>
        </w:rPr>
        <w:t xml:space="preserve">需將投資人集保帳號上傳至鏈下資料庫及</w:t>
      </w:r>
      <w:r>
        <w:t xml:space="preserve"> whitelist</w:t>
      </w:r>
    </w:p>
    <w:p>
      <w:pPr>
        <w:pStyle w:val="Compact"/>
        <w:numPr>
          <w:ilvl w:val="1"/>
          <w:numId w:val="1012"/>
        </w:numPr>
      </w:pPr>
      <w:r>
        <w:rPr>
          <w:rFonts w:hint="eastAsia"/>
        </w:rPr>
        <w:t xml:space="preserve">投資人實際持有部位仍以鏈下帳簿及集保帳號記載</w:t>
      </w:r>
    </w:p>
    <w:p>
      <w:pPr>
        <w:pStyle w:val="Compact"/>
        <w:numPr>
          <w:ilvl w:val="1"/>
          <w:numId w:val="1012"/>
        </w:numPr>
      </w:pPr>
      <w:r>
        <w:rPr>
          <w:rFonts w:hint="eastAsia"/>
        </w:rPr>
        <w:t xml:space="preserve">四大基金、壽險及其他法人機構因此可維持現有操作方式參與</w:t>
      </w:r>
    </w:p>
    <w:p>
      <w:pPr>
        <w:pStyle w:val="Compact"/>
        <w:numPr>
          <w:ilvl w:val="0"/>
          <w:numId w:val="1010"/>
        </w:numPr>
      </w:pPr>
      <w:r>
        <w:rPr>
          <w:rFonts w:hint="eastAsia"/>
        </w:rPr>
        <w:t xml:space="preserve">最終投資人資料仍可透過現有集保帳號穿透辨識，不因</w:t>
      </w:r>
      <w:r>
        <w:t xml:space="preserve"> Tokenization </w:t>
      </w:r>
      <w:r>
        <w:rPr>
          <w:rFonts w:hint="eastAsia"/>
        </w:rPr>
        <w:t xml:space="preserve">改變相關法遵及投資限制管理</w:t>
      </w:r>
    </w:p>
    <w:p>
      <w:pPr>
        <w:pStyle w:val="Compact"/>
        <w:numPr>
          <w:ilvl w:val="1"/>
          <w:numId w:val="1013"/>
        </w:numPr>
      </w:pPr>
      <w:r>
        <w:rPr>
          <w:rFonts w:hint="eastAsia"/>
        </w:rPr>
        <w:t xml:space="preserve">集保於還本付息時仍可產製包含最終投資人的完整名冊</w:t>
      </w:r>
    </w:p>
    <w:p>
      <w:pPr>
        <w:pStyle w:val="Compact"/>
        <w:numPr>
          <w:ilvl w:val="1"/>
          <w:numId w:val="1013"/>
        </w:numPr>
      </w:pPr>
      <w:r>
        <w:t xml:space="preserve">KYC </w:t>
      </w:r>
      <w:r>
        <w:rPr>
          <w:rFonts w:hint="eastAsia"/>
        </w:rPr>
        <w:t xml:space="preserve">亦完全沿用現行制度</w:t>
      </w:r>
    </w:p>
    <w:p>
      <w:pPr>
        <w:pStyle w:val="FirstParagraph"/>
      </w:pPr>
      <w:r>
        <w:rPr>
          <w:b/>
          <w:bCs/>
        </w:rPr>
        <w:t xml:space="preserve">RWA Platform </w:t>
      </w:r>
      <w:r>
        <w:rPr>
          <w:rFonts w:hint="eastAsia"/>
          <w:b/>
          <w:bCs/>
        </w:rPr>
        <w:t xml:space="preserve">採金融周邊單位共同建置的聯盟鏈，並與財金公司款項</w:t>
      </w:r>
      <w:r>
        <w:rPr>
          <w:b/>
          <w:bCs/>
        </w:rPr>
        <w:t xml:space="preserve"> Token </w:t>
      </w:r>
      <w:r>
        <w:rPr>
          <w:rFonts w:hint="eastAsia"/>
          <w:b/>
          <w:bCs/>
        </w:rPr>
        <w:t xml:space="preserve">共鏈，以支援</w:t>
      </w:r>
      <w:r>
        <w:rPr>
          <w:b/>
          <w:bCs/>
        </w:rPr>
        <w:t xml:space="preserve"> Bond Token </w:t>
      </w:r>
      <w:r>
        <w:rPr>
          <w:rFonts w:hint="eastAsia"/>
          <w:b/>
          <w:bCs/>
        </w:rPr>
        <w:t xml:space="preserve">與</w:t>
      </w:r>
      <w:r>
        <w:rPr>
          <w:b/>
          <w:bCs/>
        </w:rPr>
        <w:t xml:space="preserve"> Cash Token </w:t>
      </w:r>
      <w:r>
        <w:rPr>
          <w:rFonts w:hint="eastAsia"/>
          <w:b/>
          <w:bCs/>
        </w:rPr>
        <w:t xml:space="preserve">的即時</w:t>
      </w:r>
      <w:r>
        <w:rPr>
          <w:b/>
          <w:bCs/>
        </w:rPr>
        <w:t xml:space="preserve"> DVP</w:t>
      </w:r>
    </w:p>
    <w:p>
      <w:pPr>
        <w:pStyle w:val="Compact"/>
        <w:numPr>
          <w:ilvl w:val="0"/>
          <w:numId w:val="1014"/>
        </w:numPr>
      </w:pPr>
      <w:r>
        <w:t xml:space="preserve">RWA Platform </w:t>
      </w:r>
      <w:r>
        <w:rPr>
          <w:rFonts w:hint="eastAsia"/>
        </w:rPr>
        <w:t xml:space="preserve">底層採</w:t>
      </w:r>
      <w:r>
        <w:t xml:space="preserve"> Permissioned Consortium </w:t>
      </w:r>
      <w:r>
        <w:rPr>
          <w:rFonts w:hint="eastAsia"/>
        </w:rPr>
        <w:t xml:space="preserve">Blockchain，由證交所、櫃買中心、期交所、集保及財金公司共同擔任驗證節點</w:t>
      </w:r>
    </w:p>
    <w:p>
      <w:pPr>
        <w:pStyle w:val="Compact"/>
        <w:numPr>
          <w:ilvl w:val="1"/>
          <w:numId w:val="1015"/>
        </w:numPr>
      </w:pPr>
      <w:r>
        <w:t xml:space="preserve">Blockchain technology </w:t>
      </w:r>
      <w:r>
        <w:rPr>
          <w:rFonts w:hint="eastAsia"/>
        </w:rPr>
        <w:t xml:space="preserve">採</w:t>
      </w:r>
      <w:r>
        <w:t xml:space="preserve"> Hyperledger Besu</w:t>
      </w:r>
    </w:p>
    <w:p>
      <w:pPr>
        <w:pStyle w:val="Compact"/>
        <w:numPr>
          <w:ilvl w:val="1"/>
          <w:numId w:val="1015"/>
        </w:numPr>
      </w:pPr>
      <w:r>
        <w:rPr>
          <w:rFonts w:hint="eastAsia"/>
        </w:rPr>
        <w:t xml:space="preserve">集保擔任</w:t>
      </w:r>
      <w:r>
        <w:t xml:space="preserve"> Platform System </w:t>
      </w:r>
      <w:r>
        <w:rPr>
          <w:rFonts w:hint="eastAsia"/>
        </w:rPr>
        <w:t xml:space="preserve">Administrator，負責日常營運及</w:t>
      </w:r>
      <w:r>
        <w:t xml:space="preserve"> Application Layer </w:t>
      </w:r>
      <w:r>
        <w:rPr>
          <w:rFonts w:hint="eastAsia"/>
        </w:rPr>
        <w:t xml:space="preserve">維護</w:t>
      </w:r>
    </w:p>
    <w:p>
      <w:pPr>
        <w:pStyle w:val="Compact"/>
        <w:numPr>
          <w:ilvl w:val="1"/>
          <w:numId w:val="1015"/>
        </w:numPr>
      </w:pPr>
      <w:r>
        <w:rPr>
          <w:rFonts w:hint="eastAsia"/>
        </w:rPr>
        <w:t xml:space="preserve">參加機構可透過</w:t>
      </w:r>
      <w:r>
        <w:t xml:space="preserve"> Web Browser </w:t>
      </w:r>
      <w:r>
        <w:rPr>
          <w:rFonts w:hint="eastAsia"/>
        </w:rPr>
        <w:t xml:space="preserve">或</w:t>
      </w:r>
      <w:r>
        <w:t xml:space="preserve"> API </w:t>
      </w:r>
      <w:r>
        <w:rPr>
          <w:rFonts w:hint="eastAsia"/>
        </w:rPr>
        <w:t xml:space="preserve">連線，另採專線及</w:t>
      </w:r>
      <w:r>
        <w:t xml:space="preserve"> IP </w:t>
      </w:r>
      <w:r>
        <w:rPr>
          <w:rFonts w:hint="eastAsia"/>
        </w:rPr>
        <w:t xml:space="preserve">管控</w:t>
      </w:r>
    </w:p>
    <w:p>
      <w:pPr>
        <w:pStyle w:val="Compact"/>
        <w:numPr>
          <w:ilvl w:val="0"/>
          <w:numId w:val="1014"/>
        </w:numPr>
      </w:pPr>
      <w:r>
        <w:rPr>
          <w:rFonts w:hint="eastAsia"/>
        </w:rPr>
        <w:t xml:space="preserve">有價證券</w:t>
      </w:r>
      <w:r>
        <w:t xml:space="preserve"> RWA </w:t>
      </w:r>
      <w:r>
        <w:rPr>
          <w:rFonts w:hint="eastAsia"/>
        </w:rPr>
        <w:t xml:space="preserve">與財金公司</w:t>
      </w:r>
      <w:r>
        <w:t xml:space="preserve"> Cash Token </w:t>
      </w:r>
      <w:r>
        <w:rPr>
          <w:rFonts w:hint="eastAsia"/>
        </w:rPr>
        <w:t xml:space="preserve">位於同一金融聯盟鏈，使款券可由</w:t>
      </w:r>
      <w:r>
        <w:t xml:space="preserve"> Smart Contract </w:t>
      </w:r>
      <w:r>
        <w:rPr>
          <w:rFonts w:hint="eastAsia"/>
        </w:rPr>
        <w:t xml:space="preserve">同步完成交割</w:t>
      </w:r>
    </w:p>
    <w:p>
      <w:pPr>
        <w:pStyle w:val="Compact"/>
        <w:numPr>
          <w:ilvl w:val="1"/>
          <w:numId w:val="1016"/>
        </w:numPr>
      </w:pPr>
      <w:r>
        <w:rPr>
          <w:rFonts w:hint="eastAsia"/>
        </w:rPr>
        <w:t xml:space="preserve">同銀行體系使用該銀行發行的</w:t>
      </w:r>
      <w:r>
        <w:t xml:space="preserve"> Deposit Token</w:t>
      </w:r>
    </w:p>
    <w:p>
      <w:pPr>
        <w:pStyle w:val="Compact"/>
        <w:numPr>
          <w:ilvl w:val="1"/>
          <w:numId w:val="1016"/>
        </w:numPr>
      </w:pPr>
      <w:r>
        <w:rPr>
          <w:rFonts w:hint="eastAsia"/>
        </w:rPr>
        <w:t xml:space="preserve">跨行交易則透過</w:t>
      </w:r>
      <w:r>
        <w:t xml:space="preserve"> Interbank Settlement Token </w:t>
      </w:r>
      <w:r>
        <w:rPr>
          <w:rFonts w:hint="eastAsia"/>
        </w:rPr>
        <w:t xml:space="preserve">完成銀行間結算</w:t>
      </w:r>
    </w:p>
    <w:p>
      <w:pPr>
        <w:pStyle w:val="Compact"/>
        <w:numPr>
          <w:ilvl w:val="0"/>
          <w:numId w:val="1014"/>
        </w:numPr>
      </w:pPr>
      <w:r>
        <w:t xml:space="preserve">DVP </w:t>
      </w:r>
      <w:r>
        <w:rPr>
          <w:rFonts w:hint="eastAsia"/>
        </w:rPr>
        <w:t xml:space="preserve">交割時由雙方分別送出指令，平台完成</w:t>
      </w:r>
      <w:r>
        <w:t xml:space="preserve"> Matching </w:t>
      </w:r>
      <w:r>
        <w:rPr>
          <w:rFonts w:hint="eastAsia"/>
        </w:rPr>
        <w:t xml:space="preserve">及款券足額檢核後再由</w:t>
      </w:r>
      <w:r>
        <w:t xml:space="preserve"> Smart Contract </w:t>
      </w:r>
      <w:r>
        <w:rPr>
          <w:rFonts w:hint="eastAsia"/>
        </w:rPr>
        <w:t xml:space="preserve">執行</w:t>
      </w:r>
    </w:p>
    <w:p>
      <w:pPr>
        <w:pStyle w:val="Compact"/>
        <w:numPr>
          <w:ilvl w:val="1"/>
          <w:numId w:val="1017"/>
        </w:numPr>
      </w:pPr>
      <w:r>
        <w:t xml:space="preserve">Bond Token </w:t>
      </w:r>
      <w:r>
        <w:rPr>
          <w:rFonts w:hint="eastAsia"/>
        </w:rPr>
        <w:t xml:space="preserve">或</w:t>
      </w:r>
      <w:r>
        <w:t xml:space="preserve"> Cash Token </w:t>
      </w:r>
      <w:r>
        <w:rPr>
          <w:rFonts w:hint="eastAsia"/>
        </w:rPr>
        <w:t xml:space="preserve">任一側不足額即不執行交割</w:t>
      </w:r>
    </w:p>
    <w:p>
      <w:pPr>
        <w:pStyle w:val="Compact"/>
        <w:numPr>
          <w:ilvl w:val="1"/>
          <w:numId w:val="1017"/>
        </w:numPr>
      </w:pPr>
      <w:r>
        <w:rPr>
          <w:rFonts w:hint="eastAsia"/>
        </w:rPr>
        <w:t xml:space="preserve">平台亦保留</w:t>
      </w:r>
      <w:r>
        <w:t xml:space="preserve"> FOP </w:t>
      </w:r>
      <w:r>
        <w:rPr>
          <w:rFonts w:hint="eastAsia"/>
        </w:rPr>
        <w:t xml:space="preserve">交割方式，供不同使用情境選擇</w:t>
      </w:r>
    </w:p>
    <w:p>
      <w:pPr>
        <w:pStyle w:val="FirstParagraph"/>
      </w:pPr>
      <w:r>
        <w:rPr>
          <w:rFonts w:hint="eastAsia"/>
          <w:b/>
          <w:bCs/>
        </w:rPr>
        <w:t xml:space="preserve">債券發行程序大致沿用現行制度，主要新增</w:t>
      </w:r>
      <w:r>
        <w:rPr>
          <w:b/>
          <w:bCs/>
        </w:rPr>
        <w:t xml:space="preserve"> Token Mint、Wallet Mapping </w:t>
      </w:r>
      <w:r>
        <w:rPr>
          <w:rFonts w:hint="eastAsia"/>
          <w:b/>
          <w:bCs/>
        </w:rPr>
        <w:t xml:space="preserve">及</w:t>
      </w:r>
      <w:r>
        <w:rPr>
          <w:b/>
          <w:bCs/>
        </w:rPr>
        <w:t xml:space="preserve"> Private Key Signature </w:t>
      </w:r>
      <w:r>
        <w:rPr>
          <w:rFonts w:hint="eastAsia"/>
          <w:b/>
          <w:bCs/>
        </w:rPr>
        <w:t xml:space="preserve">等鏈上作業</w:t>
      </w:r>
    </w:p>
    <w:p>
      <w:pPr>
        <w:pStyle w:val="Compact"/>
        <w:numPr>
          <w:ilvl w:val="0"/>
          <w:numId w:val="1018"/>
        </w:numPr>
      </w:pPr>
      <w:r>
        <w:rPr>
          <w:rFonts w:hint="eastAsia"/>
        </w:rPr>
        <w:t xml:space="preserve">發行人於發行日前仍依現行程序向櫃買申請發行並向集保辦理債券登錄</w:t>
      </w:r>
    </w:p>
    <w:p>
      <w:pPr>
        <w:pStyle w:val="Compact"/>
        <w:numPr>
          <w:ilvl w:val="1"/>
          <w:numId w:val="1019"/>
        </w:numPr>
      </w:pPr>
      <w:r>
        <w:rPr>
          <w:rFonts w:hint="eastAsia"/>
        </w:rPr>
        <w:t xml:space="preserve">公開說明書及發行辦法需額外揭露採</w:t>
      </w:r>
      <w:r>
        <w:t xml:space="preserve"> DLT </w:t>
      </w:r>
      <w:r>
        <w:rPr>
          <w:rFonts w:hint="eastAsia"/>
        </w:rPr>
        <w:t xml:space="preserve">方式交付、Platform</w:t>
      </w:r>
      <w:r>
        <w:t xml:space="preserve"> </w:t>
      </w:r>
      <w:r>
        <w:rPr>
          <w:rFonts w:hint="eastAsia"/>
        </w:rPr>
        <w:t xml:space="preserve">Information、權利事項及特殊風險</w:t>
      </w:r>
    </w:p>
    <w:p>
      <w:pPr>
        <w:pStyle w:val="Compact"/>
        <w:numPr>
          <w:ilvl w:val="1"/>
          <w:numId w:val="1019"/>
        </w:numPr>
      </w:pPr>
      <w:r>
        <w:rPr>
          <w:rFonts w:hint="eastAsia"/>
        </w:rPr>
        <w:t xml:space="preserve">除新增揭露事項外，其餘發行程序原則上與現行無實體債券一致</w:t>
      </w:r>
    </w:p>
    <w:p>
      <w:pPr>
        <w:pStyle w:val="Compact"/>
        <w:numPr>
          <w:ilvl w:val="0"/>
          <w:numId w:val="1018"/>
        </w:numPr>
      </w:pPr>
      <w:r>
        <w:rPr>
          <w:rFonts w:hint="eastAsia"/>
        </w:rPr>
        <w:t xml:space="preserve">發行日由集保依櫃買掛牌公告將</w:t>
      </w:r>
      <w:r>
        <w:t xml:space="preserve"> Bond Token Mint </w:t>
      </w:r>
      <w:r>
        <w:rPr>
          <w:rFonts w:hint="eastAsia"/>
        </w:rPr>
        <w:t xml:space="preserve">至發行人</w:t>
      </w:r>
      <w:r>
        <w:t xml:space="preserve"> </w:t>
      </w:r>
      <w:r>
        <w:rPr>
          <w:rFonts w:hint="eastAsia"/>
        </w:rPr>
        <w:t xml:space="preserve">Wallet，再依投資人集保帳號</w:t>
      </w:r>
      <w:r>
        <w:t xml:space="preserve"> Mapping </w:t>
      </w:r>
      <w:r>
        <w:rPr>
          <w:rFonts w:hint="eastAsia"/>
        </w:rPr>
        <w:t xml:space="preserve">至對應參加人</w:t>
      </w:r>
      <w:r>
        <w:t xml:space="preserve"> Wallet</w:t>
      </w:r>
    </w:p>
    <w:p>
      <w:pPr>
        <w:pStyle w:val="Compact"/>
        <w:numPr>
          <w:ilvl w:val="1"/>
          <w:numId w:val="1020"/>
        </w:numPr>
      </w:pPr>
      <w:r>
        <w:rPr>
          <w:rFonts w:hint="eastAsia"/>
        </w:rPr>
        <w:t xml:space="preserve">發行人或股代輸入投資人集保帳號及交付數量</w:t>
      </w:r>
    </w:p>
    <w:p>
      <w:pPr>
        <w:pStyle w:val="Compact"/>
        <w:numPr>
          <w:ilvl w:val="1"/>
          <w:numId w:val="1020"/>
        </w:numPr>
      </w:pPr>
      <w:r>
        <w:rPr>
          <w:rFonts w:hint="eastAsia"/>
        </w:rPr>
        <w:t xml:space="preserve">發行人完成</w:t>
      </w:r>
      <w:r>
        <w:t xml:space="preserve"> Delivery Instruction </w:t>
      </w:r>
      <w:r>
        <w:rPr>
          <w:rFonts w:hint="eastAsia"/>
        </w:rPr>
        <w:t xml:space="preserve">及</w:t>
      </w:r>
      <w:r>
        <w:t xml:space="preserve"> Private Key Signature </w:t>
      </w:r>
      <w:r>
        <w:rPr>
          <w:rFonts w:hint="eastAsia"/>
        </w:rPr>
        <w:t xml:space="preserve">後執行</w:t>
      </w:r>
      <w:r>
        <w:t xml:space="preserve"> Token Transfer</w:t>
      </w:r>
    </w:p>
    <w:p>
      <w:pPr>
        <w:pStyle w:val="Compact"/>
        <w:numPr>
          <w:ilvl w:val="0"/>
          <w:numId w:val="1018"/>
        </w:numPr>
      </w:pPr>
      <w:r>
        <w:rPr>
          <w:rFonts w:hint="eastAsia"/>
        </w:rPr>
        <w:t xml:space="preserve">發行交割可採</w:t>
      </w:r>
      <w:r>
        <w:t xml:space="preserve"> FOP </w:t>
      </w:r>
      <w:r>
        <w:rPr>
          <w:rFonts w:hint="eastAsia"/>
        </w:rPr>
        <w:t xml:space="preserve">或</w:t>
      </w:r>
      <w:r>
        <w:t xml:space="preserve"> </w:t>
      </w:r>
      <w:r>
        <w:rPr>
          <w:rFonts w:hint="eastAsia"/>
        </w:rPr>
        <w:t xml:space="preserve">DVP，兩者主要差異在於是否同步導入</w:t>
      </w:r>
      <w:r>
        <w:t xml:space="preserve"> Cash Token</w:t>
      </w:r>
    </w:p>
    <w:p>
      <w:pPr>
        <w:pStyle w:val="Compact"/>
        <w:numPr>
          <w:ilvl w:val="1"/>
          <w:numId w:val="1021"/>
        </w:numPr>
      </w:pPr>
      <w:r>
        <w:t xml:space="preserve">FOP </w:t>
      </w:r>
      <w:r>
        <w:rPr>
          <w:rFonts w:hint="eastAsia"/>
        </w:rPr>
        <w:t xml:space="preserve">由發行人自行確認法幣已收足後，再送出</w:t>
      </w:r>
      <w:r>
        <w:t xml:space="preserve"> Bond Token Delivery Instruction</w:t>
      </w:r>
    </w:p>
    <w:p>
      <w:pPr>
        <w:pStyle w:val="Compact"/>
        <w:numPr>
          <w:ilvl w:val="1"/>
          <w:numId w:val="1021"/>
        </w:numPr>
      </w:pPr>
      <w:r>
        <w:t xml:space="preserve">DVP </w:t>
      </w:r>
      <w:r>
        <w:rPr>
          <w:rFonts w:hint="eastAsia"/>
        </w:rPr>
        <w:t xml:space="preserve">則待發行人及投資人雙方指令完成後，由平台確認款券足額並同步交割</w:t>
      </w:r>
    </w:p>
    <w:p>
      <w:pPr>
        <w:pStyle w:val="Compact"/>
        <w:numPr>
          <w:ilvl w:val="0"/>
          <w:numId w:val="1018"/>
        </w:numPr>
      </w:pPr>
      <w:r>
        <w:rPr>
          <w:rFonts w:hint="eastAsia"/>
        </w:rPr>
        <w:t xml:space="preserve">發行人不一定需要自行建置</w:t>
      </w:r>
      <w:r>
        <w:t xml:space="preserve"> Wallet </w:t>
      </w:r>
      <w:r>
        <w:rPr>
          <w:rFonts w:hint="eastAsia"/>
        </w:rPr>
        <w:t xml:space="preserve">或</w:t>
      </w:r>
      <w:r>
        <w:t xml:space="preserve"> Private Key </w:t>
      </w:r>
      <w:r>
        <w:rPr>
          <w:rFonts w:hint="eastAsia"/>
        </w:rPr>
        <w:t xml:space="preserve">Infrastructure，可完整委託股代處理鏈上作業</w:t>
      </w:r>
    </w:p>
    <w:p>
      <w:pPr>
        <w:pStyle w:val="Compact"/>
        <w:numPr>
          <w:ilvl w:val="1"/>
          <w:numId w:val="1022"/>
        </w:numPr>
      </w:pPr>
      <w:r>
        <w:rPr>
          <w:rFonts w:hint="eastAsia"/>
        </w:rPr>
        <w:t xml:space="preserve">股代可代理</w:t>
      </w:r>
      <w:r>
        <w:t xml:space="preserve"> Platform Application、Wallet Binding、Delivery Information、Delivery Instruction </w:t>
      </w:r>
      <w:r>
        <w:rPr>
          <w:rFonts w:hint="eastAsia"/>
        </w:rPr>
        <w:t xml:space="preserve">及</w:t>
      </w:r>
      <w:r>
        <w:t xml:space="preserve"> Signature</w:t>
      </w:r>
    </w:p>
    <w:p>
      <w:pPr>
        <w:pStyle w:val="Compact"/>
        <w:numPr>
          <w:ilvl w:val="1"/>
          <w:numId w:val="1022"/>
        </w:numPr>
      </w:pPr>
      <w:r>
        <w:rPr>
          <w:rFonts w:hint="eastAsia"/>
        </w:rPr>
        <w:t xml:space="preserve">股代若代理多家</w:t>
      </w:r>
      <w:r>
        <w:t xml:space="preserve"> </w:t>
      </w:r>
      <w:r>
        <w:rPr>
          <w:rFonts w:hint="eastAsia"/>
        </w:rPr>
        <w:t xml:space="preserve">Issuer，每家</w:t>
      </w:r>
      <w:r>
        <w:t xml:space="preserve"> Issuer </w:t>
      </w:r>
      <w:r>
        <w:rPr>
          <w:rFonts w:hint="eastAsia"/>
        </w:rPr>
        <w:t xml:space="preserve">仍需建立獨立</w:t>
      </w:r>
      <w:r>
        <w:t xml:space="preserve"> Wallet </w:t>
      </w:r>
      <w:r>
        <w:rPr>
          <w:rFonts w:hint="eastAsia"/>
        </w:rPr>
        <w:t xml:space="preserve">及</w:t>
      </w:r>
      <w:r>
        <w:t xml:space="preserve"> Private Key</w:t>
      </w:r>
    </w:p>
    <w:p>
      <w:pPr>
        <w:pStyle w:val="FirstParagraph"/>
      </w:pPr>
      <w:r>
        <w:rPr>
          <w:rFonts w:hint="eastAsia"/>
          <w:b/>
          <w:bCs/>
        </w:rPr>
        <w:t xml:space="preserve">次級市場初期仍沿用現有</w:t>
      </w:r>
      <w:r>
        <w:rPr>
          <w:b/>
          <w:bCs/>
        </w:rPr>
        <w:t xml:space="preserve"> OTC </w:t>
      </w:r>
      <w:r>
        <w:rPr>
          <w:rFonts w:hint="eastAsia"/>
          <w:b/>
          <w:bCs/>
        </w:rPr>
        <w:t xml:space="preserve">議價交易模式，RWA</w:t>
      </w:r>
      <w:r>
        <w:rPr>
          <w:b/>
          <w:bCs/>
        </w:rPr>
        <w:t xml:space="preserve"> Platform </w:t>
      </w:r>
      <w:r>
        <w:rPr>
          <w:rFonts w:hint="eastAsia"/>
          <w:b/>
          <w:bCs/>
        </w:rPr>
        <w:t xml:space="preserve">的主要改變集中在交易完成後的鏈上</w:t>
      </w:r>
      <w:r>
        <w:rPr>
          <w:b/>
          <w:bCs/>
        </w:rPr>
        <w:t xml:space="preserve"> Settlement</w:t>
      </w:r>
    </w:p>
    <w:p>
      <w:pPr>
        <w:pStyle w:val="Compact"/>
        <w:numPr>
          <w:ilvl w:val="0"/>
          <w:numId w:val="1023"/>
        </w:numPr>
      </w:pPr>
      <w:r>
        <w:rPr>
          <w:rFonts w:hint="eastAsia"/>
        </w:rPr>
        <w:t xml:space="preserve">次級市場首階段僅提供營業處所買賣斷，交易仍於現有市場完成議價並依</w:t>
      </w:r>
      <w:r>
        <w:t xml:space="preserve"> T+2 </w:t>
      </w:r>
      <w:r>
        <w:rPr>
          <w:rFonts w:hint="eastAsia"/>
        </w:rPr>
        <w:t xml:space="preserve">規則辦理交割</w:t>
      </w:r>
    </w:p>
    <w:p>
      <w:pPr>
        <w:pStyle w:val="Compact"/>
        <w:numPr>
          <w:ilvl w:val="1"/>
          <w:numId w:val="1024"/>
        </w:numPr>
      </w:pPr>
      <w:r>
        <w:t xml:space="preserve">RWA Platform </w:t>
      </w:r>
      <w:r>
        <w:rPr>
          <w:rFonts w:hint="eastAsia"/>
        </w:rPr>
        <w:t xml:space="preserve">初期不負責</w:t>
      </w:r>
      <w:r>
        <w:t xml:space="preserve"> Price Discovery </w:t>
      </w:r>
      <w:r>
        <w:rPr>
          <w:rFonts w:hint="eastAsia"/>
        </w:rPr>
        <w:t xml:space="preserve">或</w:t>
      </w:r>
      <w:r>
        <w:t xml:space="preserve"> Matching</w:t>
      </w:r>
    </w:p>
    <w:p>
      <w:pPr>
        <w:pStyle w:val="Compact"/>
        <w:numPr>
          <w:ilvl w:val="1"/>
          <w:numId w:val="1024"/>
        </w:numPr>
      </w:pPr>
      <w:r>
        <w:t xml:space="preserve">Dealer、Broker </w:t>
      </w:r>
      <w:r>
        <w:rPr>
          <w:rFonts w:hint="eastAsia"/>
        </w:rPr>
        <w:t xml:space="preserve">及底層法人仍沿用現有市場角色</w:t>
      </w:r>
    </w:p>
    <w:p>
      <w:pPr>
        <w:pStyle w:val="Compact"/>
        <w:numPr>
          <w:ilvl w:val="0"/>
          <w:numId w:val="1023"/>
        </w:numPr>
      </w:pPr>
      <w:r>
        <w:t xml:space="preserve">Dealer </w:t>
      </w:r>
      <w:r>
        <w:rPr>
          <w:rFonts w:hint="eastAsia"/>
        </w:rPr>
        <w:t xml:space="preserve">間的</w:t>
      </w:r>
      <w:r>
        <w:t xml:space="preserve"> B2B DVP </w:t>
      </w:r>
      <w:r>
        <w:rPr>
          <w:rFonts w:hint="eastAsia"/>
        </w:rPr>
        <w:t xml:space="preserve">由買賣雙方各自輸入交割指令，再由平台完成</w:t>
      </w:r>
      <w:r>
        <w:t xml:space="preserve"> </w:t>
      </w:r>
      <w:r>
        <w:rPr>
          <w:rFonts w:hint="eastAsia"/>
        </w:rPr>
        <w:t xml:space="preserve">Matching、足額檢核及同步交割</w:t>
      </w:r>
    </w:p>
    <w:p>
      <w:pPr>
        <w:pStyle w:val="Compact"/>
        <w:numPr>
          <w:ilvl w:val="1"/>
          <w:numId w:val="1025"/>
        </w:numPr>
      </w:pPr>
      <w:r>
        <w:rPr>
          <w:rFonts w:hint="eastAsia"/>
        </w:rPr>
        <w:t xml:space="preserve">雙方皆直接以參加人</w:t>
      </w:r>
      <w:r>
        <w:t xml:space="preserve"> Wallet </w:t>
      </w:r>
      <w:r>
        <w:rPr>
          <w:rFonts w:hint="eastAsia"/>
        </w:rPr>
        <w:t xml:space="preserve">進行</w:t>
      </w:r>
      <w:r>
        <w:t xml:space="preserve"> Bond Token </w:t>
      </w:r>
      <w:r>
        <w:rPr>
          <w:rFonts w:hint="eastAsia"/>
        </w:rPr>
        <w:t xml:space="preserve">及</w:t>
      </w:r>
      <w:r>
        <w:t xml:space="preserve"> Cash Token Settlement</w:t>
      </w:r>
    </w:p>
    <w:p>
      <w:pPr>
        <w:pStyle w:val="Compact"/>
        <w:numPr>
          <w:ilvl w:val="0"/>
          <w:numId w:val="1023"/>
        </w:numPr>
      </w:pPr>
      <w:r>
        <w:t xml:space="preserve">Dealer </w:t>
      </w:r>
      <w:r>
        <w:rPr>
          <w:rFonts w:hint="eastAsia"/>
        </w:rPr>
        <w:t xml:space="preserve">與法人客戶間的</w:t>
      </w:r>
      <w:r>
        <w:t xml:space="preserve"> B2C DVP </w:t>
      </w:r>
      <w:r>
        <w:rPr>
          <w:rFonts w:hint="eastAsia"/>
        </w:rPr>
        <w:t xml:space="preserve">則由</w:t>
      </w:r>
      <w:r>
        <w:t xml:space="preserve"> Broker </w:t>
      </w:r>
      <w:r>
        <w:rPr>
          <w:rFonts w:hint="eastAsia"/>
        </w:rPr>
        <w:t xml:space="preserve">代表底層投資人完成鏈上確認</w:t>
      </w:r>
    </w:p>
    <w:p>
      <w:pPr>
        <w:pStyle w:val="Compact"/>
        <w:numPr>
          <w:ilvl w:val="1"/>
          <w:numId w:val="1026"/>
        </w:numPr>
      </w:pPr>
      <w:r>
        <w:t xml:space="preserve">Broker </w:t>
      </w:r>
      <w:r>
        <w:rPr>
          <w:rFonts w:hint="eastAsia"/>
        </w:rPr>
        <w:t xml:space="preserve">先確認投資人款項已透過分戶帳或指定帳戶收足</w:t>
      </w:r>
    </w:p>
    <w:p>
      <w:pPr>
        <w:pStyle w:val="Compact"/>
        <w:numPr>
          <w:ilvl w:val="1"/>
          <w:numId w:val="1026"/>
        </w:numPr>
      </w:pPr>
      <w:r>
        <w:t xml:space="preserve">Broker </w:t>
      </w:r>
      <w:r>
        <w:rPr>
          <w:rFonts w:hint="eastAsia"/>
        </w:rPr>
        <w:t xml:space="preserve">再於</w:t>
      </w:r>
      <w:r>
        <w:t xml:space="preserve"> RWA Platform </w:t>
      </w:r>
      <w:r>
        <w:rPr>
          <w:rFonts w:hint="eastAsia"/>
        </w:rPr>
        <w:t xml:space="preserve">代客戶確認，底層投資人本身不需操作</w:t>
      </w:r>
      <w:r>
        <w:t xml:space="preserve"> Wallet</w:t>
      </w:r>
    </w:p>
    <w:p>
      <w:pPr>
        <w:pStyle w:val="Compact"/>
        <w:numPr>
          <w:ilvl w:val="1"/>
          <w:numId w:val="1026"/>
        </w:numPr>
      </w:pPr>
      <w:r>
        <w:rPr>
          <w:rFonts w:hint="eastAsia"/>
        </w:rPr>
        <w:t xml:space="preserve">投資人賣出後，Broker</w:t>
      </w:r>
      <w:r>
        <w:t xml:space="preserve"> </w:t>
      </w:r>
      <w:r>
        <w:rPr>
          <w:rFonts w:hint="eastAsia"/>
        </w:rPr>
        <w:t xml:space="preserve">收取</w:t>
      </w:r>
      <w:r>
        <w:t xml:space="preserve"> Deposit Token </w:t>
      </w:r>
      <w:r>
        <w:rPr>
          <w:rFonts w:hint="eastAsia"/>
        </w:rPr>
        <w:t xml:space="preserve">並轉換為法幣匯回指定銀行帳戶</w:t>
      </w:r>
    </w:p>
    <w:p>
      <w:pPr>
        <w:pStyle w:val="FirstParagraph"/>
      </w:pPr>
      <w:r>
        <w:rPr>
          <w:rFonts w:hint="eastAsia"/>
          <w:b/>
          <w:bCs/>
        </w:rPr>
        <w:t xml:space="preserve">證券商無法自行持有</w:t>
      </w:r>
      <w:r>
        <w:rPr>
          <w:b/>
          <w:bCs/>
        </w:rPr>
        <w:t xml:space="preserve"> Cash </w:t>
      </w:r>
      <w:r>
        <w:rPr>
          <w:rFonts w:hint="eastAsia"/>
          <w:b/>
          <w:bCs/>
        </w:rPr>
        <w:t xml:space="preserve">Token，使</w:t>
      </w:r>
      <w:r>
        <w:rPr>
          <w:b/>
          <w:bCs/>
        </w:rPr>
        <w:t xml:space="preserve"> Settlement Bank </w:t>
      </w:r>
      <w:r>
        <w:rPr>
          <w:rFonts w:hint="eastAsia"/>
          <w:b/>
          <w:bCs/>
        </w:rPr>
        <w:t xml:space="preserve">成為</w:t>
      </w:r>
      <w:r>
        <w:rPr>
          <w:b/>
          <w:bCs/>
        </w:rPr>
        <w:t xml:space="preserve"> RWA DVP </w:t>
      </w:r>
      <w:r>
        <w:rPr>
          <w:rFonts w:hint="eastAsia"/>
          <w:b/>
          <w:bCs/>
        </w:rPr>
        <w:t xml:space="preserve">必要角色，銀行亦可能進一步延伸至</w:t>
      </w:r>
      <w:r>
        <w:rPr>
          <w:b/>
          <w:bCs/>
        </w:rPr>
        <w:t xml:space="preserve"> Private Key Custody</w:t>
      </w:r>
    </w:p>
    <w:p>
      <w:pPr>
        <w:pStyle w:val="Compact"/>
        <w:numPr>
          <w:ilvl w:val="0"/>
          <w:numId w:val="1027"/>
        </w:numPr>
      </w:pPr>
      <w:r>
        <w:rPr>
          <w:rFonts w:hint="eastAsia"/>
        </w:rPr>
        <w:t xml:space="preserve">證券商除自行建立</w:t>
      </w:r>
      <w:r>
        <w:t xml:space="preserve"> Bond Token Wallet </w:t>
      </w:r>
      <w:r>
        <w:rPr>
          <w:rFonts w:hint="eastAsia"/>
        </w:rPr>
        <w:t xml:space="preserve">外，款項</w:t>
      </w:r>
      <w:r>
        <w:t xml:space="preserve"> Token Wallet </w:t>
      </w:r>
      <w:r>
        <w:rPr>
          <w:rFonts w:hint="eastAsia"/>
        </w:rPr>
        <w:t xml:space="preserve">必須透過往來或交割銀行於銀行體系下開立</w:t>
      </w:r>
    </w:p>
    <w:p>
      <w:pPr>
        <w:pStyle w:val="Compact"/>
        <w:numPr>
          <w:ilvl w:val="1"/>
          <w:numId w:val="1028"/>
        </w:numPr>
      </w:pPr>
      <w:r>
        <w:rPr>
          <w:rFonts w:hint="eastAsia"/>
        </w:rPr>
        <w:t xml:space="preserve">證券商發送交割指令後，銀行需配合回覆及執行款項相關作業</w:t>
      </w:r>
    </w:p>
    <w:p>
      <w:pPr>
        <w:pStyle w:val="Compact"/>
        <w:numPr>
          <w:ilvl w:val="1"/>
          <w:numId w:val="1028"/>
        </w:numPr>
      </w:pPr>
      <w:r>
        <w:rPr>
          <w:rFonts w:hint="eastAsia"/>
        </w:rPr>
        <w:t xml:space="preserve">銀行因此成為證券商參與</w:t>
      </w:r>
      <w:r>
        <w:t xml:space="preserve"> DVP </w:t>
      </w:r>
      <w:r>
        <w:rPr>
          <w:rFonts w:hint="eastAsia"/>
        </w:rPr>
        <w:t xml:space="preserve">的必要基礎設施提供者</w:t>
      </w:r>
    </w:p>
    <w:p>
      <w:pPr>
        <w:pStyle w:val="Compact"/>
        <w:numPr>
          <w:ilvl w:val="0"/>
          <w:numId w:val="1027"/>
        </w:numPr>
      </w:pPr>
      <w:r>
        <w:rPr>
          <w:rFonts w:hint="eastAsia"/>
        </w:rPr>
        <w:t xml:space="preserve">財金公司目前規劃兩種</w:t>
      </w:r>
      <w:r>
        <w:t xml:space="preserve"> Cash Token Private Key </w:t>
      </w:r>
      <w:r>
        <w:rPr>
          <w:rFonts w:hint="eastAsia"/>
        </w:rPr>
        <w:t xml:space="preserve">模式，最終架構仍待確認</w:t>
      </w:r>
    </w:p>
    <w:p>
      <w:pPr>
        <w:pStyle w:val="Compact"/>
        <w:numPr>
          <w:ilvl w:val="1"/>
          <w:numId w:val="1029"/>
        </w:numPr>
      </w:pPr>
      <w:r>
        <w:rPr>
          <w:rFonts w:hint="eastAsia"/>
        </w:rPr>
        <w:t xml:space="preserve">參加人自行管理</w:t>
      </w:r>
      <w:r>
        <w:t xml:space="preserve"> Private Key </w:t>
      </w:r>
      <w:r>
        <w:rPr>
          <w:rFonts w:hint="eastAsia"/>
        </w:rPr>
        <w:t xml:space="preserve">並完成</w:t>
      </w:r>
      <w:r>
        <w:t xml:space="preserve"> Signature</w:t>
      </w:r>
    </w:p>
    <w:p>
      <w:pPr>
        <w:pStyle w:val="Compact"/>
        <w:numPr>
          <w:ilvl w:val="1"/>
          <w:numId w:val="1029"/>
        </w:numPr>
      </w:pPr>
      <w:r>
        <w:rPr>
          <w:rFonts w:hint="eastAsia"/>
        </w:rPr>
        <w:t xml:space="preserve">由</w:t>
      </w:r>
      <w:r>
        <w:t xml:space="preserve"> Settlement Bank </w:t>
      </w:r>
      <w:r>
        <w:rPr>
          <w:rFonts w:hint="eastAsia"/>
        </w:rPr>
        <w:t xml:space="preserve">統一保管</w:t>
      </w:r>
      <w:r>
        <w:t xml:space="preserve"> Private Key </w:t>
      </w:r>
      <w:r>
        <w:rPr>
          <w:rFonts w:hint="eastAsia"/>
        </w:rPr>
        <w:t xml:space="preserve">並代為完成</w:t>
      </w:r>
      <w:r>
        <w:t xml:space="preserve"> Signature</w:t>
      </w:r>
    </w:p>
    <w:p>
      <w:pPr>
        <w:pStyle w:val="Compact"/>
        <w:numPr>
          <w:ilvl w:val="0"/>
          <w:numId w:val="1027"/>
        </w:numPr>
      </w:pPr>
      <w:r>
        <w:rPr>
          <w:rFonts w:hint="eastAsia"/>
        </w:rPr>
        <w:t xml:space="preserve">銀行若進一步提供</w:t>
      </w:r>
      <w:r>
        <w:t xml:space="preserve"> Private Key </w:t>
      </w:r>
      <w:r>
        <w:rPr>
          <w:rFonts w:hint="eastAsia"/>
        </w:rPr>
        <w:t xml:space="preserve">Custody，可讓證券、自營及股代等單位降低各自重複建置的需求</w:t>
      </w:r>
    </w:p>
    <w:p>
      <w:pPr>
        <w:pStyle w:val="Compact"/>
        <w:numPr>
          <w:ilvl w:val="1"/>
          <w:numId w:val="1030"/>
        </w:numPr>
      </w:pPr>
      <w:r>
        <w:t xml:space="preserve">Token </w:t>
      </w:r>
      <w:r>
        <w:rPr>
          <w:rFonts w:hint="eastAsia"/>
        </w:rPr>
        <w:t xml:space="preserve">本身仍存在</w:t>
      </w:r>
      <w:r>
        <w:t xml:space="preserve"> Blockchain Wallet </w:t>
      </w:r>
      <w:r>
        <w:rPr>
          <w:rFonts w:hint="eastAsia"/>
        </w:rPr>
        <w:t xml:space="preserve">中</w:t>
      </w:r>
    </w:p>
    <w:p>
      <w:pPr>
        <w:pStyle w:val="Compact"/>
        <w:numPr>
          <w:ilvl w:val="1"/>
          <w:numId w:val="1030"/>
        </w:numPr>
      </w:pPr>
      <w:r>
        <w:t xml:space="preserve">Custodian </w:t>
      </w:r>
      <w:r>
        <w:rPr>
          <w:rFonts w:hint="eastAsia"/>
        </w:rPr>
        <w:t xml:space="preserve">實際保管的是</w:t>
      </w:r>
      <w:r>
        <w:t xml:space="preserve"> Private </w:t>
      </w:r>
      <w:r>
        <w:rPr>
          <w:rFonts w:hint="eastAsia"/>
        </w:rPr>
        <w:t xml:space="preserve">Key，而非實質持有</w:t>
      </w:r>
      <w:r>
        <w:t xml:space="preserve"> Token</w:t>
      </w:r>
    </w:p>
    <w:p>
      <w:pPr>
        <w:pStyle w:val="FirstParagraph"/>
      </w:pPr>
      <w:r>
        <w:rPr>
          <w:b/>
          <w:bCs/>
        </w:rPr>
        <w:t xml:space="preserve">Private Key </w:t>
      </w:r>
      <w:r>
        <w:rPr>
          <w:rFonts w:hint="eastAsia"/>
          <w:b/>
          <w:bCs/>
        </w:rPr>
        <w:t xml:space="preserve">可由參加機構自行建置或委託第三方專業機構保管，兩種模式的差異主要在系統建置及作業責任</w:t>
      </w:r>
    </w:p>
    <w:p>
      <w:pPr>
        <w:pStyle w:val="Compact"/>
        <w:numPr>
          <w:ilvl w:val="0"/>
          <w:numId w:val="1031"/>
        </w:numPr>
      </w:pPr>
      <w:r>
        <w:rPr>
          <w:rFonts w:hint="eastAsia"/>
        </w:rPr>
        <w:t xml:space="preserve">採</w:t>
      </w:r>
      <w:r>
        <w:t xml:space="preserve"> Self-custody </w:t>
      </w:r>
      <w:r>
        <w:rPr>
          <w:rFonts w:hint="eastAsia"/>
        </w:rPr>
        <w:t xml:space="preserve">的參加人需自行建立完整的</w:t>
      </w:r>
      <w:r>
        <w:t xml:space="preserve"> Key Management </w:t>
      </w:r>
      <w:r>
        <w:rPr>
          <w:rFonts w:hint="eastAsia"/>
        </w:rPr>
        <w:t xml:space="preserve">及</w:t>
      </w:r>
      <w:r>
        <w:t xml:space="preserve"> Signature Capability</w:t>
      </w:r>
    </w:p>
    <w:p>
      <w:pPr>
        <w:pStyle w:val="Compact"/>
        <w:numPr>
          <w:ilvl w:val="1"/>
          <w:numId w:val="1032"/>
        </w:numPr>
      </w:pPr>
      <w:r>
        <w:rPr>
          <w:rFonts w:hint="eastAsia"/>
        </w:rPr>
        <w:t xml:space="preserve">包含</w:t>
      </w:r>
      <w:r>
        <w:t xml:space="preserve"> Private Key、Public Key </w:t>
      </w:r>
      <w:r>
        <w:rPr>
          <w:rFonts w:hint="eastAsia"/>
        </w:rPr>
        <w:t xml:space="preserve">及</w:t>
      </w:r>
      <w:r>
        <w:t xml:space="preserve"> Wallet Address </w:t>
      </w:r>
      <w:r>
        <w:rPr>
          <w:rFonts w:hint="eastAsia"/>
        </w:rPr>
        <w:t xml:space="preserve">產製</w:t>
      </w:r>
    </w:p>
    <w:p>
      <w:pPr>
        <w:pStyle w:val="Compact"/>
        <w:numPr>
          <w:ilvl w:val="1"/>
          <w:numId w:val="1032"/>
        </w:numPr>
      </w:pPr>
      <w:r>
        <w:rPr>
          <w:rFonts w:hint="eastAsia"/>
        </w:rPr>
        <w:t xml:space="preserve">建置</w:t>
      </w:r>
      <w:r>
        <w:t xml:space="preserve"> Signature Module</w:t>
      </w:r>
    </w:p>
    <w:p>
      <w:pPr>
        <w:pStyle w:val="Compact"/>
        <w:numPr>
          <w:ilvl w:val="1"/>
          <w:numId w:val="1032"/>
        </w:numPr>
      </w:pPr>
      <w:r>
        <w:rPr>
          <w:rFonts w:hint="eastAsia"/>
        </w:rPr>
        <w:t xml:space="preserve">透過</w:t>
      </w:r>
      <w:r>
        <w:t xml:space="preserve"> API </w:t>
      </w:r>
      <w:r>
        <w:rPr>
          <w:rFonts w:hint="eastAsia"/>
        </w:rPr>
        <w:t xml:space="preserve">傳送部位移轉及</w:t>
      </w:r>
      <w:r>
        <w:t xml:space="preserve"> Settlement Instruction</w:t>
      </w:r>
    </w:p>
    <w:p>
      <w:pPr>
        <w:pStyle w:val="Compact"/>
        <w:numPr>
          <w:ilvl w:val="0"/>
          <w:numId w:val="1031"/>
        </w:numPr>
      </w:pPr>
      <w:r>
        <w:rPr>
          <w:rFonts w:hint="eastAsia"/>
        </w:rPr>
        <w:t xml:space="preserve">採</w:t>
      </w:r>
      <w:r>
        <w:t xml:space="preserve"> Third-party Custody </w:t>
      </w:r>
      <w:r>
        <w:rPr>
          <w:rFonts w:hint="eastAsia"/>
        </w:rPr>
        <w:t xml:space="preserve">則由合資格第三方機構提供</w:t>
      </w:r>
      <w:r>
        <w:t xml:space="preserve"> Private Key </w:t>
      </w:r>
      <w:r>
        <w:rPr>
          <w:rFonts w:hint="eastAsia"/>
        </w:rPr>
        <w:t xml:space="preserve">保管及</w:t>
      </w:r>
      <w:r>
        <w:t xml:space="preserve"> Transaction Signing Service</w:t>
      </w:r>
    </w:p>
    <w:p>
      <w:pPr>
        <w:pStyle w:val="Compact"/>
        <w:numPr>
          <w:ilvl w:val="1"/>
          <w:numId w:val="1033"/>
        </w:numPr>
      </w:pPr>
      <w:r>
        <w:rPr>
          <w:rFonts w:hint="eastAsia"/>
        </w:rPr>
        <w:t xml:space="preserve">第三方</w:t>
      </w:r>
      <w:r>
        <w:t xml:space="preserve"> Custodian </w:t>
      </w:r>
      <w:r>
        <w:rPr>
          <w:rFonts w:hint="eastAsia"/>
        </w:rPr>
        <w:t xml:space="preserve">可提供</w:t>
      </w:r>
      <w:r>
        <w:t xml:space="preserve"> Key、Address </w:t>
      </w:r>
      <w:r>
        <w:rPr>
          <w:rFonts w:hint="eastAsia"/>
        </w:rPr>
        <w:t xml:space="preserve">及</w:t>
      </w:r>
      <w:r>
        <w:t xml:space="preserve"> Signature </w:t>
      </w:r>
      <w:r>
        <w:rPr>
          <w:rFonts w:hint="eastAsia"/>
        </w:rPr>
        <w:t xml:space="preserve">等相關服務</w:t>
      </w:r>
    </w:p>
    <w:p>
      <w:pPr>
        <w:pStyle w:val="Compact"/>
        <w:numPr>
          <w:ilvl w:val="1"/>
          <w:numId w:val="1033"/>
        </w:numPr>
      </w:pPr>
      <w:r>
        <w:t xml:space="preserve">RWA Platform </w:t>
      </w:r>
      <w:r>
        <w:rPr>
          <w:rFonts w:hint="eastAsia"/>
        </w:rPr>
        <w:t xml:space="preserve">可透過</w:t>
      </w:r>
      <w:r>
        <w:t xml:space="preserve"> API </w:t>
      </w:r>
      <w:r>
        <w:rPr>
          <w:rFonts w:hint="eastAsia"/>
        </w:rPr>
        <w:t xml:space="preserve">呼叫第三方完成簽章</w:t>
      </w:r>
    </w:p>
    <w:p>
      <w:pPr>
        <w:pStyle w:val="Compact"/>
        <w:numPr>
          <w:ilvl w:val="0"/>
          <w:numId w:val="1031"/>
        </w:numPr>
      </w:pPr>
      <w:r>
        <w:rPr>
          <w:rFonts w:hint="eastAsia"/>
        </w:rPr>
        <w:t xml:space="preserve">若參加機構不希望自行開發</w:t>
      </w:r>
      <w:r>
        <w:t xml:space="preserve"> </w:t>
      </w:r>
      <w:r>
        <w:rPr>
          <w:rFonts w:hint="eastAsia"/>
        </w:rPr>
        <w:t xml:space="preserve">API，集保亦研議提供</w:t>
      </w:r>
      <w:r>
        <w:t xml:space="preserve"> Web Interface </w:t>
      </w:r>
      <w:r>
        <w:rPr>
          <w:rFonts w:hint="eastAsia"/>
        </w:rPr>
        <w:t xml:space="preserve">供較簡易的操作模式</w:t>
      </w:r>
    </w:p>
    <w:p>
      <w:pPr>
        <w:pStyle w:val="FirstParagraph"/>
      </w:pPr>
      <w:r>
        <w:rPr>
          <w:rFonts w:hint="eastAsia"/>
          <w:b/>
          <w:bCs/>
        </w:rPr>
        <w:t xml:space="preserve">虛實轉換及還本付息已盡量與現有集保制度銜接，但虛實轉換的部分法律效果仍待主管機關確認</w:t>
      </w:r>
    </w:p>
    <w:p>
      <w:pPr>
        <w:pStyle w:val="Compact"/>
        <w:numPr>
          <w:ilvl w:val="0"/>
          <w:numId w:val="1034"/>
        </w:numPr>
      </w:pPr>
      <w:r>
        <w:rPr>
          <w:rFonts w:hint="eastAsia"/>
        </w:rPr>
        <w:t xml:space="preserve">平台技術上規劃支援</w:t>
      </w:r>
      <w:r>
        <w:t xml:space="preserve"> On-chain Token </w:t>
      </w:r>
      <w:r>
        <w:rPr>
          <w:rFonts w:hint="eastAsia"/>
        </w:rPr>
        <w:t xml:space="preserve">與</w:t>
      </w:r>
      <w:r>
        <w:t xml:space="preserve"> Off-chain </w:t>
      </w:r>
      <w:r>
        <w:rPr>
          <w:rFonts w:hint="eastAsia"/>
        </w:rPr>
        <w:t xml:space="preserve">無實體債券雙向轉換，以增加未來市場流動性的彈性</w:t>
      </w:r>
    </w:p>
    <w:p>
      <w:pPr>
        <w:pStyle w:val="Compact"/>
        <w:numPr>
          <w:ilvl w:val="1"/>
          <w:numId w:val="1035"/>
        </w:numPr>
      </w:pPr>
      <w:r>
        <w:rPr>
          <w:rFonts w:hint="eastAsia"/>
        </w:rPr>
        <w:t xml:space="preserve">經紀商可協助客戶進行上下鏈</w:t>
      </w:r>
    </w:p>
    <w:p>
      <w:pPr>
        <w:pStyle w:val="Compact"/>
        <w:numPr>
          <w:ilvl w:val="1"/>
          <w:numId w:val="1035"/>
        </w:numPr>
      </w:pPr>
      <w:r>
        <w:rPr>
          <w:rFonts w:hint="eastAsia"/>
        </w:rPr>
        <w:t xml:space="preserve">平台以專戶控管</w:t>
      </w:r>
      <w:r>
        <w:t xml:space="preserve"> Token </w:t>
      </w:r>
      <w:r>
        <w:rPr>
          <w:rFonts w:hint="eastAsia"/>
        </w:rPr>
        <w:t xml:space="preserve">部位，再同步通知傳統存託系統調整相對應部位</w:t>
      </w:r>
    </w:p>
    <w:p>
      <w:pPr>
        <w:pStyle w:val="Compact"/>
        <w:numPr>
          <w:ilvl w:val="0"/>
          <w:numId w:val="1034"/>
        </w:numPr>
      </w:pPr>
      <w:r>
        <w:rPr>
          <w:rFonts w:hint="eastAsia"/>
        </w:rPr>
        <w:t xml:space="preserve">虛實轉換在系統面已有規劃，但原生發行債券轉為傳統部位時是否需取得</w:t>
      </w:r>
      <w:r>
        <w:t xml:space="preserve"> Issuer </w:t>
      </w:r>
      <w:r>
        <w:rPr>
          <w:rFonts w:hint="eastAsia"/>
        </w:rPr>
        <w:t xml:space="preserve">認可等法制問題仍在研議</w:t>
      </w:r>
    </w:p>
    <w:p>
      <w:pPr>
        <w:pStyle w:val="Compact"/>
        <w:numPr>
          <w:ilvl w:val="1"/>
          <w:numId w:val="1036"/>
        </w:numPr>
      </w:pPr>
      <w:r>
        <w:rPr>
          <w:rFonts w:hint="eastAsia"/>
        </w:rPr>
        <w:t xml:space="preserve">因此首階段仍以</w:t>
      </w:r>
      <w:r>
        <w:t xml:space="preserve"> Digital Native </w:t>
      </w:r>
      <w:r>
        <w:rPr>
          <w:rFonts w:hint="eastAsia"/>
        </w:rPr>
        <w:t xml:space="preserve">為主</w:t>
      </w:r>
    </w:p>
    <w:p>
      <w:pPr>
        <w:pStyle w:val="Compact"/>
        <w:numPr>
          <w:ilvl w:val="0"/>
          <w:numId w:val="1034"/>
        </w:numPr>
      </w:pPr>
      <w:r>
        <w:rPr>
          <w:rFonts w:hint="eastAsia"/>
        </w:rPr>
        <w:t xml:space="preserve">還本付息維持現行法幣模式，不因債券</w:t>
      </w:r>
      <w:r>
        <w:t xml:space="preserve"> Tokenization </w:t>
      </w:r>
      <w:r>
        <w:rPr>
          <w:rFonts w:hint="eastAsia"/>
        </w:rPr>
        <w:t xml:space="preserve">改以</w:t>
      </w:r>
      <w:r>
        <w:t xml:space="preserve"> Cash Token </w:t>
      </w:r>
      <w:r>
        <w:rPr>
          <w:rFonts w:hint="eastAsia"/>
        </w:rPr>
        <w:t xml:space="preserve">支付</w:t>
      </w:r>
    </w:p>
    <w:p>
      <w:pPr>
        <w:pStyle w:val="Compact"/>
        <w:numPr>
          <w:ilvl w:val="1"/>
          <w:numId w:val="1037"/>
        </w:numPr>
      </w:pPr>
      <w:r>
        <w:rPr>
          <w:rFonts w:hint="eastAsia"/>
        </w:rPr>
        <w:t xml:space="preserve">集保仍透過現有系統產製最終投資人名冊</w:t>
      </w:r>
    </w:p>
    <w:p>
      <w:pPr>
        <w:pStyle w:val="Compact"/>
        <w:numPr>
          <w:ilvl w:val="1"/>
          <w:numId w:val="1037"/>
        </w:numPr>
      </w:pPr>
      <w:r>
        <w:rPr>
          <w:rFonts w:hint="eastAsia"/>
        </w:rPr>
        <w:t xml:space="preserve">本息兌領機構依名冊以法幣支付</w:t>
      </w:r>
    </w:p>
    <w:p>
      <w:pPr>
        <w:pStyle w:val="Compact"/>
        <w:numPr>
          <w:ilvl w:val="1"/>
          <w:numId w:val="1037"/>
        </w:numPr>
      </w:pPr>
      <w:r>
        <w:rPr>
          <w:rFonts w:hint="eastAsia"/>
        </w:rPr>
        <w:t xml:space="preserve">債券到期後</w:t>
      </w:r>
      <w:r>
        <w:t xml:space="preserve"> Bond Token </w:t>
      </w:r>
      <w:r>
        <w:rPr>
          <w:rFonts w:hint="eastAsia"/>
        </w:rPr>
        <w:t xml:space="preserve">由系統自動註銷</w:t>
      </w:r>
    </w:p>
    <w:p>
      <w:pPr>
        <w:pStyle w:val="FirstParagraph"/>
      </w:pPr>
      <w:r>
        <w:rPr>
          <w:rFonts w:hint="eastAsia"/>
          <w:b/>
          <w:bCs/>
        </w:rPr>
        <w:t xml:space="preserve">櫃買目前優先邀請完整金控及已有</w:t>
      </w:r>
      <w:r>
        <w:rPr>
          <w:b/>
          <w:bCs/>
        </w:rPr>
        <w:t xml:space="preserve"> RWA </w:t>
      </w:r>
      <w:r>
        <w:rPr>
          <w:rFonts w:hint="eastAsia"/>
          <w:b/>
          <w:bCs/>
        </w:rPr>
        <w:t xml:space="preserve">經驗的證券商參與擬真交易，以降低單一機構跨角色協調及技術建置門檻</w:t>
      </w:r>
    </w:p>
    <w:p>
      <w:pPr>
        <w:pStyle w:val="Compact"/>
        <w:numPr>
          <w:ilvl w:val="0"/>
          <w:numId w:val="1038"/>
        </w:numPr>
      </w:pPr>
      <w:r>
        <w:rPr>
          <w:rFonts w:hint="eastAsia"/>
        </w:rPr>
        <w:t xml:space="preserve">完整金控因同時具備銀行、證券及金控角色，可於集團內形成較完整的</w:t>
      </w:r>
      <w:r>
        <w:t xml:space="preserve"> RWA Testing Ecosystem</w:t>
      </w:r>
    </w:p>
    <w:p>
      <w:pPr>
        <w:pStyle w:val="Compact"/>
        <w:numPr>
          <w:ilvl w:val="1"/>
          <w:numId w:val="1039"/>
        </w:numPr>
      </w:pPr>
      <w:r>
        <w:rPr>
          <w:rFonts w:hint="eastAsia"/>
        </w:rPr>
        <w:t xml:space="preserve">櫃買將凱基此類完整金控列為優先拜訪及邀請對象</w:t>
      </w:r>
    </w:p>
    <w:p>
      <w:pPr>
        <w:pStyle w:val="Compact"/>
        <w:numPr>
          <w:ilvl w:val="0"/>
          <w:numId w:val="1038"/>
        </w:numPr>
      </w:pPr>
      <w:r>
        <w:rPr>
          <w:rFonts w:hint="eastAsia"/>
        </w:rPr>
        <w:t xml:space="preserve">已參與黃金現貨</w:t>
      </w:r>
      <w:r>
        <w:t xml:space="preserve"> RWA </w:t>
      </w:r>
      <w:r>
        <w:rPr>
          <w:rFonts w:hint="eastAsia"/>
        </w:rPr>
        <w:t xml:space="preserve">的證券商亦為優先邀請對象，主因其已投入解決</w:t>
      </w:r>
      <w:r>
        <w:t xml:space="preserve"> Private Key Custody </w:t>
      </w:r>
      <w:r>
        <w:rPr>
          <w:rFonts w:hint="eastAsia"/>
        </w:rPr>
        <w:t xml:space="preserve">等核心技術門檻</w:t>
      </w:r>
    </w:p>
    <w:p>
      <w:pPr>
        <w:pStyle w:val="Compact"/>
        <w:numPr>
          <w:ilvl w:val="1"/>
          <w:numId w:val="1040"/>
        </w:numPr>
      </w:pPr>
      <w:r>
        <w:rPr>
          <w:rFonts w:hint="eastAsia"/>
        </w:rPr>
        <w:t xml:space="preserve">後續再參與</w:t>
      </w:r>
      <w:r>
        <w:t xml:space="preserve"> Bond RWA </w:t>
      </w:r>
      <w:r>
        <w:rPr>
          <w:rFonts w:hint="eastAsia"/>
        </w:rPr>
        <w:t xml:space="preserve">的</w:t>
      </w:r>
      <w:r>
        <w:t xml:space="preserve"> Incremental Cost </w:t>
      </w:r>
      <w:r>
        <w:rPr>
          <w:rFonts w:hint="eastAsia"/>
        </w:rPr>
        <w:t xml:space="preserve">相對較低</w:t>
      </w:r>
    </w:p>
    <w:p>
      <w:pPr>
        <w:pStyle w:val="Compact"/>
        <w:numPr>
          <w:ilvl w:val="0"/>
          <w:numId w:val="1038"/>
        </w:numPr>
      </w:pPr>
      <w:r>
        <w:rPr>
          <w:rFonts w:hint="eastAsia"/>
        </w:rPr>
        <w:t xml:space="preserve">壽險、票券公司及四大基金制度上均可參與，但擬真階段未要求完整</w:t>
      </w:r>
      <w:r>
        <w:t xml:space="preserve"> Investor Universe </w:t>
      </w:r>
      <w:r>
        <w:rPr>
          <w:rFonts w:hint="eastAsia"/>
        </w:rPr>
        <w:t xml:space="preserve">同步上線</w:t>
      </w:r>
    </w:p>
    <w:p>
      <w:pPr>
        <w:pStyle w:val="Compact"/>
        <w:numPr>
          <w:ilvl w:val="1"/>
          <w:numId w:val="1041"/>
        </w:numPr>
      </w:pPr>
      <w:r>
        <w:rPr>
          <w:rFonts w:hint="eastAsia"/>
        </w:rPr>
        <w:t xml:space="preserve">初期以金融機構直接完成測試為主</w:t>
      </w:r>
    </w:p>
    <w:p>
      <w:pPr>
        <w:pStyle w:val="Compact"/>
        <w:numPr>
          <w:ilvl w:val="1"/>
          <w:numId w:val="1041"/>
        </w:numPr>
      </w:pPr>
      <w:r>
        <w:rPr>
          <w:rFonts w:hint="eastAsia"/>
        </w:rPr>
        <w:t xml:space="preserve">正式上線後再逐步擴大投資人端參與</w:t>
      </w:r>
    </w:p>
    <w:p>
      <w:pPr>
        <w:pStyle w:val="FirstParagraph"/>
      </w:pPr>
      <w:r>
        <w:rPr>
          <w:rFonts w:hint="eastAsia"/>
          <w:b/>
          <w:bCs/>
        </w:rPr>
        <w:t xml:space="preserve">凱基具備多數</w:t>
      </w:r>
      <w:r>
        <w:rPr>
          <w:b/>
          <w:bCs/>
        </w:rPr>
        <w:t xml:space="preserve"> RWA </w:t>
      </w:r>
      <w:r>
        <w:rPr>
          <w:rFonts w:hint="eastAsia"/>
          <w:b/>
          <w:bCs/>
        </w:rPr>
        <w:t xml:space="preserve">價值鏈角色且過去已有相關</w:t>
      </w:r>
      <w:r>
        <w:rPr>
          <w:b/>
          <w:bCs/>
        </w:rPr>
        <w:t xml:space="preserve"> POC </w:t>
      </w:r>
      <w:r>
        <w:rPr>
          <w:rFonts w:hint="eastAsia"/>
          <w:b/>
          <w:bCs/>
        </w:rPr>
        <w:t xml:space="preserve">經驗，初步參與意願高，現階段主要限制在</w:t>
      </w:r>
      <w:r>
        <w:rPr>
          <w:b/>
          <w:bCs/>
        </w:rPr>
        <w:t xml:space="preserve"> Buyer </w:t>
      </w:r>
      <w:r>
        <w:rPr>
          <w:rFonts w:hint="eastAsia"/>
          <w:b/>
          <w:bCs/>
        </w:rPr>
        <w:t xml:space="preserve">及內部</w:t>
      </w:r>
      <w:r>
        <w:rPr>
          <w:b/>
          <w:bCs/>
        </w:rPr>
        <w:t xml:space="preserve"> Operating Model </w:t>
      </w:r>
      <w:r>
        <w:rPr>
          <w:rFonts w:hint="eastAsia"/>
          <w:b/>
          <w:bCs/>
        </w:rPr>
        <w:t xml:space="preserve">尚未確認</w:t>
      </w:r>
    </w:p>
    <w:p>
      <w:pPr>
        <w:pStyle w:val="Compact"/>
        <w:numPr>
          <w:ilvl w:val="0"/>
          <w:numId w:val="1042"/>
        </w:numPr>
      </w:pPr>
      <w:r>
        <w:rPr>
          <w:rFonts w:hint="eastAsia"/>
        </w:rPr>
        <w:t xml:space="preserve">凱基證券業務端表示希望參與擬真交易，並透過實際操作提前熟悉未來</w:t>
      </w:r>
      <w:r>
        <w:t xml:space="preserve"> RWA </w:t>
      </w:r>
      <w:r>
        <w:rPr>
          <w:rFonts w:hint="eastAsia"/>
        </w:rPr>
        <w:t xml:space="preserve">發行及交易模式</w:t>
      </w:r>
    </w:p>
    <w:p>
      <w:pPr>
        <w:pStyle w:val="Compact"/>
        <w:numPr>
          <w:ilvl w:val="1"/>
          <w:numId w:val="1043"/>
        </w:numPr>
      </w:pPr>
      <w:r>
        <w:rPr>
          <w:rFonts w:hint="eastAsia"/>
        </w:rPr>
        <w:t xml:space="preserve">目前首要前提為找到願意搭配的合格</w:t>
      </w:r>
      <w:r>
        <w:t xml:space="preserve"> Buyer</w:t>
      </w:r>
    </w:p>
    <w:p>
      <w:pPr>
        <w:pStyle w:val="Compact"/>
        <w:numPr>
          <w:ilvl w:val="1"/>
          <w:numId w:val="1043"/>
        </w:numPr>
      </w:pPr>
      <w:r>
        <w:rPr>
          <w:rFonts w:hint="eastAsia"/>
        </w:rPr>
        <w:t xml:space="preserve">櫃買亦表示可協助媒合其他金融機構參與</w:t>
      </w:r>
    </w:p>
    <w:p>
      <w:pPr>
        <w:pStyle w:val="Compact"/>
        <w:numPr>
          <w:ilvl w:val="0"/>
          <w:numId w:val="1042"/>
        </w:numPr>
      </w:pPr>
      <w:r>
        <w:rPr>
          <w:rFonts w:hint="eastAsia"/>
        </w:rPr>
        <w:t xml:space="preserve">凱基集團現有能力已涵蓋多數參與角色</w:t>
      </w:r>
    </w:p>
    <w:p>
      <w:pPr>
        <w:pStyle w:val="Compact"/>
        <w:numPr>
          <w:ilvl w:val="1"/>
          <w:numId w:val="1044"/>
        </w:numPr>
      </w:pPr>
      <w:r>
        <w:rPr>
          <w:rFonts w:hint="eastAsia"/>
        </w:rPr>
        <w:t xml:space="preserve">證券端可涵蓋</w:t>
      </w:r>
      <w:r>
        <w:t xml:space="preserve"> Issuer、Underwriter、Transfer Agent、Dealer </w:t>
      </w:r>
      <w:r>
        <w:rPr>
          <w:rFonts w:hint="eastAsia"/>
        </w:rPr>
        <w:t xml:space="preserve">及</w:t>
      </w:r>
      <w:r>
        <w:t xml:space="preserve"> Broker</w:t>
      </w:r>
    </w:p>
    <w:p>
      <w:pPr>
        <w:pStyle w:val="Compact"/>
        <w:numPr>
          <w:ilvl w:val="1"/>
          <w:numId w:val="1044"/>
        </w:numPr>
      </w:pPr>
      <w:r>
        <w:rPr>
          <w:rFonts w:hint="eastAsia"/>
        </w:rPr>
        <w:t xml:space="preserve">銀行端可擔任</w:t>
      </w:r>
      <w:r>
        <w:t xml:space="preserve"> Settlement </w:t>
      </w:r>
      <w:r>
        <w:rPr>
          <w:rFonts w:hint="eastAsia"/>
        </w:rPr>
        <w:t xml:space="preserve">Bank，並已有</w:t>
      </w:r>
      <w:r>
        <w:t xml:space="preserve"> Virtual Asset Private Key Custody </w:t>
      </w:r>
      <w:r>
        <w:rPr>
          <w:rFonts w:hint="eastAsia"/>
        </w:rPr>
        <w:t xml:space="preserve">經驗</w:t>
      </w:r>
    </w:p>
    <w:p>
      <w:pPr>
        <w:pStyle w:val="Compact"/>
        <w:numPr>
          <w:ilvl w:val="1"/>
          <w:numId w:val="1044"/>
        </w:numPr>
      </w:pPr>
      <w:r>
        <w:rPr>
          <w:rFonts w:hint="eastAsia"/>
        </w:rPr>
        <w:t xml:space="preserve">金控策略企劃及數位發展可負責跨子公司整合</w:t>
      </w:r>
    </w:p>
    <w:p>
      <w:pPr>
        <w:pStyle w:val="Compact"/>
        <w:numPr>
          <w:ilvl w:val="0"/>
          <w:numId w:val="1042"/>
        </w:numPr>
      </w:pPr>
      <w:r>
        <w:rPr>
          <w:rFonts w:hint="eastAsia"/>
        </w:rPr>
        <w:t xml:space="preserve">凱基金控去年已參與基金及外幣債券</w:t>
      </w:r>
      <w:r>
        <w:t xml:space="preserve"> RWA </w:t>
      </w:r>
      <w:r>
        <w:rPr>
          <w:rFonts w:hint="eastAsia"/>
        </w:rPr>
        <w:t xml:space="preserve">POC，曾初步討論</w:t>
      </w:r>
      <w:r>
        <w:t xml:space="preserve"> Regulation、Investor Protection </w:t>
      </w:r>
      <w:r>
        <w:rPr>
          <w:rFonts w:hint="eastAsia"/>
        </w:rPr>
        <w:t xml:space="preserve">及</w:t>
      </w:r>
      <w:r>
        <w:t xml:space="preserve"> Internal System Adjustment</w:t>
      </w:r>
    </w:p>
    <w:p>
      <w:pPr>
        <w:pStyle w:val="Compact"/>
        <w:numPr>
          <w:ilvl w:val="1"/>
          <w:numId w:val="1045"/>
        </w:numPr>
      </w:pPr>
      <w:r>
        <w:rPr>
          <w:rFonts w:hint="eastAsia"/>
        </w:rPr>
        <w:t xml:space="preserve">後續可延續既有經驗進行此次</w:t>
      </w:r>
      <w:r>
        <w:t xml:space="preserve"> Digital Native Bond </w:t>
      </w:r>
      <w:r>
        <w:rPr>
          <w:rFonts w:hint="eastAsia"/>
        </w:rPr>
        <w:t xml:space="preserve">擬真交易</w:t>
      </w:r>
    </w:p>
    <w:p>
      <w:pPr>
        <w:pStyle w:val="Compact"/>
        <w:numPr>
          <w:ilvl w:val="0"/>
          <w:numId w:val="1042"/>
        </w:numPr>
      </w:pPr>
      <w:r>
        <w:rPr>
          <w:rFonts w:hint="eastAsia"/>
        </w:rPr>
        <w:t xml:space="preserve">凱基香港亦預計於</w:t>
      </w:r>
      <w:r>
        <w:t xml:space="preserve"> 2026 </w:t>
      </w:r>
      <w:r>
        <w:rPr>
          <w:rFonts w:hint="eastAsia"/>
        </w:rPr>
        <w:t xml:space="preserve">年</w:t>
      </w:r>
      <w:r>
        <w:t xml:space="preserve"> 8 </w:t>
      </w:r>
      <w:r>
        <w:rPr>
          <w:rFonts w:hint="eastAsia"/>
        </w:rPr>
        <w:t xml:space="preserve">月底至</w:t>
      </w:r>
      <w:r>
        <w:t xml:space="preserve"> 9 </w:t>
      </w:r>
      <w:r>
        <w:rPr>
          <w:rFonts w:hint="eastAsia"/>
        </w:rPr>
        <w:t xml:space="preserve">月與外部平台合作發行</w:t>
      </w:r>
      <w:r>
        <w:t xml:space="preserve"> </w:t>
      </w:r>
      <w:r>
        <w:rPr>
          <w:rFonts w:hint="eastAsia"/>
        </w:rPr>
        <w:t xml:space="preserve">RWA，並將台灣企業帶往海外發行</w:t>
      </w:r>
    </w:p>
    <w:p>
      <w:pPr>
        <w:pStyle w:val="Compact"/>
        <w:numPr>
          <w:ilvl w:val="1"/>
          <w:numId w:val="1046"/>
        </w:numPr>
      </w:pPr>
      <w:r>
        <w:rPr>
          <w:rFonts w:hint="eastAsia"/>
        </w:rPr>
        <w:t xml:space="preserve">可同步累積</w:t>
      </w:r>
      <w:r>
        <w:t xml:space="preserve"> Issuance Process、Platform Integration </w:t>
      </w:r>
      <w:r>
        <w:rPr>
          <w:rFonts w:hint="eastAsia"/>
        </w:rPr>
        <w:t xml:space="preserve">及實際作業經驗</w:t>
      </w:r>
    </w:p>
    <w:p>
      <w:pPr>
        <w:pStyle w:val="Compact"/>
        <w:numPr>
          <w:ilvl w:val="1"/>
          <w:numId w:val="1046"/>
        </w:numPr>
      </w:pPr>
      <w:r>
        <w:rPr>
          <w:rFonts w:hint="eastAsia"/>
        </w:rPr>
        <w:t xml:space="preserve">台灣與香港兩邊經驗後續可互相回饋</w:t>
      </w:r>
    </w:p>
    <w:p>
      <w:pPr>
        <w:pStyle w:val="FirstParagraph"/>
      </w:pPr>
      <w:r>
        <w:rPr>
          <w:rFonts w:hint="eastAsia"/>
          <w:b/>
          <w:bCs/>
        </w:rPr>
        <w:t xml:space="preserve">目前尚待確認的議題主要集中在</w:t>
      </w:r>
      <w:r>
        <w:rPr>
          <w:b/>
          <w:bCs/>
        </w:rPr>
        <w:t xml:space="preserve"> Buyer、Cash Token Custody、DVP Exception Handling </w:t>
      </w:r>
      <w:r>
        <w:rPr>
          <w:rFonts w:hint="eastAsia"/>
          <w:b/>
          <w:bCs/>
        </w:rPr>
        <w:t xml:space="preserve">及虛實轉換法制，將直接影響凱基後續系統與作業設計</w:t>
      </w:r>
    </w:p>
    <w:p>
      <w:pPr>
        <w:pStyle w:val="Compact"/>
        <w:numPr>
          <w:ilvl w:val="0"/>
          <w:numId w:val="1047"/>
        </w:numPr>
      </w:pPr>
      <w:r>
        <w:t xml:space="preserve">Buyer </w:t>
      </w:r>
      <w:r>
        <w:rPr>
          <w:rFonts w:hint="eastAsia"/>
        </w:rPr>
        <w:t xml:space="preserve">為凱基是否能完成首檔擬真交易的首要前提，目前仍需尋找願意搭配且具有相應能力的金融機構</w:t>
      </w:r>
    </w:p>
    <w:p>
      <w:pPr>
        <w:pStyle w:val="Compact"/>
        <w:numPr>
          <w:ilvl w:val="1"/>
          <w:numId w:val="1048"/>
        </w:numPr>
      </w:pPr>
      <w:r>
        <w:rPr>
          <w:rFonts w:hint="eastAsia"/>
        </w:rPr>
        <w:t xml:space="preserve">完整金控及已有</w:t>
      </w:r>
      <w:r>
        <w:t xml:space="preserve"> RWA </w:t>
      </w:r>
      <w:r>
        <w:rPr>
          <w:rFonts w:hint="eastAsia"/>
        </w:rPr>
        <w:t xml:space="preserve">經驗的證券商可能較快</w:t>
      </w:r>
      <w:r>
        <w:t xml:space="preserve"> Ready</w:t>
      </w:r>
    </w:p>
    <w:p>
      <w:pPr>
        <w:pStyle w:val="Compact"/>
        <w:numPr>
          <w:ilvl w:val="1"/>
          <w:numId w:val="1048"/>
        </w:numPr>
      </w:pPr>
      <w:r>
        <w:rPr>
          <w:rFonts w:hint="eastAsia"/>
        </w:rPr>
        <w:t xml:space="preserve">壽險及政府基金等大型法人中後台準備時間可能較長</w:t>
      </w:r>
    </w:p>
    <w:p>
      <w:pPr>
        <w:pStyle w:val="Compact"/>
        <w:numPr>
          <w:ilvl w:val="0"/>
          <w:numId w:val="1047"/>
        </w:numPr>
      </w:pPr>
      <w:r>
        <w:t xml:space="preserve">Cash Token Private Key </w:t>
      </w:r>
      <w:r>
        <w:rPr>
          <w:rFonts w:hint="eastAsia"/>
        </w:rPr>
        <w:t xml:space="preserve">最終由證券商自行保管或由</w:t>
      </w:r>
      <w:r>
        <w:t xml:space="preserve"> Settlement Bank </w:t>
      </w:r>
      <w:r>
        <w:rPr>
          <w:rFonts w:hint="eastAsia"/>
        </w:rPr>
        <w:t xml:space="preserve">代管仍未定案</w:t>
      </w:r>
    </w:p>
    <w:p>
      <w:pPr>
        <w:pStyle w:val="Compact"/>
        <w:numPr>
          <w:ilvl w:val="1"/>
          <w:numId w:val="1049"/>
        </w:numPr>
      </w:pPr>
      <w:r>
        <w:rPr>
          <w:rFonts w:hint="eastAsia"/>
        </w:rPr>
        <w:t xml:space="preserve">最終選擇將直接決定證券及銀行各自需要建置的系統範圍</w:t>
      </w:r>
    </w:p>
    <w:p>
      <w:pPr>
        <w:pStyle w:val="Compact"/>
        <w:numPr>
          <w:ilvl w:val="0"/>
          <w:numId w:val="1047"/>
        </w:numPr>
      </w:pPr>
      <w:r>
        <w:rPr>
          <w:rFonts w:hint="eastAsia"/>
        </w:rPr>
        <w:t xml:space="preserve">大額</w:t>
      </w:r>
      <w:r>
        <w:t xml:space="preserve"> Primary DVP </w:t>
      </w:r>
      <w:r>
        <w:rPr>
          <w:rFonts w:hint="eastAsia"/>
        </w:rPr>
        <w:t xml:space="preserve">的</w:t>
      </w:r>
      <w:r>
        <w:t xml:space="preserve"> Exception Handling </w:t>
      </w:r>
      <w:r>
        <w:rPr>
          <w:rFonts w:hint="eastAsia"/>
        </w:rPr>
        <w:t xml:space="preserve">尚未完整設計</w:t>
      </w:r>
    </w:p>
    <w:p>
      <w:pPr>
        <w:pStyle w:val="Compact"/>
        <w:numPr>
          <w:ilvl w:val="1"/>
          <w:numId w:val="1050"/>
        </w:numPr>
      </w:pPr>
      <w:r>
        <w:t xml:space="preserve">Issuer </w:t>
      </w:r>
      <w:r>
        <w:rPr>
          <w:rFonts w:hint="eastAsia"/>
        </w:rPr>
        <w:t xml:space="preserve">目前無法在發出指令前直接查看其他機構</w:t>
      </w:r>
      <w:r>
        <w:t xml:space="preserve"> Wallet </w:t>
      </w:r>
      <w:r>
        <w:rPr>
          <w:rFonts w:hint="eastAsia"/>
        </w:rPr>
        <w:t xml:space="preserve">餘額</w:t>
      </w:r>
    </w:p>
    <w:p>
      <w:pPr>
        <w:pStyle w:val="Compact"/>
        <w:numPr>
          <w:ilvl w:val="1"/>
          <w:numId w:val="1050"/>
        </w:numPr>
      </w:pPr>
      <w:r>
        <w:rPr>
          <w:rFonts w:hint="eastAsia"/>
        </w:rPr>
        <w:t xml:space="preserve">仍需事前聯繫確認</w:t>
      </w:r>
      <w:r>
        <w:t xml:space="preserve"> Cash Token Ready</w:t>
      </w:r>
    </w:p>
    <w:p>
      <w:pPr>
        <w:pStyle w:val="Compact"/>
        <w:numPr>
          <w:ilvl w:val="1"/>
          <w:numId w:val="1050"/>
        </w:numPr>
      </w:pPr>
      <w:r>
        <w:rPr>
          <w:rFonts w:hint="eastAsia"/>
        </w:rPr>
        <w:t xml:space="preserve">平台僅於雙方指令完成後檢核款券足額</w:t>
      </w:r>
    </w:p>
    <w:p>
      <w:pPr>
        <w:pStyle w:val="Compact"/>
        <w:numPr>
          <w:ilvl w:val="1"/>
          <w:numId w:val="1050"/>
        </w:numPr>
      </w:pPr>
      <w:r>
        <w:rPr>
          <w:rFonts w:hint="eastAsia"/>
        </w:rPr>
        <w:t xml:space="preserve">若部分</w:t>
      </w:r>
      <w:r>
        <w:t xml:space="preserve"> Buyer </w:t>
      </w:r>
      <w:r>
        <w:rPr>
          <w:rFonts w:hint="eastAsia"/>
        </w:rPr>
        <w:t xml:space="preserve">款項不足，目前僅確認不足額即不交割，Partial</w:t>
      </w:r>
      <w:r>
        <w:t xml:space="preserve"> Settlement </w:t>
      </w:r>
      <w:r>
        <w:rPr>
          <w:rFonts w:hint="eastAsia"/>
        </w:rPr>
        <w:t xml:space="preserve">等後續流程仍待研議</w:t>
      </w:r>
    </w:p>
    <w:p>
      <w:pPr>
        <w:pStyle w:val="Compact"/>
        <w:numPr>
          <w:ilvl w:val="0"/>
          <w:numId w:val="1047"/>
        </w:numPr>
      </w:pPr>
      <w:r>
        <w:t xml:space="preserve">Digital Native Bond </w:t>
      </w:r>
      <w:r>
        <w:rPr>
          <w:rFonts w:hint="eastAsia"/>
        </w:rPr>
        <w:t xml:space="preserve">與傳統無實體債券的法律地位、發行契約是否需增補條款及虛實轉換的</w:t>
      </w:r>
      <w:r>
        <w:t xml:space="preserve"> Issuer Recognition </w:t>
      </w:r>
      <w:r>
        <w:rPr>
          <w:rFonts w:hint="eastAsia"/>
        </w:rPr>
        <w:t xml:space="preserve">機制仍待主管機關及法遵進一步確認</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