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D4DC9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221F1F"/>
        </w:rPr>
        <w:t>In Section 2 of this article, we describe our main test data set,  a corpus in five languages. In Section 3, we describe a scheme based on readers’ judgements that enables the setting up of a similarity space.</w:t>
      </w:r>
    </w:p>
    <w:p w14:paraId="5AEDD5AF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231F20"/>
        </w:rPr>
        <w:t>In most situations, neither Eqs. (7) nor (8) are equal to b</w:t>
      </w:r>
      <w:r>
        <w:rPr>
          <w:color w:val="231F20"/>
          <w:sz w:val="14"/>
          <w:szCs w:val="14"/>
          <w:vertAlign w:val="subscript"/>
        </w:rPr>
        <w:t>3</w:t>
      </w:r>
      <w:r>
        <w:rPr>
          <w:color w:val="231F20"/>
        </w:rPr>
        <w:t>.</w:t>
      </w:r>
    </w:p>
    <w:p w14:paraId="712B8738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231F20"/>
        </w:rPr>
        <w:t>In the context of the turnover literature, focusing solely on the estimated b</w:t>
      </w:r>
      <w:r>
        <w:rPr>
          <w:color w:val="231F20"/>
          <w:sz w:val="14"/>
          <w:szCs w:val="14"/>
          <w:vertAlign w:val="subscript"/>
        </w:rPr>
        <w:t>3</w:t>
      </w:r>
      <w:r>
        <w:rPr>
          <w:color w:val="231F20"/>
        </w:rPr>
        <w:t xml:space="preserve"> coefficient could lead to the inference that the marginal effect of performance differs with the type of firm.</w:t>
      </w:r>
    </w:p>
    <w:p w14:paraId="2DEF57B8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4.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231F20"/>
        </w:rPr>
        <w:t xml:space="preserve">The parameter </w:t>
      </w:r>
      <w:r>
        <w:rPr>
          <w:i/>
          <w:iCs/>
          <w:color w:val="231F20"/>
        </w:rPr>
        <w:t xml:space="preserve">b </w:t>
      </w:r>
      <w:r>
        <w:rPr>
          <w:color w:val="231F20"/>
        </w:rPr>
        <w:t>is what generates the strength of the relationship between turnover and performance.</w:t>
      </w:r>
    </w:p>
    <w:p w14:paraId="520508BB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231F20"/>
        </w:rPr>
        <w:t>The solution, also demonstrated by the way of simulations, is to separately calculate the marginal effect of a change in performance for the two types of firms.</w:t>
      </w:r>
    </w:p>
    <w:p w14:paraId="262CD470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6.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10202"/>
        </w:rPr>
        <w:t>These are the.elements that made the neural network.</w:t>
      </w:r>
    </w:p>
    <w:p w14:paraId="20DE92BF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7.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 xml:space="preserve"> The </w:t>
      </w:r>
      <w:r>
        <w:rPr>
          <w:color w:val="010202"/>
        </w:rPr>
        <w:t>greater the link value, the easier it is for the link to become too activated and affect  the neural network.</w:t>
      </w:r>
    </w:p>
    <w:p w14:paraId="15B07CDC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8.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10202"/>
        </w:rPr>
        <w:t>Figure 3 shows the working process of this study.</w:t>
      </w:r>
    </w:p>
    <w:p w14:paraId="2EB2C4BC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00000"/>
        </w:rPr>
        <w:t>9.</w:t>
      </w:r>
      <w:r>
        <w:rPr>
          <w:color w:val="000000"/>
          <w:sz w:val="14"/>
          <w:szCs w:val="14"/>
        </w:rPr>
        <w:t xml:space="preserve"> </w:t>
      </w:r>
      <w:r>
        <w:rPr>
          <w:rStyle w:val="apple-tab-span"/>
          <w:color w:val="000000"/>
          <w:sz w:val="14"/>
          <w:szCs w:val="14"/>
        </w:rPr>
        <w:tab/>
      </w:r>
      <w:r>
        <w:rPr>
          <w:color w:val="010202"/>
        </w:rPr>
        <w:t>The Australia credit database has 690 case data.</w:t>
      </w:r>
    </w:p>
    <w:p w14:paraId="1B323EB6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10202"/>
        </w:rPr>
        <w:t>10.</w:t>
      </w:r>
      <w:r>
        <w:rPr>
          <w:color w:val="010202"/>
          <w:sz w:val="14"/>
          <w:szCs w:val="14"/>
        </w:rPr>
        <w:t xml:space="preserve">  </w:t>
      </w:r>
      <w:r>
        <w:rPr>
          <w:color w:val="010202"/>
        </w:rPr>
        <w:t>Thanks to the rapid development of information technology, researchers and financial institutions began to use data mining and machine learning.</w:t>
      </w:r>
    </w:p>
    <w:p w14:paraId="719C7A7F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10202"/>
        </w:rPr>
        <w:t>11.</w:t>
      </w:r>
      <w:r>
        <w:rPr>
          <w:color w:val="010202"/>
          <w:sz w:val="14"/>
          <w:szCs w:val="14"/>
        </w:rPr>
        <w:t xml:space="preserve">  </w:t>
      </w:r>
      <w:r>
        <w:rPr>
          <w:color w:val="000000"/>
        </w:rPr>
        <w:t>A word can belong to several syntactic categories simultaneously.</w:t>
      </w:r>
    </w:p>
    <w:p w14:paraId="1B1444B0" w14:textId="77777777" w:rsidR="002A1663" w:rsidRDefault="002A1663" w:rsidP="002A1663">
      <w:pPr>
        <w:pStyle w:val="a3"/>
        <w:spacing w:before="0" w:beforeAutospacing="0" w:after="240" w:afterAutospacing="0"/>
        <w:ind w:left="720" w:hanging="360"/>
        <w:jc w:val="both"/>
      </w:pPr>
      <w:r>
        <w:rPr>
          <w:color w:val="000000"/>
        </w:rPr>
        <w:t>12.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>When we crossed the threshold of connecting more objects than people to the Internet, a huge window of opportunity opened for the creation of applications in the areas of automation, sensing, and machine-to-machine communication.</w:t>
      </w:r>
    </w:p>
    <w:p w14:paraId="739BD2CD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10202"/>
        </w:rPr>
        <w:t>13.</w:t>
      </w:r>
      <w:r>
        <w:rPr>
          <w:color w:val="010202"/>
          <w:sz w:val="14"/>
          <w:szCs w:val="14"/>
        </w:rPr>
        <w:t xml:space="preserve">  </w:t>
      </w:r>
      <w:r>
        <w:rPr>
          <w:color w:val="000000"/>
        </w:rPr>
        <w:t>For each group of patterns, a automatic recognition procedure was developed and experimentally studied.</w:t>
      </w:r>
    </w:p>
    <w:p w14:paraId="3BF2EB86" w14:textId="77777777" w:rsidR="002A1663" w:rsidRDefault="002A1663" w:rsidP="002A1663">
      <w:pPr>
        <w:pStyle w:val="a3"/>
        <w:spacing w:before="0" w:beforeAutospacing="0" w:after="0" w:afterAutospacing="0"/>
        <w:ind w:left="720" w:hanging="360"/>
        <w:jc w:val="both"/>
      </w:pPr>
      <w:r>
        <w:rPr>
          <w:color w:val="010202"/>
        </w:rPr>
        <w:t>14.</w:t>
      </w:r>
      <w:r>
        <w:rPr>
          <w:color w:val="010202"/>
          <w:sz w:val="14"/>
          <w:szCs w:val="14"/>
        </w:rPr>
        <w:t xml:space="preserve">  </w:t>
      </w:r>
      <w:r>
        <w:rPr>
          <w:color w:val="000000"/>
        </w:rPr>
        <w:t>Directions for future work include the out-of-core implementations of the presented simplification methods.</w:t>
      </w:r>
    </w:p>
    <w:p w14:paraId="714240A1" w14:textId="77777777" w:rsidR="002A1663" w:rsidRDefault="002A1663" w:rsidP="002A1663">
      <w:pPr>
        <w:pStyle w:val="a3"/>
        <w:spacing w:before="0" w:beforeAutospacing="0" w:after="200" w:afterAutospacing="0"/>
        <w:ind w:left="720" w:hanging="360"/>
        <w:jc w:val="both"/>
      </w:pPr>
      <w:r>
        <w:rPr>
          <w:rFonts w:ascii="Arial" w:hAnsi="Arial" w:cs="Arial"/>
          <w:color w:val="000000"/>
          <w:sz w:val="22"/>
          <w:szCs w:val="22"/>
        </w:rPr>
        <w:t>15.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>Nevertheless, there is one phenomenon that seems to adversely and significantly affect the performance of a certain group of algorithms on a small number of datasets.</w:t>
      </w:r>
    </w:p>
    <w:p w14:paraId="15B64F3C" w14:textId="77777777" w:rsidR="002A1663" w:rsidRDefault="002A1663" w:rsidP="002A1663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</w:rPr>
        <w:t> </w:t>
      </w:r>
    </w:p>
    <w:p w14:paraId="7155BB97" w14:textId="6DA6B57C" w:rsidR="008E1407" w:rsidRPr="002A1663" w:rsidRDefault="008E1407" w:rsidP="002A1663"/>
    <w:sectPr w:rsidR="008E1407" w:rsidRPr="002A1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5C"/>
    <w:rsid w:val="001F589F"/>
    <w:rsid w:val="0023562E"/>
    <w:rsid w:val="002A1663"/>
    <w:rsid w:val="002E0A99"/>
    <w:rsid w:val="00310D7A"/>
    <w:rsid w:val="003F425C"/>
    <w:rsid w:val="008B4271"/>
    <w:rsid w:val="008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CBE1"/>
  <w15:chartTrackingRefBased/>
  <w15:docId w15:val="{FBAE135A-0060-440A-B506-80C09F3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2020-09-30T15:47:00Z</dcterms:created>
  <dcterms:modified xsi:type="dcterms:W3CDTF">2020-10-08T10:50:00Z</dcterms:modified>
</cp:coreProperties>
</file>