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医药产品组合分析报告</w:t>
      </w:r>
    </w:p>
    <w:p>
      <w:pPr>
        <w:pStyle w:val="Subtitle"/>
      </w:pPr>
      <w:r>
        <w:t>市场表现 竞争动态与机器学习需求预测</w:t>
      </w:r>
    </w:p>
    <w:p>
      <w:r>
        <w:t>IQVIA 商业数据科学家终面案例 中文核对版</w:t>
      </w:r>
    </w:p>
    <w:p>
      <w:r>
        <w:t>原分析日期 2026 年 9 月 19 日    核对日期 2026 年 9 月 20 日</w:t>
      </w:r>
    </w:p>
    <w:p>
      <w:pPr>
        <w:spacing w:after="140"/>
      </w:pPr>
      <w:r>
        <w:rPr>
          <w:color w:val="596773"/>
          <w:sz w:val="16"/>
        </w:rPr>
        <w:t>本报告为公开开发数据集的面试演示案例，不是 IQVIA 正式交付物。2024 年为原案例的预测年度，结果并非基于 2026 年新数据作出的当前预测。</w:t>
      </w:r>
    </w:p>
    <w:p>
      <w:pPr>
        <w:pStyle w:val="Heading1"/>
      </w:pPr>
      <w:r>
        <w:t>执行摘要</w:t>
      </w:r>
    </w:p>
    <w:p>
      <w:r>
        <w:t>核对结论：报告主要数值与现有代码结果一致，原代码重算也复现了现有输出；但若干验证方法和指标口径的文字描述需要修正。中文版保留原有数值与章节内容，并以“核对说明”标明修正，详细证据见下一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438"/>
        <w:gridCol w:w="2438"/>
        <w:gridCol w:w="2438"/>
      </w:tblGrid>
      <w:tr>
        <w:trPr>
          <w:cantSplit/>
          <w:tblHeader/>
        </w:trPr>
        <w:tc>
          <w:tcPr>
            <w:tcW w:type="dxa" w:w="2438"/>
            <w:vAlign w:val="center"/>
            <w:tcMar>
              <w:top w:w="75" w:type="dxa"/>
              <w:bottom w:w="75" w:type="dxa"/>
              <w:start w:w="90" w:type="dxa"/>
              <w:end w:w="90" w:type="dxa"/>
            </w:tcMar>
            <w:shd w:fill="E8EEF5"/>
          </w:tcPr>
          <w:p>
            <w:pPr>
              <w:spacing w:after="0" w:line="264" w:lineRule="auto"/>
              <w:jc w:val="center"/>
            </w:pPr>
            <w:r>
              <w:rPr>
                <w:b/>
                <w:sz w:val="22"/>
              </w:rPr>
              <w:t>SKU 数</w:t>
            </w:r>
          </w:p>
        </w:tc>
        <w:tc>
          <w:tcPr>
            <w:tcW w:type="dxa" w:w="2438"/>
            <w:vAlign w:val="center"/>
            <w:tcMar>
              <w:top w:w="75" w:type="dxa"/>
              <w:bottom w:w="75" w:type="dxa"/>
              <w:start w:w="90" w:type="dxa"/>
              <w:end w:w="90" w:type="dxa"/>
            </w:tcMar>
            <w:shd w:fill="E8EEF5"/>
          </w:tcPr>
          <w:p>
            <w:pPr>
              <w:spacing w:after="0" w:line="264" w:lineRule="auto"/>
              <w:jc w:val="center"/>
            </w:pPr>
            <w:r>
              <w:rPr>
                <w:b/>
                <w:sz w:val="22"/>
              </w:rPr>
              <w:t>通用名数</w:t>
            </w:r>
          </w:p>
        </w:tc>
        <w:tc>
          <w:tcPr>
            <w:tcW w:type="dxa" w:w="2438"/>
            <w:vAlign w:val="center"/>
            <w:tcMar>
              <w:top w:w="75" w:type="dxa"/>
              <w:bottom w:w="75" w:type="dxa"/>
              <w:start w:w="90" w:type="dxa"/>
              <w:end w:w="90" w:type="dxa"/>
            </w:tcMar>
            <w:shd w:fill="E8EEF5"/>
          </w:tcPr>
          <w:p>
            <w:pPr>
              <w:spacing w:after="0" w:line="264" w:lineRule="auto"/>
              <w:jc w:val="center"/>
            </w:pPr>
            <w:r>
              <w:rPr>
                <w:b/>
                <w:sz w:val="22"/>
              </w:rPr>
              <w:t>月度期数</w:t>
            </w:r>
          </w:p>
        </w:tc>
        <w:tc>
          <w:tcPr>
            <w:tcW w:type="dxa" w:w="2438"/>
            <w:vAlign w:val="center"/>
            <w:tcMar>
              <w:top w:w="75" w:type="dxa"/>
              <w:bottom w:w="75" w:type="dxa"/>
              <w:start w:w="90" w:type="dxa"/>
              <w:end w:w="90" w:type="dxa"/>
            </w:tcMar>
            <w:shd w:fill="E8EEF5"/>
          </w:tcPr>
          <w:p>
            <w:pPr>
              <w:spacing w:after="0" w:line="264" w:lineRule="auto"/>
              <w:jc w:val="center"/>
            </w:pPr>
            <w:r>
              <w:rPr>
                <w:b/>
                <w:sz w:val="22"/>
              </w:rPr>
              <w:t>2023 年销量</w:t>
            </w:r>
          </w:p>
        </w:tc>
      </w:tr>
      <w:tr>
        <w:trPr>
          <w:cantSplit/>
        </w:trPr>
        <w:tc>
          <w:tcPr>
            <w:tcW w:type="dxa" w:w="2438"/>
            <w:vAlign w:val="center"/>
            <w:tcMar>
              <w:top w:w="75" w:type="dxa"/>
              <w:bottom w:w="75" w:type="dxa"/>
              <w:start w:w="90" w:type="dxa"/>
              <w:end w:w="90" w:type="dxa"/>
            </w:tcMar>
            <w:shd w:fill="FFFFFF"/>
          </w:tcPr>
          <w:p>
            <w:pPr>
              <w:spacing w:after="0" w:line="264" w:lineRule="auto"/>
            </w:pPr>
            <w:r>
              <w:rPr>
                <w:b w:val="0"/>
                <w:sz w:val="22"/>
              </w:rPr>
              <w:t>1,730</w:t>
            </w:r>
          </w:p>
        </w:tc>
        <w:tc>
          <w:tcPr>
            <w:tcW w:type="dxa" w:w="2438"/>
            <w:vAlign w:val="center"/>
            <w:tcMar>
              <w:top w:w="75" w:type="dxa"/>
              <w:bottom w:w="75" w:type="dxa"/>
              <w:start w:w="90" w:type="dxa"/>
              <w:end w:w="90" w:type="dxa"/>
            </w:tcMar>
            <w:shd w:fill="FFFFFF"/>
          </w:tcPr>
          <w:p>
            <w:pPr>
              <w:spacing w:after="0" w:line="264" w:lineRule="auto"/>
              <w:jc w:val="center"/>
            </w:pPr>
            <w:r>
              <w:rPr>
                <w:b w:val="0"/>
                <w:sz w:val="22"/>
              </w:rPr>
              <w:t>20</w:t>
            </w:r>
          </w:p>
        </w:tc>
        <w:tc>
          <w:tcPr>
            <w:tcW w:type="dxa" w:w="2438"/>
            <w:vAlign w:val="center"/>
            <w:tcMar>
              <w:top w:w="75" w:type="dxa"/>
              <w:bottom w:w="75" w:type="dxa"/>
              <w:start w:w="90" w:type="dxa"/>
              <w:end w:w="90" w:type="dxa"/>
            </w:tcMar>
            <w:shd w:fill="FFFFFF"/>
          </w:tcPr>
          <w:p>
            <w:pPr>
              <w:spacing w:after="0" w:line="264" w:lineRule="auto"/>
              <w:jc w:val="center"/>
            </w:pPr>
            <w:r>
              <w:rPr>
                <w:b w:val="0"/>
                <w:sz w:val="22"/>
              </w:rPr>
              <w:t>60</w:t>
            </w:r>
          </w:p>
        </w:tc>
        <w:tc>
          <w:tcPr>
            <w:tcW w:type="dxa" w:w="2438"/>
            <w:vAlign w:val="center"/>
            <w:tcMar>
              <w:top w:w="75" w:type="dxa"/>
              <w:bottom w:w="75" w:type="dxa"/>
              <w:start w:w="90" w:type="dxa"/>
              <w:end w:w="90" w:type="dxa"/>
            </w:tcMar>
            <w:shd w:fill="FFFFFF"/>
          </w:tcPr>
          <w:p>
            <w:pPr>
              <w:spacing w:after="0" w:line="264" w:lineRule="auto"/>
              <w:jc w:val="center"/>
            </w:pPr>
            <w:r>
              <w:rPr>
                <w:b w:val="0"/>
                <w:sz w:val="22"/>
              </w:rPr>
              <w:t>122.2 百万</w:t>
            </w:r>
          </w:p>
        </w:tc>
      </w:tr>
    </w:tbl>
    <w:p>
      <w:pPr>
        <w:spacing w:after="0" w:line="60" w:lineRule="exact"/>
      </w:pPr>
      <w:r>
        <w:rPr>
          <w:sz w:val="6"/>
        </w:rPr>
        <w:t xml:space="preserve"> </w:t>
      </w:r>
    </w:p>
    <w:p>
      <w:r>
        <w:t>20 个通用名的样本组合在 2023 年实现 122.2 百万包装当量销量，同比下降 1.3%，较 2021 年峰值下降 22.3%。组合规划不宜假设需求会自然回到此前增长轨道。按验证结果选择的阻尼 ETS 模型给出 2024 年基准预测 114.4 百万，同比下降 6.4%。</w:t>
      </w:r>
    </w:p>
    <w:p>
      <w:r>
        <w:t>随机森林分类器在测试锚点 2022 年 7 月至 2023 年 6 月的合并观测中，前 20% 排名精确率为 58.3%，提升倍数为 2.33。六个月份额变化是最重要的预测信号；鉴于时间信息泄漏问题，该表现只能作为探索性证据。</w:t>
      </w:r>
    </w:p>
    <w:p>
      <w:r>
        <w:t>普瑞巴林、乙酰半胱氨酸及对乙酰氨基酚的 2024 年预测增幅居前。布洛芬同时具备规模、正向份额动量和预测增长，是主要增长关注对象；前两项低份额产品应先验证需求来源，再考虑追加商业投入。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5159"/>
        <w:gridCol w:w="3458"/>
      </w:tblGrid>
      <w:tr>
        <w:trPr>
          <w:cantSplit/>
          <w:tblHeader/>
        </w:trPr>
        <w:tc>
          <w:tcPr>
            <w:tcW w:type="dxa" w:w="1134"/>
            <w:vAlign w:val="center"/>
            <w:tcMar>
              <w:top w:w="75" w:type="dxa"/>
              <w:bottom w:w="75" w:type="dxa"/>
              <w:start w:w="90" w:type="dxa"/>
              <w:end w:w="90" w:type="dxa"/>
            </w:tcMar>
            <w:shd w:fill="E8EEF5"/>
          </w:tcPr>
          <w:p>
            <w:pPr>
              <w:spacing w:after="0" w:line="264" w:lineRule="auto"/>
              <w:jc w:val="center"/>
            </w:pPr>
            <w:r>
              <w:rPr>
                <w:b/>
                <w:sz w:val="18"/>
              </w:rPr>
              <w:t>行动</w:t>
            </w:r>
          </w:p>
        </w:tc>
        <w:tc>
          <w:tcPr>
            <w:tcW w:type="dxa" w:w="5159"/>
            <w:vAlign w:val="center"/>
            <w:tcMar>
              <w:top w:w="75" w:type="dxa"/>
              <w:bottom w:w="75" w:type="dxa"/>
              <w:start w:w="90" w:type="dxa"/>
              <w:end w:w="90" w:type="dxa"/>
            </w:tcMar>
            <w:shd w:fill="E8EEF5"/>
          </w:tcPr>
          <w:p>
            <w:pPr>
              <w:spacing w:after="0" w:line="264" w:lineRule="auto"/>
              <w:jc w:val="center"/>
            </w:pPr>
            <w:r>
              <w:rPr>
                <w:b/>
                <w:sz w:val="18"/>
              </w:rPr>
              <w:t>重点</w:t>
            </w:r>
          </w:p>
        </w:tc>
        <w:tc>
          <w:tcPr>
            <w:tcW w:type="dxa" w:w="3458"/>
            <w:vAlign w:val="center"/>
            <w:tcMar>
              <w:top w:w="75" w:type="dxa"/>
              <w:bottom w:w="75" w:type="dxa"/>
              <w:start w:w="90" w:type="dxa"/>
              <w:end w:w="90" w:type="dxa"/>
            </w:tcMar>
            <w:shd w:fill="E8EEF5"/>
          </w:tcPr>
          <w:p>
            <w:pPr>
              <w:spacing w:after="0" w:line="264" w:lineRule="auto"/>
              <w:jc w:val="center"/>
            </w:pPr>
            <w:r>
              <w:rPr>
                <w:b/>
                <w:sz w:val="18"/>
              </w:rPr>
              <w:t>依据</w:t>
            </w:r>
          </w:p>
        </w:tc>
      </w:tr>
      <w:tr>
        <w:trPr>
          <w:cantSplit/>
        </w:trPr>
        <w:tc>
          <w:tcPr>
            <w:tcW w:type="dxa" w:w="1134"/>
            <w:vAlign w:val="center"/>
            <w:tcMar>
              <w:top w:w="75" w:type="dxa"/>
              <w:bottom w:w="75" w:type="dxa"/>
              <w:start w:w="90" w:type="dxa"/>
              <w:end w:w="90" w:type="dxa"/>
            </w:tcMar>
            <w:shd w:fill="FFFFFF"/>
          </w:tcPr>
          <w:p>
            <w:pPr>
              <w:spacing w:after="0" w:line="264" w:lineRule="auto"/>
            </w:pPr>
            <w:r>
              <w:rPr>
                <w:b w:val="0"/>
                <w:sz w:val="18"/>
              </w:rPr>
              <w:t>投入评估</w:t>
            </w:r>
          </w:p>
        </w:tc>
        <w:tc>
          <w:tcPr>
            <w:tcW w:type="dxa" w:w="5159"/>
            <w:vAlign w:val="center"/>
            <w:tcMar>
              <w:top w:w="75" w:type="dxa"/>
              <w:bottom w:w="75" w:type="dxa"/>
              <w:start w:w="90" w:type="dxa"/>
              <w:end w:w="90" w:type="dxa"/>
            </w:tcMar>
            <w:shd w:fill="FFFFFF"/>
          </w:tcPr>
          <w:p>
            <w:pPr>
              <w:spacing w:after="0" w:line="264" w:lineRule="auto"/>
              <w:jc w:val="center"/>
            </w:pPr>
            <w:r>
              <w:rPr>
                <w:b w:val="0"/>
                <w:sz w:val="18"/>
              </w:rPr>
              <w:t>布洛芬；验证普瑞巴林与乙酰半胱氨酸的需求驱动因素</w:t>
            </w:r>
          </w:p>
        </w:tc>
        <w:tc>
          <w:tcPr>
            <w:tcW w:type="dxa" w:w="3458"/>
            <w:vAlign w:val="center"/>
            <w:tcMar>
              <w:top w:w="75" w:type="dxa"/>
              <w:bottom w:w="75" w:type="dxa"/>
              <w:start w:w="90" w:type="dxa"/>
              <w:end w:w="90" w:type="dxa"/>
            </w:tcMar>
            <w:shd w:fill="FFFFFF"/>
          </w:tcPr>
          <w:p>
            <w:pPr>
              <w:spacing w:after="0" w:line="264" w:lineRule="auto"/>
              <w:jc w:val="center"/>
            </w:pPr>
            <w:r>
              <w:rPr>
                <w:b w:val="0"/>
                <w:sz w:val="18"/>
              </w:rPr>
              <w:t>份额动量与预测增长均为正</w:t>
            </w:r>
          </w:p>
        </w:tc>
      </w:tr>
      <w:tr>
        <w:trPr>
          <w:cantSplit/>
        </w:trPr>
        <w:tc>
          <w:tcPr>
            <w:tcW w:type="dxa" w:w="1134"/>
            <w:vAlign w:val="center"/>
            <w:tcMar>
              <w:top w:w="75" w:type="dxa"/>
              <w:bottom w:w="75" w:type="dxa"/>
              <w:start w:w="90" w:type="dxa"/>
              <w:end w:w="90" w:type="dxa"/>
            </w:tcMar>
            <w:shd w:fill="FFFFFF"/>
          </w:tcPr>
          <w:p>
            <w:pPr>
              <w:spacing w:after="0" w:line="264" w:lineRule="auto"/>
            </w:pPr>
            <w:r>
              <w:rPr>
                <w:b w:val="0"/>
                <w:sz w:val="18"/>
              </w:rPr>
              <w:t>防守</w:t>
            </w:r>
          </w:p>
        </w:tc>
        <w:tc>
          <w:tcPr>
            <w:tcW w:type="dxa" w:w="5159"/>
            <w:vAlign w:val="center"/>
            <w:tcMar>
              <w:top w:w="75" w:type="dxa"/>
              <w:bottom w:w="75" w:type="dxa"/>
              <w:start w:w="90" w:type="dxa"/>
              <w:end w:w="90" w:type="dxa"/>
            </w:tcMar>
            <w:shd w:fill="FFFFFF"/>
          </w:tcPr>
          <w:p>
            <w:pPr>
              <w:spacing w:after="0" w:line="264" w:lineRule="auto"/>
              <w:jc w:val="center"/>
            </w:pPr>
            <w:r>
              <w:rPr>
                <w:b w:val="0"/>
                <w:sz w:val="18"/>
              </w:rPr>
              <w:t>乙酰水杨酸、对乙酰氨基酚、双氯芬酸</w:t>
            </w:r>
          </w:p>
        </w:tc>
        <w:tc>
          <w:tcPr>
            <w:tcW w:type="dxa" w:w="3458"/>
            <w:vAlign w:val="center"/>
            <w:tcMar>
              <w:top w:w="75" w:type="dxa"/>
              <w:bottom w:w="75" w:type="dxa"/>
              <w:start w:w="90" w:type="dxa"/>
              <w:end w:w="90" w:type="dxa"/>
            </w:tcMar>
            <w:shd w:fill="FFFFFF"/>
          </w:tcPr>
          <w:p>
            <w:pPr>
              <w:spacing w:after="0" w:line="264" w:lineRule="auto"/>
              <w:jc w:val="center"/>
            </w:pPr>
            <w:r>
              <w:rPr>
                <w:b w:val="0"/>
                <w:sz w:val="18"/>
              </w:rPr>
              <w:t>规模较大且近期组合份额下滑</w:t>
            </w:r>
          </w:p>
        </w:tc>
      </w:tr>
      <w:tr>
        <w:trPr>
          <w:cantSplit/>
        </w:trPr>
        <w:tc>
          <w:tcPr>
            <w:tcW w:type="dxa" w:w="1134"/>
            <w:vAlign w:val="center"/>
            <w:tcMar>
              <w:top w:w="75" w:type="dxa"/>
              <w:bottom w:w="75" w:type="dxa"/>
              <w:start w:w="90" w:type="dxa"/>
              <w:end w:w="90" w:type="dxa"/>
            </w:tcMar>
            <w:shd w:fill="FFFFFF"/>
          </w:tcPr>
          <w:p>
            <w:pPr>
              <w:spacing w:after="0" w:line="264" w:lineRule="auto"/>
            </w:pPr>
            <w:r>
              <w:rPr>
                <w:b w:val="0"/>
                <w:sz w:val="18"/>
              </w:rPr>
              <w:t>供应规划</w:t>
            </w:r>
          </w:p>
        </w:tc>
        <w:tc>
          <w:tcPr>
            <w:tcW w:type="dxa" w:w="5159"/>
            <w:vAlign w:val="center"/>
            <w:tcMar>
              <w:top w:w="75" w:type="dxa"/>
              <w:bottom w:w="75" w:type="dxa"/>
              <w:start w:w="90" w:type="dxa"/>
              <w:end w:w="90" w:type="dxa"/>
            </w:tcMar>
            <w:shd w:fill="FFFFFF"/>
          </w:tcPr>
          <w:p>
            <w:pPr>
              <w:spacing w:after="0" w:line="264" w:lineRule="auto"/>
              <w:jc w:val="center"/>
            </w:pPr>
            <w:r>
              <w:rPr>
                <w:b w:val="0"/>
                <w:sz w:val="18"/>
              </w:rPr>
              <w:t>以阻尼 ETS 为案例基准，监测 -8.4% 测试偏差</w:t>
            </w:r>
          </w:p>
        </w:tc>
        <w:tc>
          <w:tcPr>
            <w:tcW w:type="dxa" w:w="3458"/>
            <w:vAlign w:val="center"/>
            <w:tcMar>
              <w:top w:w="75" w:type="dxa"/>
              <w:bottom w:w="75" w:type="dxa"/>
              <w:start w:w="90" w:type="dxa"/>
              <w:end w:w="90" w:type="dxa"/>
            </w:tcMar>
            <w:shd w:fill="FFFFFF"/>
          </w:tcPr>
          <w:p>
            <w:pPr>
              <w:spacing w:after="0" w:line="264" w:lineRule="auto"/>
              <w:jc w:val="center"/>
            </w:pPr>
            <w:r>
              <w:rPr>
                <w:b w:val="0"/>
                <w:sz w:val="18"/>
              </w:rPr>
              <w:t>关注低估需求的风险</w:t>
            </w:r>
          </w:p>
        </w:tc>
      </w:tr>
      <w:tr>
        <w:trPr>
          <w:cantSplit/>
        </w:trPr>
        <w:tc>
          <w:tcPr>
            <w:tcW w:type="dxa" w:w="1134"/>
            <w:vAlign w:val="center"/>
            <w:tcMar>
              <w:top w:w="75" w:type="dxa"/>
              <w:bottom w:w="75" w:type="dxa"/>
              <w:start w:w="90" w:type="dxa"/>
              <w:end w:w="90" w:type="dxa"/>
            </w:tcMar>
            <w:shd w:fill="FFFFFF"/>
          </w:tcPr>
          <w:p>
            <w:pPr>
              <w:spacing w:after="0" w:line="264" w:lineRule="auto"/>
            </w:pPr>
            <w:r>
              <w:rPr>
                <w:b w:val="0"/>
                <w:sz w:val="18"/>
              </w:rPr>
              <w:t>月度监测</w:t>
            </w:r>
          </w:p>
        </w:tc>
        <w:tc>
          <w:tcPr>
            <w:tcW w:type="dxa" w:w="5159"/>
            <w:vAlign w:val="center"/>
            <w:tcMar>
              <w:top w:w="75" w:type="dxa"/>
              <w:bottom w:w="75" w:type="dxa"/>
              <w:start w:w="90" w:type="dxa"/>
              <w:end w:w="90" w:type="dxa"/>
            </w:tcMar>
            <w:shd w:fill="FFFFFF"/>
          </w:tcPr>
          <w:p>
            <w:pPr>
              <w:spacing w:after="0" w:line="264" w:lineRule="auto"/>
              <w:jc w:val="center"/>
            </w:pPr>
            <w:r>
              <w:rPr>
                <w:b w:val="0"/>
                <w:sz w:val="18"/>
              </w:rPr>
              <w:t>份额动量、预测误差、断供迹象和行动分组</w:t>
            </w:r>
          </w:p>
        </w:tc>
        <w:tc>
          <w:tcPr>
            <w:tcW w:type="dxa" w:w="3458"/>
            <w:vAlign w:val="center"/>
            <w:tcMar>
              <w:top w:w="75" w:type="dxa"/>
              <w:bottom w:w="75" w:type="dxa"/>
              <w:start w:w="90" w:type="dxa"/>
              <w:end w:w="90" w:type="dxa"/>
            </w:tcMar>
            <w:shd w:fill="FFFFFF"/>
          </w:tcPr>
          <w:p>
            <w:pPr>
              <w:spacing w:after="0" w:line="264" w:lineRule="auto"/>
              <w:jc w:val="center"/>
            </w:pPr>
            <w:r>
              <w:rPr>
                <w:b w:val="0"/>
                <w:sz w:val="18"/>
              </w:rPr>
              <w:t>形成持续预警流程</w:t>
            </w:r>
          </w:p>
        </w:tc>
      </w:tr>
    </w:tbl>
    <w:p>
      <w:pPr>
        <w:spacing w:after="0" w:line="60" w:lineRule="exact"/>
      </w:pPr>
      <w:r>
        <w:rPr>
          <w:sz w:val="6"/>
        </w:rPr>
        <w:t xml:space="preserve"> </w:t>
      </w:r>
    </w:p>
    <w:p>
      <w:pPr>
        <w:spacing w:after="140"/>
      </w:pPr>
      <w:r>
        <w:rPr>
          <w:color w:val="596773"/>
          <w:sz w:val="16"/>
        </w:rPr>
        <w:t>数据 D1；分析代码 C1；结果 R1、R2、R5、R6。所有编号的完整绝对路径见附录 B。销量采用原分析的包装当量口径，不代表收入。</w:t>
      </w:r>
    </w:p>
    <w:p>
      <w:r>
        <w:br w:type="page"/>
      </w:r>
    </w:p>
    <w:p>
      <w:pPr>
        <w:pStyle w:val="Heading1"/>
      </w:pPr>
      <w:r>
        <w:t>核对结果与必要修正</w:t>
      </w:r>
    </w:p>
    <w:p>
      <w:r>
        <w:t>在独立输出目录重新运行原分析脚本，未修改原始数据、英文报告及原有分析结果。原始 CSV 的 SHA-256 与英文报告附录一致。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134"/>
        <w:gridCol w:w="6350"/>
      </w:tblGrid>
      <w:tr>
        <w:trPr>
          <w:cantSplit/>
          <w:tblHeader/>
        </w:trPr>
        <w:tc>
          <w:tcPr>
            <w:tcW w:type="dxa" w:w="2268"/>
            <w:vAlign w:val="center"/>
            <w:tcMar>
              <w:top w:w="75" w:type="dxa"/>
              <w:bottom w:w="75" w:type="dxa"/>
              <w:start w:w="90" w:type="dxa"/>
              <w:end w:w="90" w:type="dxa"/>
            </w:tcMar>
            <w:shd w:fill="E8EEF5"/>
          </w:tcPr>
          <w:p>
            <w:pPr>
              <w:spacing w:after="0" w:line="264" w:lineRule="auto"/>
              <w:jc w:val="center"/>
            </w:pPr>
            <w:r>
              <w:rPr>
                <w:b/>
                <w:sz w:val="18"/>
              </w:rPr>
              <w:t>核对对象</w:t>
            </w:r>
          </w:p>
        </w:tc>
        <w:tc>
          <w:tcPr>
            <w:tcW w:type="dxa" w:w="1134"/>
            <w:vAlign w:val="center"/>
            <w:tcMar>
              <w:top w:w="75" w:type="dxa"/>
              <w:bottom w:w="75" w:type="dxa"/>
              <w:start w:w="90" w:type="dxa"/>
              <w:end w:w="90" w:type="dxa"/>
            </w:tcMar>
            <w:shd w:fill="E8EEF5"/>
          </w:tcPr>
          <w:p>
            <w:pPr>
              <w:spacing w:after="0" w:line="264" w:lineRule="auto"/>
              <w:jc w:val="center"/>
            </w:pPr>
            <w:r>
              <w:rPr>
                <w:b/>
                <w:sz w:val="18"/>
              </w:rPr>
              <w:t>结果</w:t>
            </w:r>
          </w:p>
        </w:tc>
        <w:tc>
          <w:tcPr>
            <w:tcW w:type="dxa" w:w="6350"/>
            <w:vAlign w:val="center"/>
            <w:tcMar>
              <w:top w:w="75" w:type="dxa"/>
              <w:bottom w:w="75" w:type="dxa"/>
              <w:start w:w="90" w:type="dxa"/>
              <w:end w:w="90" w:type="dxa"/>
            </w:tcMar>
            <w:shd w:fill="E8EEF5"/>
          </w:tcPr>
          <w:p>
            <w:pPr>
              <w:spacing w:after="0" w:line="264" w:lineRule="auto"/>
              <w:jc w:val="center"/>
            </w:pPr>
            <w:r>
              <w:rPr>
                <w:b/>
                <w:sz w:val="18"/>
              </w:rPr>
              <w:t>证据</w:t>
            </w:r>
          </w:p>
        </w:tc>
      </w:tr>
      <w:tr>
        <w:trPr>
          <w:cantSplit/>
        </w:trPr>
        <w:tc>
          <w:tcPr>
            <w:tcW w:type="dxa" w:w="2268"/>
            <w:vAlign w:val="center"/>
            <w:tcMar>
              <w:top w:w="75" w:type="dxa"/>
              <w:bottom w:w="75" w:type="dxa"/>
              <w:start w:w="90" w:type="dxa"/>
              <w:end w:w="90" w:type="dxa"/>
            </w:tcMar>
            <w:shd w:fill="FFFFFF"/>
          </w:tcPr>
          <w:p>
            <w:pPr>
              <w:spacing w:after="0" w:line="264" w:lineRule="auto"/>
            </w:pPr>
            <w:r>
              <w:rPr>
                <w:b w:val="0"/>
                <w:sz w:val="18"/>
              </w:rPr>
              <w:t>完整结果 JSON</w:t>
            </w:r>
          </w:p>
        </w:tc>
        <w:tc>
          <w:tcPr>
            <w:tcW w:type="dxa" w:w="1134"/>
            <w:vAlign w:val="center"/>
            <w:tcMar>
              <w:top w:w="75" w:type="dxa"/>
              <w:bottom w:w="75" w:type="dxa"/>
              <w:start w:w="90" w:type="dxa"/>
              <w:end w:w="90" w:type="dxa"/>
            </w:tcMar>
            <w:shd w:fill="FFFFFF"/>
          </w:tcPr>
          <w:p>
            <w:pPr>
              <w:spacing w:after="0" w:line="264" w:lineRule="auto"/>
              <w:jc w:val="center"/>
            </w:pPr>
            <w:r>
              <w:rPr>
                <w:b w:val="0"/>
                <w:sz w:val="18"/>
              </w:rPr>
              <w:t>一致</w:t>
            </w:r>
          </w:p>
        </w:tc>
        <w:tc>
          <w:tcPr>
            <w:tcW w:type="dxa" w:w="6350"/>
            <w:vAlign w:val="center"/>
            <w:tcMar>
              <w:top w:w="75" w:type="dxa"/>
              <w:bottom w:w="75" w:type="dxa"/>
              <w:start w:w="90" w:type="dxa"/>
              <w:end w:w="90" w:type="dxa"/>
            </w:tcMar>
            <w:shd w:fill="FFFFFF"/>
          </w:tcPr>
          <w:p>
            <w:pPr>
              <w:spacing w:after="0" w:line="264" w:lineRule="auto"/>
              <w:jc w:val="center"/>
            </w:pPr>
            <w:r>
              <w:rPr>
                <w:b w:val="0"/>
                <w:sz w:val="18"/>
              </w:rPr>
              <w:t>1,746 个数值、921 个其他值一致；最大数值差为 0</w:t>
            </w:r>
          </w:p>
        </w:tc>
      </w:tr>
      <w:tr>
        <w:trPr>
          <w:cantSplit/>
        </w:trPr>
        <w:tc>
          <w:tcPr>
            <w:tcW w:type="dxa" w:w="2268"/>
            <w:vAlign w:val="center"/>
            <w:tcMar>
              <w:top w:w="75" w:type="dxa"/>
              <w:bottom w:w="75" w:type="dxa"/>
              <w:start w:w="90" w:type="dxa"/>
              <w:end w:w="90" w:type="dxa"/>
            </w:tcMar>
            <w:shd w:fill="FFFFFF"/>
          </w:tcPr>
          <w:p>
            <w:pPr>
              <w:spacing w:after="0" w:line="264" w:lineRule="auto"/>
            </w:pPr>
            <w:r>
              <w:rPr>
                <w:b w:val="0"/>
                <w:sz w:val="18"/>
              </w:rPr>
              <w:t>7 个 CSV 输出</w:t>
            </w:r>
          </w:p>
        </w:tc>
        <w:tc>
          <w:tcPr>
            <w:tcW w:type="dxa" w:w="1134"/>
            <w:vAlign w:val="center"/>
            <w:tcMar>
              <w:top w:w="75" w:type="dxa"/>
              <w:bottom w:w="75" w:type="dxa"/>
              <w:start w:w="90" w:type="dxa"/>
              <w:end w:w="90" w:type="dxa"/>
            </w:tcMar>
            <w:shd w:fill="FFFFFF"/>
          </w:tcPr>
          <w:p>
            <w:pPr>
              <w:spacing w:after="0" w:line="264" w:lineRule="auto"/>
              <w:jc w:val="center"/>
            </w:pPr>
            <w:r>
              <w:rPr>
                <w:b w:val="0"/>
                <w:sz w:val="18"/>
              </w:rPr>
              <w:t>一致</w:t>
            </w:r>
          </w:p>
        </w:tc>
        <w:tc>
          <w:tcPr>
            <w:tcW w:type="dxa" w:w="6350"/>
            <w:vAlign w:val="center"/>
            <w:tcMar>
              <w:top w:w="75" w:type="dxa"/>
              <w:bottom w:w="75" w:type="dxa"/>
              <w:start w:w="90" w:type="dxa"/>
              <w:end w:w="90" w:type="dxa"/>
            </w:tcMar>
            <w:shd w:fill="FFFFFF"/>
          </w:tcPr>
          <w:p>
            <w:pPr>
              <w:spacing w:after="0" w:line="264" w:lineRule="auto"/>
              <w:jc w:val="center"/>
            </w:pPr>
            <w:r>
              <w:rPr>
                <w:b w:val="0"/>
                <w:sz w:val="18"/>
              </w:rPr>
              <w:t>逐表核对行列结构与全部内容通过</w:t>
            </w:r>
          </w:p>
        </w:tc>
      </w:tr>
      <w:tr>
        <w:trPr>
          <w:cantSplit/>
        </w:trPr>
        <w:tc>
          <w:tcPr>
            <w:tcW w:type="dxa" w:w="2268"/>
            <w:vAlign w:val="center"/>
            <w:tcMar>
              <w:top w:w="75" w:type="dxa"/>
              <w:bottom w:w="75" w:type="dxa"/>
              <w:start w:w="90" w:type="dxa"/>
              <w:end w:w="90" w:type="dxa"/>
            </w:tcMar>
            <w:shd w:fill="FFFFFF"/>
          </w:tcPr>
          <w:p>
            <w:pPr>
              <w:spacing w:after="0" w:line="264" w:lineRule="auto"/>
            </w:pPr>
            <w:r>
              <w:rPr>
                <w:b w:val="0"/>
                <w:sz w:val="18"/>
              </w:rPr>
              <w:t>报告 7 张主要结果表</w:t>
            </w:r>
          </w:p>
        </w:tc>
        <w:tc>
          <w:tcPr>
            <w:tcW w:type="dxa" w:w="1134"/>
            <w:vAlign w:val="center"/>
            <w:tcMar>
              <w:top w:w="75" w:type="dxa"/>
              <w:bottom w:w="75" w:type="dxa"/>
              <w:start w:w="90" w:type="dxa"/>
              <w:end w:w="90" w:type="dxa"/>
            </w:tcMar>
            <w:shd w:fill="FFFFFF"/>
          </w:tcPr>
          <w:p>
            <w:pPr>
              <w:spacing w:after="0" w:line="264" w:lineRule="auto"/>
              <w:jc w:val="center"/>
            </w:pPr>
            <w:r>
              <w:rPr>
                <w:b w:val="0"/>
                <w:sz w:val="18"/>
              </w:rPr>
              <w:t>一致</w:t>
            </w:r>
          </w:p>
        </w:tc>
        <w:tc>
          <w:tcPr>
            <w:tcW w:type="dxa" w:w="6350"/>
            <w:vAlign w:val="center"/>
            <w:tcMar>
              <w:top w:w="75" w:type="dxa"/>
              <w:bottom w:w="75" w:type="dxa"/>
              <w:start w:w="90" w:type="dxa"/>
              <w:end w:w="90" w:type="dxa"/>
            </w:tcMar>
            <w:shd w:fill="FFFFFF"/>
          </w:tcPr>
          <w:p>
            <w:pPr>
              <w:spacing w:after="0" w:line="264" w:lineRule="auto"/>
              <w:jc w:val="center"/>
            </w:pPr>
            <w:r>
              <w:rPr>
                <w:b w:val="0"/>
                <w:sz w:val="18"/>
              </w:rPr>
              <w:t>181 个所选数据单元格一致，包含数值及标识</w:t>
            </w:r>
          </w:p>
        </w:tc>
      </w:tr>
      <w:tr>
        <w:trPr>
          <w:cantSplit/>
        </w:trPr>
        <w:tc>
          <w:tcPr>
            <w:tcW w:type="dxa" w:w="2268"/>
            <w:vAlign w:val="center"/>
            <w:tcMar>
              <w:top w:w="75" w:type="dxa"/>
              <w:bottom w:w="75" w:type="dxa"/>
              <w:start w:w="90" w:type="dxa"/>
              <w:end w:w="90" w:type="dxa"/>
            </w:tcMar>
            <w:shd w:fill="FFFFFF"/>
          </w:tcPr>
          <w:p>
            <w:pPr>
              <w:spacing w:after="0" w:line="264" w:lineRule="auto"/>
            </w:pPr>
            <w:r>
              <w:rPr>
                <w:b w:val="0"/>
                <w:sz w:val="18"/>
              </w:rPr>
              <w:t>原始数据独立汇总</w:t>
            </w:r>
          </w:p>
        </w:tc>
        <w:tc>
          <w:tcPr>
            <w:tcW w:type="dxa" w:w="1134"/>
            <w:vAlign w:val="center"/>
            <w:tcMar>
              <w:top w:w="75" w:type="dxa"/>
              <w:bottom w:w="75" w:type="dxa"/>
              <w:start w:w="90" w:type="dxa"/>
              <w:end w:w="90" w:type="dxa"/>
            </w:tcMar>
            <w:shd w:fill="FFFFFF"/>
          </w:tcPr>
          <w:p>
            <w:pPr>
              <w:spacing w:after="0" w:line="264" w:lineRule="auto"/>
              <w:jc w:val="center"/>
            </w:pPr>
            <w:r>
              <w:rPr>
                <w:b w:val="0"/>
                <w:sz w:val="18"/>
              </w:rPr>
              <w:t>一致</w:t>
            </w:r>
          </w:p>
        </w:tc>
        <w:tc>
          <w:tcPr>
            <w:tcW w:type="dxa" w:w="6350"/>
            <w:vAlign w:val="center"/>
            <w:tcMar>
              <w:top w:w="75" w:type="dxa"/>
              <w:bottom w:w="75" w:type="dxa"/>
              <w:start w:w="90" w:type="dxa"/>
              <w:end w:w="90" w:type="dxa"/>
            </w:tcMar>
            <w:shd w:fill="FFFFFF"/>
          </w:tcPr>
          <w:p>
            <w:pPr>
              <w:spacing w:after="0" w:line="264" w:lineRule="auto"/>
              <w:jc w:val="center"/>
            </w:pPr>
            <w:r>
              <w:rPr>
                <w:b w:val="0"/>
                <w:sz w:val="18"/>
              </w:rPr>
              <w:t>1,730 个唯一 SKU；2019 至 2023 年年度总量一致</w:t>
            </w:r>
          </w:p>
        </w:tc>
      </w:tr>
      <w:tr>
        <w:trPr>
          <w:cantSplit/>
        </w:trPr>
        <w:tc>
          <w:tcPr>
            <w:tcW w:type="dxa" w:w="2268"/>
            <w:vAlign w:val="center"/>
            <w:tcMar>
              <w:top w:w="75" w:type="dxa"/>
              <w:bottom w:w="75" w:type="dxa"/>
              <w:start w:w="90" w:type="dxa"/>
              <w:end w:w="90" w:type="dxa"/>
            </w:tcMar>
            <w:shd w:fill="FFFFFF"/>
          </w:tcPr>
          <w:p>
            <w:pPr>
              <w:spacing w:after="0" w:line="264" w:lineRule="auto"/>
            </w:pPr>
            <w:r>
              <w:rPr>
                <w:b w:val="0"/>
                <w:sz w:val="18"/>
              </w:rPr>
              <w:t>关键正文数值与图表数据</w:t>
            </w:r>
          </w:p>
        </w:tc>
        <w:tc>
          <w:tcPr>
            <w:tcW w:type="dxa" w:w="1134"/>
            <w:vAlign w:val="center"/>
            <w:tcMar>
              <w:top w:w="75" w:type="dxa"/>
              <w:bottom w:w="75" w:type="dxa"/>
              <w:start w:w="90" w:type="dxa"/>
              <w:end w:w="90" w:type="dxa"/>
            </w:tcMar>
            <w:shd w:fill="FFFFFF"/>
          </w:tcPr>
          <w:p>
            <w:pPr>
              <w:spacing w:after="0" w:line="264" w:lineRule="auto"/>
              <w:jc w:val="center"/>
            </w:pPr>
            <w:r>
              <w:rPr>
                <w:b w:val="0"/>
                <w:sz w:val="18"/>
              </w:rPr>
              <w:t>一致</w:t>
            </w:r>
          </w:p>
        </w:tc>
        <w:tc>
          <w:tcPr>
            <w:tcW w:type="dxa" w:w="6350"/>
            <w:vAlign w:val="center"/>
            <w:tcMar>
              <w:top w:w="75" w:type="dxa"/>
              <w:bottom w:w="75" w:type="dxa"/>
              <w:start w:w="90" w:type="dxa"/>
              <w:end w:w="90" w:type="dxa"/>
            </w:tcMar>
            <w:shd w:fill="FFFFFF"/>
          </w:tcPr>
          <w:p>
            <w:pPr>
              <w:spacing w:after="0" w:line="264" w:lineRule="auto"/>
              <w:jc w:val="center"/>
            </w:pPr>
            <w:r>
              <w:rPr>
                <w:b w:val="0"/>
                <w:sz w:val="18"/>
              </w:rPr>
              <w:t>总量、增速、峰值差、模型指标和预测总量可追溯</w:t>
            </w:r>
          </w:p>
        </w:tc>
      </w:tr>
    </w:tbl>
    <w:p>
      <w:pPr>
        <w:spacing w:after="0" w:line="60" w:lineRule="exact"/>
      </w:pPr>
      <w:r>
        <w:rPr>
          <w:sz w:val="6"/>
        </w:rPr>
        <w:t xml:space="preserve"> </w:t>
      </w:r>
    </w:p>
    <w:p>
      <w:pPr>
        <w:pStyle w:val="Heading2"/>
      </w:pPr>
      <w:r>
        <w:t>核对说明</w:t>
      </w:r>
    </w:p>
    <w:p>
      <w:r>
        <w:t>一是分类测试期。原摘要和复现附录的“2023 年留出集”不够准确。分类模型的测试锚点实际为 2022 年 7 月至 2023 年 6 月，其六个月后标签对应 2023 年 1 月至 12 月。需求预测模型才以 2023 年全年作为测试期。</w:t>
      </w:r>
    </w:p>
    <w:p>
      <w:r>
        <w:t>二是时间信息泄漏。季节性强度以完整 2019 至 2023 年销量计算，再作为分类器及全局预测模型的静态特征；因此“所有 2023 年预测均未使用 2023 年结果”不适用于全局岭回归、全局提升树和包含它们的集成。季节性朴素法和阻尼 ETS 的单体预测不读取该静态特征，但整个候选模型比较流程仍应重新严格回测。</w:t>
      </w:r>
    </w:p>
    <w:p>
      <w:r>
        <w:t>三是标签可得时间。分类训练锚点截至 2021 年 12 月，但标签最晚需要 2022 年 6 月数据；验证锚点截至 2022 年 6 月，标签最晚需要 2022 年 12 月数据。直接按锚点切分，不能保证在验证或测试起点已获得全部训练和选模标签。应按标签成熟日期设置时间间隔并采用滚动验证。</w:t>
      </w:r>
    </w:p>
    <w:p>
      <w:r>
        <w:t>四是指标口径。代码将整个测试期 240 条观测合并排名，选择前 48 条计算 Precision@20%；这不等于逐月筛选 20 个通用名中的前 4 个。原文 PR-AUC 实际使用自定义平均精确率 AP；其并列分数处理依赖排序，不能直接视作所有标准库 PR-AUC 实现的同一指标。</w:t>
      </w:r>
    </w:p>
    <w:p>
      <w:r>
        <w:t>五是区间解释。每个预测月份的范围取自 2022 年同一预测步长下 20 个通用名对数残差的 10% 与 90% 分位数，再逐月相加。该方法没有校验覆盖率；年度上下界之和不能声称具有已验证的年度 80% 覆盖概率。</w:t>
      </w:r>
    </w:p>
    <w:p>
      <w:r>
        <w:t>其他表述已澄清：将“-6.4% below”改为“下降 6.4%”；保留样本中的 ATC 分类而不将其解释为外部标准校验；“市场带动增长”是代码规则名称，并不证明增长原因。</w:t>
      </w:r>
    </w:p>
    <w:p>
      <w:pPr>
        <w:spacing w:after="140"/>
      </w:pPr>
      <w:r>
        <w:rPr>
          <w:color w:val="596773"/>
          <w:sz w:val="16"/>
        </w:rPr>
        <w:t>证据 C1 第 563 至 629、733 至 746、787 至 846 行；复核代码 C3；核对记录 V1。数值可复现不等于模型已通过严格前瞻验证。</w:t>
      </w:r>
    </w:p>
    <w:p>
      <w:r>
        <w:br w:type="page"/>
      </w:r>
    </w:p>
    <w:p>
      <w:pPr>
        <w:pStyle w:val="Heading1"/>
        <w:spacing w:line="400" w:lineRule="exact" w:before="80" w:after="80"/>
        <w:snapToGrid w:val="0"/>
      </w:pPr>
      <w:r>
        <w:t>1 商业问题与分析设计</w:t>
      </w:r>
    </w:p>
    <w:p>
      <w:pPr>
        <w:spacing w:line="300" w:lineRule="exact" w:before="0" w:after="80"/>
        <w:snapToGrid w:val="0"/>
      </w:pPr>
      <w:r>
        <w:t>本案例研究需求增长与下降、样本内份额得失、未来六至十二个月值得关注的通用名，以及如何结合预测和分群配置商业分析资源。分类目标为未来六个月份额表现，需求预测为未来十二个月。</w:t>
      </w:r>
    </w:p>
    <w:p>
      <w:pPr>
        <w:spacing w:line="300" w:lineRule="exact" w:before="0" w:after="80"/>
        <w:snapToGrid w:val="0"/>
      </w:pPr>
      <w:r>
        <w:t>分析流程依次为 SKU 销量整理、文本特征提取、市场定义、竞争分析、组合分群、预警分类、需求预测和透明行动规则。原代码使用时间顺序切分，没有随机拆分训练与测试集；但其严格时间有效性仍受前页说明的特征与标签问题限制。</w:t>
      </w:r>
    </w:p>
    <w:p>
      <w:pPr>
        <w:pStyle w:val="Heading2"/>
        <w:spacing w:line="400" w:lineRule="exact" w:before="80" w:after="80"/>
        <w:snapToGrid w:val="0"/>
      </w:pPr>
      <w:r>
        <w:t>1.1 数据集与工程处理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050"/>
      </w:tblGrid>
      <w:tr>
        <w:trPr>
          <w:cantSplit/>
          <w:tblHeader/>
        </w:trPr>
        <w:tc>
          <w:tcPr>
            <w:tcW w:type="dxa" w:w="1701"/>
            <w:vAlign w:val="center"/>
            <w:tcMar>
              <w:top w:w="75" w:type="dxa"/>
              <w:bottom w:w="75" w:type="dxa"/>
              <w:start w:w="90" w:type="dxa"/>
              <w:end w:w="90" w:type="dxa"/>
            </w:tcMar>
            <w:shd w:fill="E8EEF5"/>
          </w:tcPr>
          <w:p>
            <w:pPr>
              <w:spacing w:after="0" w:line="264" w:lineRule="auto"/>
              <w:jc w:val="center"/>
            </w:pPr>
            <w:r>
              <w:rPr>
                <w:b/>
                <w:sz w:val="18"/>
              </w:rPr>
              <w:t>要素</w:t>
            </w:r>
          </w:p>
        </w:tc>
        <w:tc>
          <w:tcPr>
            <w:tcW w:type="dxa" w:w="8050"/>
            <w:vAlign w:val="center"/>
            <w:tcMar>
              <w:top w:w="75" w:type="dxa"/>
              <w:bottom w:w="75" w:type="dxa"/>
              <w:start w:w="90" w:type="dxa"/>
              <w:end w:w="90" w:type="dxa"/>
            </w:tcMar>
            <w:shd w:fill="E8EEF5"/>
          </w:tcPr>
          <w:p>
            <w:pPr>
              <w:spacing w:after="0" w:line="264" w:lineRule="auto"/>
              <w:jc w:val="center"/>
            </w:pPr>
            <w:r>
              <w:rPr>
                <w:b/>
                <w:sz w:val="18"/>
              </w:rPr>
              <w:t>实现</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粒度</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每个 Morion ID 对应一行药品 SKU</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覆盖</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1,730 个 SKU；20 个 INN；2019 年 1 月至 2023 年 12 月</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销量</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60 个宽表月度字段，转成长表并汇总至 INN 与月份</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层级</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ATC1 至 ATC5、通用名、匿名品牌、SKU</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文本特征</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从 Description 提取规格数值、单位和包装数量；从 NFC (1) 简化剂型</w:t>
            </w:r>
          </w:p>
        </w:tc>
      </w:tr>
    </w:tbl>
    <w:p>
      <w:pPr>
        <w:spacing w:after="0" w:line="60" w:lineRule="exact"/>
      </w:pPr>
      <w:r>
        <w:rPr>
          <w:sz w:val="6"/>
        </w:rPr>
        <w:t xml:space="preserve"> </w:t>
      </w:r>
    </w:p>
    <w:p>
      <w:pPr>
        <w:pStyle w:val="Heading2"/>
        <w:spacing w:line="400" w:lineRule="exact" w:before="80" w:after="80"/>
        <w:snapToGrid w:val="0"/>
      </w:pPr>
      <w:r>
        <w:t>1.2 数据质量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050"/>
      </w:tblGrid>
      <w:tr>
        <w:trPr>
          <w:cantSplit/>
          <w:tblHeader/>
        </w:trPr>
        <w:tc>
          <w:tcPr>
            <w:tcW w:type="dxa" w:w="1701"/>
            <w:vAlign w:val="center"/>
            <w:tcMar>
              <w:top w:w="75" w:type="dxa"/>
              <w:bottom w:w="75" w:type="dxa"/>
              <w:start w:w="90" w:type="dxa"/>
              <w:end w:w="90" w:type="dxa"/>
            </w:tcMar>
            <w:shd w:fill="E8EEF5"/>
          </w:tcPr>
          <w:p>
            <w:pPr>
              <w:spacing w:after="0" w:line="264" w:lineRule="auto"/>
              <w:jc w:val="center"/>
            </w:pPr>
            <w:r>
              <w:rPr>
                <w:b/>
                <w:sz w:val="18"/>
              </w:rPr>
              <w:t>检查</w:t>
            </w:r>
          </w:p>
        </w:tc>
        <w:tc>
          <w:tcPr>
            <w:tcW w:type="dxa" w:w="8050"/>
            <w:vAlign w:val="center"/>
            <w:tcMar>
              <w:top w:w="75" w:type="dxa"/>
              <w:bottom w:w="75" w:type="dxa"/>
              <w:start w:w="90" w:type="dxa"/>
              <w:end w:w="90" w:type="dxa"/>
            </w:tcMar>
            <w:shd w:fill="E8EEF5"/>
          </w:tcPr>
          <w:p>
            <w:pPr>
              <w:spacing w:after="0" w:line="264" w:lineRule="auto"/>
              <w:jc w:val="center"/>
            </w:pPr>
            <w:r>
              <w:rPr>
                <w:b/>
                <w:sz w:val="18"/>
              </w:rPr>
              <w:t>结果</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完整性</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0 个销量缺失值；0 个负销量值；SKU ID 无重复</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零销量</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占 SKU 月度观测的 32.0%，保留为可得性或间歇需求信号</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文本提取</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规格提取率 98.6%；包装数量提取率 97.3%</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潜在断供</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305 个前后两月均为正而当月为零的间断点；保留观测</w:t>
            </w:r>
          </w:p>
        </w:tc>
      </w:tr>
      <w:tr>
        <w:trPr>
          <w:cantSplit/>
        </w:trPr>
        <w:tc>
          <w:tcPr>
            <w:tcW w:type="dxa" w:w="1701"/>
            <w:vAlign w:val="center"/>
            <w:tcMar>
              <w:top w:w="75" w:type="dxa"/>
              <w:bottom w:w="75" w:type="dxa"/>
              <w:start w:w="90" w:type="dxa"/>
              <w:end w:w="90" w:type="dxa"/>
            </w:tcMar>
            <w:shd w:fill="FFFFFF"/>
          </w:tcPr>
          <w:p>
            <w:pPr>
              <w:spacing w:after="0" w:line="264" w:lineRule="auto"/>
            </w:pPr>
            <w:r>
              <w:rPr>
                <w:b w:val="0"/>
                <w:sz w:val="18"/>
              </w:rPr>
              <w:t>潜在尖峰</w:t>
            </w:r>
          </w:p>
        </w:tc>
        <w:tc>
          <w:tcPr>
            <w:tcW w:type="dxa" w:w="8050"/>
            <w:vAlign w:val="center"/>
            <w:tcMar>
              <w:top w:w="75" w:type="dxa"/>
              <w:bottom w:w="75" w:type="dxa"/>
              <w:start w:w="90" w:type="dxa"/>
              <w:end w:w="90" w:type="dxa"/>
            </w:tcMar>
            <w:shd w:fill="FFFFFF"/>
          </w:tcPr>
          <w:p>
            <w:pPr>
              <w:spacing w:after="0" w:line="264" w:lineRule="auto"/>
              <w:jc w:val="center"/>
            </w:pPr>
            <w:r>
              <w:rPr>
                <w:b w:val="0"/>
                <w:sz w:val="18"/>
              </w:rPr>
              <w:t>161 个局部尖峰；保留用于汇总需求及敏感性评估</w:t>
            </w:r>
          </w:p>
        </w:tc>
      </w:tr>
    </w:tbl>
    <w:p>
      <w:pPr>
        <w:spacing w:after="0" w:line="60" w:lineRule="exact"/>
      </w:pPr>
      <w:r>
        <w:rPr>
          <w:sz w:val="6"/>
        </w:rPr>
        <w:t xml:space="preserve"> </w:t>
      </w:r>
    </w:p>
    <w:p>
      <w:pPr>
        <w:spacing w:line="300" w:lineRule="exact" w:before="0" w:after="80"/>
        <w:snapToGrid w:val="0"/>
      </w:pPr>
      <w:r>
        <w:t>核对说明：上述断供和尖峰是启发式标记，不能直接认定为真实缺货或错误数据。尖峰实际判断为当月销量大于 max（局部正值中位数的 5 倍，中位数 + 50）。原代码只汇总这些标记的数量，没有将逐 SKU 月份的标记明细导出。</w:t>
      </w:r>
    </w:p>
    <w:p>
      <w:pPr>
        <w:pStyle w:val="Heading2"/>
        <w:spacing w:line="400" w:lineRule="exact" w:before="80" w:after="80"/>
        <w:snapToGrid w:val="0"/>
      </w:pPr>
      <w:r>
        <w:t>1.3 市场定义</w:t>
      </w:r>
    </w:p>
    <w:p>
      <w:pPr>
        <w:spacing w:line="300" w:lineRule="exact" w:before="0" w:after="80"/>
        <w:snapToGrid w:val="0"/>
      </w:pPr>
      <w:r>
        <w:t>优先使用至少包含两个样本通用名的 ATC4 分组，否则回退到符合条件的 ATC3 分组。仍无样本同类产品时，不报告竞争份额。20 个通用名中有 12 个至少出现在一个可用同类分组，其余使用明确标识的组合份额。</w:t>
      </w:r>
    </w:p>
    <w:p>
      <w:pPr>
        <w:spacing w:line="300" w:lineRule="exact" w:before="0" w:after="80"/>
        <w:snapToGrid w:val="0"/>
      </w:pPr>
      <w:r>
        <w:t>该文件是选取的 20 个通用名样本，不是完整市场普查。份额仅代表样本；数据不足以支持收入、价格弹性、推广回报、患者或医生定向、准入、利润及停产品决策。</w:t>
      </w:r>
    </w:p>
    <w:p>
      <w:pPr>
        <w:spacing w:after="80" w:line="300" w:lineRule="exact" w:before="0"/>
        <w:snapToGrid w:val="0"/>
      </w:pPr>
      <w:r>
        <w:rPr>
          <w:color w:val="596773"/>
          <w:sz w:val="16"/>
        </w:rPr>
        <w:t>数据 D1；代码 C1 第 308 至 341、764 至 823、879 至 889 行；结果 R1、R4。</w:t>
      </w:r>
    </w:p>
    <w:p>
      <w:r>
        <w:br w:type="page"/>
      </w:r>
    </w:p>
    <w:p>
      <w:pPr>
        <w:pStyle w:val="Heading1"/>
      </w:pPr>
      <w:r>
        <w:t>2 市场表现与竞争动态</w:t>
      </w:r>
    </w:p>
    <w:p>
      <w:pPr>
        <w:keepNext/>
        <w:spacing w:after="40"/>
        <w:jc w:val="center"/>
      </w:pPr>
      <w:r>
        <w:drawing>
          <wp:inline xmlns:a="http://schemas.openxmlformats.org/drawingml/2006/main" xmlns:pic="http://schemas.openxmlformats.org/drawingml/2006/picture">
            <wp:extent cx="5903999" cy="2804400"/>
            <wp:docPr id="1" name="Picture 1" descr="图 1  2019 至 2023 年组合年度销量"/>
            <wp:cNvGraphicFramePr>
              <a:graphicFrameLocks noChangeAspect="1"/>
            </wp:cNvGraphicFramePr>
            <a:graphic>
              <a:graphicData uri="http://schemas.openxmlformats.org/drawingml/2006/picture">
                <pic:pic>
                  <pic:nvPicPr>
                    <pic:cNvPr id="0" name="annual.png"/>
                    <pic:cNvPicPr/>
                  </pic:nvPicPr>
                  <pic:blipFill>
                    <a:blip r:embed="rId10"/>
                    <a:stretch>
                      <a:fillRect/>
                    </a:stretch>
                  </pic:blipFill>
                  <pic:spPr>
                    <a:xfrm>
                      <a:off x="0" y="0"/>
                      <a:ext cx="5903999" cy="2804400"/>
                    </a:xfrm>
                    <a:prstGeom prst="rect"/>
                  </pic:spPr>
                </pic:pic>
              </a:graphicData>
            </a:graphic>
          </wp:inline>
        </w:drawing>
      </w:r>
    </w:p>
    <w:p>
      <w:pPr>
        <w:pStyle w:val="Caption"/>
        <w:jc w:val="center"/>
      </w:pPr>
      <w:r>
        <w:t>图 1  2019 至 2023 年组合年度销量</w:t>
      </w:r>
    </w:p>
    <w:p>
      <w:r>
        <w:t>组合需求在 2020 年增长 8.2%，2021 年增长 1.4%，随后在 2022 年下降 21.3%，2023 年下降 1.3%。2023 年看似企稳的总量掩盖了通用名之间的明显分化。</w:t>
      </w:r>
    </w:p>
    <w:p>
      <w:pPr>
        <w:pStyle w:val="Heading2"/>
      </w:pPr>
      <w:r>
        <w:t>2.1 通用名表现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757"/>
        <w:gridCol w:w="1531"/>
        <w:gridCol w:w="1814"/>
        <w:gridCol w:w="2098"/>
      </w:tblGrid>
      <w:tr>
        <w:trPr>
          <w:cantSplit/>
          <w:tblHeader/>
        </w:trPr>
        <w:tc>
          <w:tcPr>
            <w:tcW w:type="dxa" w:w="2551"/>
            <w:vAlign w:val="center"/>
            <w:tcMar>
              <w:top w:w="75" w:type="dxa"/>
              <w:bottom w:w="75" w:type="dxa"/>
              <w:start w:w="90" w:type="dxa"/>
              <w:end w:w="90" w:type="dxa"/>
            </w:tcMar>
            <w:shd w:fill="E8EEF5"/>
          </w:tcPr>
          <w:p>
            <w:pPr>
              <w:spacing w:after="0" w:line="264" w:lineRule="auto"/>
              <w:jc w:val="center"/>
            </w:pPr>
            <w:r>
              <w:rPr>
                <w:b/>
                <w:sz w:val="18"/>
              </w:rPr>
              <w:t>通用名</w:t>
            </w:r>
          </w:p>
        </w:tc>
        <w:tc>
          <w:tcPr>
            <w:tcW w:type="dxa" w:w="1757"/>
            <w:vAlign w:val="center"/>
            <w:tcMar>
              <w:top w:w="75" w:type="dxa"/>
              <w:bottom w:w="75" w:type="dxa"/>
              <w:start w:w="90" w:type="dxa"/>
              <w:end w:w="90" w:type="dxa"/>
            </w:tcMar>
            <w:shd w:fill="E8EEF5"/>
          </w:tcPr>
          <w:p>
            <w:pPr>
              <w:spacing w:after="0" w:line="264" w:lineRule="auto"/>
              <w:jc w:val="center"/>
            </w:pPr>
            <w:r>
              <w:rPr>
                <w:b/>
                <w:sz w:val="18"/>
              </w:rPr>
              <w:t>2023 销量</w:t>
              <w:br/>
              <w:t>百万</w:t>
            </w:r>
          </w:p>
        </w:tc>
        <w:tc>
          <w:tcPr>
            <w:tcW w:type="dxa" w:w="1531"/>
            <w:vAlign w:val="center"/>
            <w:tcMar>
              <w:top w:w="75" w:type="dxa"/>
              <w:bottom w:w="75" w:type="dxa"/>
              <w:start w:w="90" w:type="dxa"/>
              <w:end w:w="90" w:type="dxa"/>
            </w:tcMar>
            <w:shd w:fill="E8EEF5"/>
          </w:tcPr>
          <w:p>
            <w:pPr>
              <w:spacing w:after="0" w:line="264" w:lineRule="auto"/>
              <w:jc w:val="center"/>
            </w:pPr>
            <w:r>
              <w:rPr>
                <w:b/>
                <w:sz w:val="18"/>
              </w:rPr>
              <w:t>同比</w:t>
            </w:r>
          </w:p>
        </w:tc>
        <w:tc>
          <w:tcPr>
            <w:tcW w:type="dxa" w:w="1814"/>
            <w:vAlign w:val="center"/>
            <w:tcMar>
              <w:top w:w="75" w:type="dxa"/>
              <w:bottom w:w="75" w:type="dxa"/>
              <w:start w:w="90" w:type="dxa"/>
              <w:end w:w="90" w:type="dxa"/>
            </w:tcMar>
            <w:shd w:fill="E8EEF5"/>
          </w:tcPr>
          <w:p>
            <w:pPr>
              <w:spacing w:after="0" w:line="264" w:lineRule="auto"/>
              <w:jc w:val="center"/>
            </w:pPr>
            <w:r>
              <w:rPr>
                <w:b/>
                <w:sz w:val="18"/>
              </w:rPr>
              <w:t>组合份额</w:t>
            </w:r>
          </w:p>
        </w:tc>
        <w:tc>
          <w:tcPr>
            <w:tcW w:type="dxa" w:w="2098"/>
            <w:vAlign w:val="center"/>
            <w:tcMar>
              <w:top w:w="75" w:type="dxa"/>
              <w:bottom w:w="75" w:type="dxa"/>
              <w:start w:w="90" w:type="dxa"/>
              <w:end w:w="90" w:type="dxa"/>
            </w:tcMar>
            <w:shd w:fill="E8EEF5"/>
          </w:tcPr>
          <w:p>
            <w:pPr>
              <w:spacing w:after="0" w:line="264" w:lineRule="auto"/>
              <w:jc w:val="center"/>
            </w:pPr>
            <w:r>
              <w:rPr>
                <w:b/>
                <w:sz w:val="18"/>
              </w:rPr>
              <w:t>份额变化</w:t>
              <w:br/>
              <w:t>百分点</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8"/>
              </w:rPr>
              <w:t>乙酰水杨酸</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22.4</w:t>
            </w:r>
          </w:p>
        </w:tc>
        <w:tc>
          <w:tcPr>
            <w:tcW w:type="dxa" w:w="1531"/>
            <w:vAlign w:val="center"/>
            <w:tcMar>
              <w:top w:w="75" w:type="dxa"/>
              <w:bottom w:w="75" w:type="dxa"/>
              <w:start w:w="90" w:type="dxa"/>
              <w:end w:w="90" w:type="dxa"/>
            </w:tcMar>
            <w:shd w:fill="FFFFFF"/>
          </w:tcPr>
          <w:p>
            <w:pPr>
              <w:spacing w:after="0" w:line="264" w:lineRule="auto"/>
              <w:jc w:val="center"/>
            </w:pPr>
            <w:r>
              <w:rPr>
                <w:b w:val="0"/>
                <w:sz w:val="18"/>
              </w:rPr>
              <w:t>-4.1%</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18.3%</w:t>
            </w:r>
          </w:p>
        </w:tc>
        <w:tc>
          <w:tcPr>
            <w:tcW w:type="dxa" w:w="2098"/>
            <w:vAlign w:val="center"/>
            <w:tcMar>
              <w:top w:w="75" w:type="dxa"/>
              <w:bottom w:w="75" w:type="dxa"/>
              <w:start w:w="90" w:type="dxa"/>
              <w:end w:w="90" w:type="dxa"/>
            </w:tcMar>
            <w:shd w:fill="FFFFFF"/>
          </w:tcPr>
          <w:p>
            <w:pPr>
              <w:spacing w:after="0" w:line="264" w:lineRule="auto"/>
              <w:jc w:val="center"/>
            </w:pPr>
            <w:r>
              <w:rPr>
                <w:b w:val="0"/>
                <w:sz w:val="18"/>
              </w:rPr>
              <w:t>-0.5</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8"/>
              </w:rPr>
              <w:t>布洛芬</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13.4</w:t>
            </w:r>
          </w:p>
        </w:tc>
        <w:tc>
          <w:tcPr>
            <w:tcW w:type="dxa" w:w="1531"/>
            <w:vAlign w:val="center"/>
            <w:tcMar>
              <w:top w:w="75" w:type="dxa"/>
              <w:bottom w:w="75" w:type="dxa"/>
              <w:start w:w="90" w:type="dxa"/>
              <w:end w:w="90" w:type="dxa"/>
            </w:tcMar>
            <w:shd w:fill="FFFFFF"/>
          </w:tcPr>
          <w:p>
            <w:pPr>
              <w:spacing w:after="0" w:line="264" w:lineRule="auto"/>
              <w:jc w:val="center"/>
            </w:pPr>
            <w:r>
              <w:rPr>
                <w:b w:val="0"/>
                <w:sz w:val="18"/>
              </w:rPr>
              <w:t>8.4%</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11.0%</w:t>
            </w:r>
          </w:p>
        </w:tc>
        <w:tc>
          <w:tcPr>
            <w:tcW w:type="dxa" w:w="2098"/>
            <w:vAlign w:val="center"/>
            <w:tcMar>
              <w:top w:w="75" w:type="dxa"/>
              <w:bottom w:w="75" w:type="dxa"/>
              <w:start w:w="90" w:type="dxa"/>
              <w:end w:w="90" w:type="dxa"/>
            </w:tcMar>
            <w:shd w:fill="FFFFFF"/>
          </w:tcPr>
          <w:p>
            <w:pPr>
              <w:spacing w:after="0" w:line="264" w:lineRule="auto"/>
              <w:jc w:val="center"/>
            </w:pPr>
            <w:r>
              <w:rPr>
                <w:b w:val="0"/>
                <w:sz w:val="18"/>
              </w:rPr>
              <w:t>+1.0</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8"/>
              </w:rPr>
              <w:t>对乙酰氨基酚</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12.0</w:t>
            </w:r>
          </w:p>
        </w:tc>
        <w:tc>
          <w:tcPr>
            <w:tcW w:type="dxa" w:w="1531"/>
            <w:vAlign w:val="center"/>
            <w:tcMar>
              <w:top w:w="75" w:type="dxa"/>
              <w:bottom w:w="75" w:type="dxa"/>
              <w:start w:w="90" w:type="dxa"/>
              <w:end w:w="90" w:type="dxa"/>
            </w:tcMar>
            <w:shd w:fill="FFFFFF"/>
          </w:tcPr>
          <w:p>
            <w:pPr>
              <w:spacing w:after="0" w:line="264" w:lineRule="auto"/>
              <w:jc w:val="center"/>
            </w:pPr>
            <w:r>
              <w:rPr>
                <w:b w:val="0"/>
                <w:sz w:val="18"/>
              </w:rPr>
              <w:t>-12.6%</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9.8%</w:t>
            </w:r>
          </w:p>
        </w:tc>
        <w:tc>
          <w:tcPr>
            <w:tcW w:type="dxa" w:w="2098"/>
            <w:vAlign w:val="center"/>
            <w:tcMar>
              <w:top w:w="75" w:type="dxa"/>
              <w:bottom w:w="75" w:type="dxa"/>
              <w:start w:w="90" w:type="dxa"/>
              <w:end w:w="90" w:type="dxa"/>
            </w:tcMar>
            <w:shd w:fill="FFFFFF"/>
          </w:tcPr>
          <w:p>
            <w:pPr>
              <w:spacing w:after="0" w:line="264" w:lineRule="auto"/>
              <w:jc w:val="center"/>
            </w:pPr>
            <w:r>
              <w:rPr>
                <w:b w:val="0"/>
                <w:sz w:val="18"/>
              </w:rPr>
              <w:t>-1.3</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8"/>
              </w:rPr>
              <w:t>双氯芬酸</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11.8</w:t>
            </w:r>
          </w:p>
        </w:tc>
        <w:tc>
          <w:tcPr>
            <w:tcW w:type="dxa" w:w="1531"/>
            <w:vAlign w:val="center"/>
            <w:tcMar>
              <w:top w:w="75" w:type="dxa"/>
              <w:bottom w:w="75" w:type="dxa"/>
              <w:start w:w="90" w:type="dxa"/>
              <w:end w:w="90" w:type="dxa"/>
            </w:tcMar>
            <w:shd w:fill="FFFFFF"/>
          </w:tcPr>
          <w:p>
            <w:pPr>
              <w:spacing w:after="0" w:line="264" w:lineRule="auto"/>
              <w:jc w:val="center"/>
            </w:pPr>
            <w:r>
              <w:rPr>
                <w:b w:val="0"/>
                <w:sz w:val="18"/>
              </w:rPr>
              <w:t>-3.5%</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9.6%</w:t>
            </w:r>
          </w:p>
        </w:tc>
        <w:tc>
          <w:tcPr>
            <w:tcW w:type="dxa" w:w="2098"/>
            <w:vAlign w:val="center"/>
            <w:tcMar>
              <w:top w:w="75" w:type="dxa"/>
              <w:bottom w:w="75" w:type="dxa"/>
              <w:start w:w="90" w:type="dxa"/>
              <w:end w:w="90" w:type="dxa"/>
            </w:tcMar>
            <w:shd w:fill="FFFFFF"/>
          </w:tcPr>
          <w:p>
            <w:pPr>
              <w:spacing w:after="0" w:line="264" w:lineRule="auto"/>
              <w:jc w:val="center"/>
            </w:pPr>
            <w:r>
              <w:rPr>
                <w:b w:val="0"/>
                <w:sz w:val="18"/>
              </w:rPr>
              <w:t>-0.2</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8"/>
              </w:rPr>
              <w:t>比索洛尔</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10.1</w:t>
            </w:r>
          </w:p>
        </w:tc>
        <w:tc>
          <w:tcPr>
            <w:tcW w:type="dxa" w:w="1531"/>
            <w:vAlign w:val="center"/>
            <w:tcMar>
              <w:top w:w="75" w:type="dxa"/>
              <w:bottom w:w="75" w:type="dxa"/>
              <w:start w:w="90" w:type="dxa"/>
              <w:end w:w="90" w:type="dxa"/>
            </w:tcMar>
            <w:shd w:fill="FFFFFF"/>
          </w:tcPr>
          <w:p>
            <w:pPr>
              <w:spacing w:after="0" w:line="264" w:lineRule="auto"/>
              <w:jc w:val="center"/>
            </w:pPr>
            <w:r>
              <w:rPr>
                <w:b w:val="0"/>
                <w:sz w:val="18"/>
              </w:rPr>
              <w:t>2.5%</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8.3%</w:t>
            </w:r>
          </w:p>
        </w:tc>
        <w:tc>
          <w:tcPr>
            <w:tcW w:type="dxa" w:w="2098"/>
            <w:vAlign w:val="center"/>
            <w:tcMar>
              <w:top w:w="75" w:type="dxa"/>
              <w:bottom w:w="75" w:type="dxa"/>
              <w:start w:w="90" w:type="dxa"/>
              <w:end w:w="90" w:type="dxa"/>
            </w:tcMar>
            <w:shd w:fill="FFFFFF"/>
          </w:tcPr>
          <w:p>
            <w:pPr>
              <w:spacing w:after="0" w:line="264" w:lineRule="auto"/>
              <w:jc w:val="center"/>
            </w:pPr>
            <w:r>
              <w:rPr>
                <w:b w:val="0"/>
                <w:sz w:val="18"/>
              </w:rPr>
              <w:t>+0.3</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8"/>
              </w:rPr>
              <w:t>二甲双胍</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7.7</w:t>
            </w:r>
          </w:p>
        </w:tc>
        <w:tc>
          <w:tcPr>
            <w:tcW w:type="dxa" w:w="1531"/>
            <w:vAlign w:val="center"/>
            <w:tcMar>
              <w:top w:w="75" w:type="dxa"/>
              <w:bottom w:w="75" w:type="dxa"/>
              <w:start w:w="90" w:type="dxa"/>
              <w:end w:w="90" w:type="dxa"/>
            </w:tcMar>
            <w:shd w:fill="FFFFFF"/>
          </w:tcPr>
          <w:p>
            <w:pPr>
              <w:spacing w:after="0" w:line="264" w:lineRule="auto"/>
              <w:jc w:val="center"/>
            </w:pPr>
            <w:r>
              <w:rPr>
                <w:b w:val="0"/>
                <w:sz w:val="18"/>
              </w:rPr>
              <w:t>-0.5%</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6.3%</w:t>
            </w:r>
          </w:p>
        </w:tc>
        <w:tc>
          <w:tcPr>
            <w:tcW w:type="dxa" w:w="2098"/>
            <w:vAlign w:val="center"/>
            <w:tcMar>
              <w:top w:w="75" w:type="dxa"/>
              <w:bottom w:w="75" w:type="dxa"/>
              <w:start w:w="90" w:type="dxa"/>
              <w:end w:w="90" w:type="dxa"/>
            </w:tcMar>
            <w:shd w:fill="FFFFFF"/>
          </w:tcPr>
          <w:p>
            <w:pPr>
              <w:spacing w:after="0" w:line="264" w:lineRule="auto"/>
              <w:jc w:val="center"/>
            </w:pPr>
            <w:r>
              <w:rPr>
                <w:b w:val="0"/>
                <w:sz w:val="18"/>
              </w:rPr>
              <w:t>+0.1</w:t>
            </w:r>
          </w:p>
        </w:tc>
      </w:tr>
    </w:tbl>
    <w:p>
      <w:pPr>
        <w:spacing w:after="0" w:line="60" w:lineRule="exact"/>
      </w:pPr>
      <w:r>
        <w:rPr>
          <w:sz w:val="6"/>
        </w:rPr>
        <w:t xml:space="preserve"> </w:t>
      </w:r>
    </w:p>
    <w:p>
      <w:r>
        <w:t>乙酰水杨酸以 22.4 百万销量位居第一，但组合份额减少 0.5 个百分点。布洛芬增长 8.4%，组合份额增加 1.0 个百分点，是高销量产品中动量较强的品种。对乙酰氨基酚仍居第三，但销量下降 12.6%，组合份额减少 1.3 个百分点。</w:t>
      </w:r>
    </w:p>
    <w:p>
      <w:pPr>
        <w:spacing w:after="140"/>
      </w:pPr>
      <w:r>
        <w:rPr>
          <w:color w:val="596773"/>
          <w:sz w:val="16"/>
        </w:rPr>
        <w:t>图表及计算依据 D1、R1 portfolio_annual、R2、R3；代码 C1 第 774 至 789 行。图中单位为百万包装当量，正文保留原报告的一位小数精度。</w:t>
      </w:r>
    </w:p>
    <w:p>
      <w:r>
        <w:br w:type="page"/>
      </w:r>
    </w:p>
    <w:p>
      <w:pPr>
        <w:pStyle w:val="Heading1"/>
      </w:pPr>
      <w:r>
        <w:t>2.2 样本同类市场动态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551"/>
        <w:gridCol w:w="1417"/>
        <w:gridCol w:w="1644"/>
        <w:gridCol w:w="2154"/>
      </w:tblGrid>
      <w:tr>
        <w:trPr>
          <w:cantSplit/>
          <w:tblHeader/>
        </w:trPr>
        <w:tc>
          <w:tcPr>
            <w:tcW w:type="dxa" w:w="1984"/>
            <w:vAlign w:val="center"/>
            <w:tcMar>
              <w:top w:w="75" w:type="dxa"/>
              <w:bottom w:w="75" w:type="dxa"/>
              <w:start w:w="90" w:type="dxa"/>
              <w:end w:w="90" w:type="dxa"/>
            </w:tcMar>
            <w:shd w:fill="E8EEF5"/>
          </w:tcPr>
          <w:p>
            <w:pPr>
              <w:spacing w:after="0" w:line="264" w:lineRule="auto"/>
              <w:jc w:val="center"/>
            </w:pPr>
            <w:r>
              <w:rPr>
                <w:b/>
                <w:sz w:val="17"/>
              </w:rPr>
              <w:t>通用名</w:t>
            </w:r>
          </w:p>
        </w:tc>
        <w:tc>
          <w:tcPr>
            <w:tcW w:type="dxa" w:w="2551"/>
            <w:vAlign w:val="center"/>
            <w:tcMar>
              <w:top w:w="75" w:type="dxa"/>
              <w:bottom w:w="75" w:type="dxa"/>
              <w:start w:w="90" w:type="dxa"/>
              <w:end w:w="90" w:type="dxa"/>
            </w:tcMar>
            <w:shd w:fill="E8EEF5"/>
          </w:tcPr>
          <w:p>
            <w:pPr>
              <w:spacing w:after="0" w:line="264" w:lineRule="auto"/>
              <w:jc w:val="center"/>
            </w:pPr>
            <w:r>
              <w:rPr>
                <w:b/>
                <w:sz w:val="17"/>
              </w:rPr>
              <w:t>样本市场</w:t>
            </w:r>
          </w:p>
        </w:tc>
        <w:tc>
          <w:tcPr>
            <w:tcW w:type="dxa" w:w="1417"/>
            <w:vAlign w:val="center"/>
            <w:tcMar>
              <w:top w:w="75" w:type="dxa"/>
              <w:bottom w:w="75" w:type="dxa"/>
              <w:start w:w="90" w:type="dxa"/>
              <w:end w:w="90" w:type="dxa"/>
            </w:tcMar>
            <w:shd w:fill="E8EEF5"/>
          </w:tcPr>
          <w:p>
            <w:pPr>
              <w:spacing w:after="0" w:line="264" w:lineRule="auto"/>
              <w:jc w:val="center"/>
            </w:pPr>
            <w:r>
              <w:rPr>
                <w:b/>
                <w:sz w:val="17"/>
              </w:rPr>
              <w:t>市场增长</w:t>
            </w:r>
          </w:p>
        </w:tc>
        <w:tc>
          <w:tcPr>
            <w:tcW w:type="dxa" w:w="1644"/>
            <w:vAlign w:val="center"/>
            <w:tcMar>
              <w:top w:w="75" w:type="dxa"/>
              <w:bottom w:w="75" w:type="dxa"/>
              <w:start w:w="90" w:type="dxa"/>
              <w:end w:w="90" w:type="dxa"/>
            </w:tcMar>
            <w:shd w:fill="E8EEF5"/>
          </w:tcPr>
          <w:p>
            <w:pPr>
              <w:spacing w:after="0" w:line="264" w:lineRule="auto"/>
              <w:jc w:val="center"/>
            </w:pPr>
            <w:r>
              <w:rPr>
                <w:b/>
                <w:sz w:val="17"/>
              </w:rPr>
              <w:t>份额变化</w:t>
              <w:br/>
              <w:t>百分点</w:t>
            </w:r>
          </w:p>
        </w:tc>
        <w:tc>
          <w:tcPr>
            <w:tcW w:type="dxa" w:w="2154"/>
            <w:vAlign w:val="center"/>
            <w:tcMar>
              <w:top w:w="75" w:type="dxa"/>
              <w:bottom w:w="75" w:type="dxa"/>
              <w:start w:w="90" w:type="dxa"/>
              <w:end w:w="90" w:type="dxa"/>
            </w:tcMar>
            <w:shd w:fill="E8EEF5"/>
          </w:tcPr>
          <w:p>
            <w:pPr>
              <w:spacing w:after="0" w:line="264" w:lineRule="auto"/>
              <w:jc w:val="center"/>
            </w:pPr>
            <w:r>
              <w:rPr>
                <w:b/>
                <w:sz w:val="17"/>
              </w:rPr>
              <w:t>份额效应</w:t>
              <w:br/>
              <w:t>包装当量</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7"/>
              </w:rPr>
              <w:t>瑞舒伐他汀</w:t>
            </w:r>
          </w:p>
        </w:tc>
        <w:tc>
          <w:tcPr>
            <w:tcW w:type="dxa" w:w="2551"/>
            <w:vAlign w:val="center"/>
            <w:tcMar>
              <w:top w:w="75" w:type="dxa"/>
              <w:bottom w:w="75" w:type="dxa"/>
              <w:start w:w="90" w:type="dxa"/>
              <w:end w:w="90" w:type="dxa"/>
            </w:tcMar>
            <w:shd w:fill="FFFFFF"/>
          </w:tcPr>
          <w:p>
            <w:pPr>
              <w:spacing w:after="0" w:line="264" w:lineRule="auto"/>
              <w:jc w:val="center"/>
            </w:pPr>
            <w:r>
              <w:rPr>
                <w:b w:val="0"/>
                <w:sz w:val="17"/>
              </w:rPr>
              <w:t>C10A A 他汀类</w:t>
            </w:r>
          </w:p>
        </w:tc>
        <w:tc>
          <w:tcPr>
            <w:tcW w:type="dxa" w:w="1417"/>
            <w:vAlign w:val="center"/>
            <w:tcMar>
              <w:top w:w="75" w:type="dxa"/>
              <w:bottom w:w="75" w:type="dxa"/>
              <w:start w:w="90" w:type="dxa"/>
              <w:end w:w="90" w:type="dxa"/>
            </w:tcMar>
            <w:shd w:fill="FFFFFF"/>
          </w:tcPr>
          <w:p>
            <w:pPr>
              <w:spacing w:after="0" w:line="264" w:lineRule="auto"/>
              <w:jc w:val="center"/>
            </w:pPr>
            <w:r>
              <w:rPr>
                <w:b w:val="0"/>
                <w:sz w:val="17"/>
              </w:rPr>
              <w:t>19.0%</w:t>
            </w:r>
          </w:p>
        </w:tc>
        <w:tc>
          <w:tcPr>
            <w:tcW w:type="dxa" w:w="1644"/>
            <w:vAlign w:val="center"/>
            <w:tcMar>
              <w:top w:w="75" w:type="dxa"/>
              <w:bottom w:w="75" w:type="dxa"/>
              <w:start w:w="90" w:type="dxa"/>
              <w:end w:w="90" w:type="dxa"/>
            </w:tcMar>
            <w:shd w:fill="FFFFFF"/>
          </w:tcPr>
          <w:p>
            <w:pPr>
              <w:spacing w:after="0" w:line="264" w:lineRule="auto"/>
              <w:jc w:val="center"/>
            </w:pPr>
            <w:r>
              <w:rPr>
                <w:b w:val="0"/>
                <w:sz w:val="17"/>
              </w:rPr>
              <w:t>+3.0</w:t>
            </w:r>
          </w:p>
        </w:tc>
        <w:tc>
          <w:tcPr>
            <w:tcW w:type="dxa" w:w="2154"/>
            <w:vAlign w:val="center"/>
            <w:tcMar>
              <w:top w:w="75" w:type="dxa"/>
              <w:bottom w:w="75" w:type="dxa"/>
              <w:start w:w="90" w:type="dxa"/>
              <w:end w:w="90" w:type="dxa"/>
            </w:tcMar>
            <w:shd w:fill="FFFFFF"/>
          </w:tcPr>
          <w:p>
            <w:pPr>
              <w:spacing w:after="0" w:line="264" w:lineRule="auto"/>
              <w:jc w:val="center"/>
            </w:pPr>
            <w:r>
              <w:rPr>
                <w:b w:val="0"/>
                <w:sz w:val="17"/>
              </w:rPr>
              <w:t>156,231</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7"/>
              </w:rPr>
              <w:t>阿托伐他汀</w:t>
            </w:r>
          </w:p>
        </w:tc>
        <w:tc>
          <w:tcPr>
            <w:tcW w:type="dxa" w:w="2551"/>
            <w:vAlign w:val="center"/>
            <w:tcMar>
              <w:top w:w="75" w:type="dxa"/>
              <w:bottom w:w="75" w:type="dxa"/>
              <w:start w:w="90" w:type="dxa"/>
              <w:end w:w="90" w:type="dxa"/>
            </w:tcMar>
            <w:shd w:fill="FFFFFF"/>
          </w:tcPr>
          <w:p>
            <w:pPr>
              <w:spacing w:after="0" w:line="264" w:lineRule="auto"/>
              <w:jc w:val="center"/>
            </w:pPr>
            <w:r>
              <w:rPr>
                <w:b w:val="0"/>
                <w:sz w:val="17"/>
              </w:rPr>
              <w:t>C10A A 他汀类</w:t>
            </w:r>
          </w:p>
        </w:tc>
        <w:tc>
          <w:tcPr>
            <w:tcW w:type="dxa" w:w="1417"/>
            <w:vAlign w:val="center"/>
            <w:tcMar>
              <w:top w:w="75" w:type="dxa"/>
              <w:bottom w:w="75" w:type="dxa"/>
              <w:start w:w="90" w:type="dxa"/>
              <w:end w:w="90" w:type="dxa"/>
            </w:tcMar>
            <w:shd w:fill="FFFFFF"/>
          </w:tcPr>
          <w:p>
            <w:pPr>
              <w:spacing w:after="0" w:line="264" w:lineRule="auto"/>
              <w:jc w:val="center"/>
            </w:pPr>
            <w:r>
              <w:rPr>
                <w:b w:val="0"/>
                <w:sz w:val="17"/>
              </w:rPr>
              <w:t>19.0%</w:t>
            </w:r>
          </w:p>
        </w:tc>
        <w:tc>
          <w:tcPr>
            <w:tcW w:type="dxa" w:w="1644"/>
            <w:vAlign w:val="center"/>
            <w:tcMar>
              <w:top w:w="75" w:type="dxa"/>
              <w:bottom w:w="75" w:type="dxa"/>
              <w:start w:w="90" w:type="dxa"/>
              <w:end w:w="90" w:type="dxa"/>
            </w:tcMar>
            <w:shd w:fill="FFFFFF"/>
          </w:tcPr>
          <w:p>
            <w:pPr>
              <w:spacing w:after="0" w:line="264" w:lineRule="auto"/>
              <w:jc w:val="center"/>
            </w:pPr>
            <w:r>
              <w:rPr>
                <w:b w:val="0"/>
                <w:sz w:val="17"/>
              </w:rPr>
              <w:t>-3.0</w:t>
            </w:r>
          </w:p>
        </w:tc>
        <w:tc>
          <w:tcPr>
            <w:tcW w:type="dxa" w:w="2154"/>
            <w:vAlign w:val="center"/>
            <w:tcMar>
              <w:top w:w="75" w:type="dxa"/>
              <w:bottom w:w="75" w:type="dxa"/>
              <w:start w:w="90" w:type="dxa"/>
              <w:end w:w="90" w:type="dxa"/>
            </w:tcMar>
            <w:shd w:fill="FFFFFF"/>
          </w:tcPr>
          <w:p>
            <w:pPr>
              <w:spacing w:after="0" w:line="264" w:lineRule="auto"/>
              <w:jc w:val="center"/>
            </w:pPr>
            <w:r>
              <w:rPr>
                <w:b w:val="0"/>
                <w:sz w:val="17"/>
              </w:rPr>
              <w:t>-156,231</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7"/>
              </w:rPr>
              <w:t>布洛芬</w:t>
            </w:r>
          </w:p>
        </w:tc>
        <w:tc>
          <w:tcPr>
            <w:tcW w:type="dxa" w:w="2551"/>
            <w:vAlign w:val="center"/>
            <w:tcMar>
              <w:top w:w="75" w:type="dxa"/>
              <w:bottom w:w="75" w:type="dxa"/>
              <w:start w:w="90" w:type="dxa"/>
              <w:end w:w="90" w:type="dxa"/>
            </w:tcMar>
            <w:shd w:fill="FFFFFF"/>
          </w:tcPr>
          <w:p>
            <w:pPr>
              <w:spacing w:after="0" w:line="264" w:lineRule="auto"/>
              <w:jc w:val="center"/>
            </w:pPr>
            <w:r>
              <w:rPr>
                <w:b w:val="0"/>
                <w:sz w:val="17"/>
              </w:rPr>
              <w:t>M01A 全身用非甾体抗炎药</w:t>
            </w:r>
          </w:p>
        </w:tc>
        <w:tc>
          <w:tcPr>
            <w:tcW w:type="dxa" w:w="1417"/>
            <w:vAlign w:val="center"/>
            <w:tcMar>
              <w:top w:w="75" w:type="dxa"/>
              <w:bottom w:w="75" w:type="dxa"/>
              <w:start w:w="90" w:type="dxa"/>
              <w:end w:w="90" w:type="dxa"/>
            </w:tcMar>
            <w:shd w:fill="FFFFFF"/>
          </w:tcPr>
          <w:p>
            <w:pPr>
              <w:spacing w:after="0" w:line="264" w:lineRule="auto"/>
              <w:jc w:val="center"/>
            </w:pPr>
            <w:r>
              <w:rPr>
                <w:b w:val="0"/>
                <w:sz w:val="17"/>
              </w:rPr>
              <w:t>3.6%</w:t>
            </w:r>
          </w:p>
        </w:tc>
        <w:tc>
          <w:tcPr>
            <w:tcW w:type="dxa" w:w="1644"/>
            <w:vAlign w:val="center"/>
            <w:tcMar>
              <w:top w:w="75" w:type="dxa"/>
              <w:bottom w:w="75" w:type="dxa"/>
              <w:start w:w="90" w:type="dxa"/>
              <w:end w:w="90" w:type="dxa"/>
            </w:tcMar>
            <w:shd w:fill="FFFFFF"/>
          </w:tcPr>
          <w:p>
            <w:pPr>
              <w:spacing w:after="0" w:line="264" w:lineRule="auto"/>
              <w:jc w:val="center"/>
            </w:pPr>
            <w:r>
              <w:rPr>
                <w:b w:val="0"/>
                <w:sz w:val="17"/>
              </w:rPr>
              <w:t>+2.0</w:t>
            </w:r>
          </w:p>
        </w:tc>
        <w:tc>
          <w:tcPr>
            <w:tcW w:type="dxa" w:w="2154"/>
            <w:vAlign w:val="center"/>
            <w:tcMar>
              <w:top w:w="75" w:type="dxa"/>
              <w:bottom w:w="75" w:type="dxa"/>
              <w:start w:w="90" w:type="dxa"/>
              <w:end w:w="90" w:type="dxa"/>
            </w:tcMar>
            <w:shd w:fill="FFFFFF"/>
          </w:tcPr>
          <w:p>
            <w:pPr>
              <w:spacing w:after="0" w:line="264" w:lineRule="auto"/>
              <w:jc w:val="center"/>
            </w:pPr>
            <w:r>
              <w:rPr>
                <w:b w:val="0"/>
                <w:sz w:val="17"/>
              </w:rPr>
              <w:t>519,327</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7"/>
              </w:rPr>
              <w:t>美洛昔康</w:t>
            </w:r>
          </w:p>
        </w:tc>
        <w:tc>
          <w:tcPr>
            <w:tcW w:type="dxa" w:w="2551"/>
            <w:vAlign w:val="center"/>
            <w:tcMar>
              <w:top w:w="75" w:type="dxa"/>
              <w:bottom w:w="75" w:type="dxa"/>
              <w:start w:w="90" w:type="dxa"/>
              <w:end w:w="90" w:type="dxa"/>
            </w:tcMar>
            <w:shd w:fill="FFFFFF"/>
          </w:tcPr>
          <w:p>
            <w:pPr>
              <w:spacing w:after="0" w:line="264" w:lineRule="auto"/>
              <w:jc w:val="center"/>
            </w:pPr>
            <w:r>
              <w:rPr>
                <w:b w:val="0"/>
                <w:sz w:val="17"/>
              </w:rPr>
              <w:t>M01A 全身用非甾体抗炎药</w:t>
            </w:r>
          </w:p>
        </w:tc>
        <w:tc>
          <w:tcPr>
            <w:tcW w:type="dxa" w:w="1417"/>
            <w:vAlign w:val="center"/>
            <w:tcMar>
              <w:top w:w="75" w:type="dxa"/>
              <w:bottom w:w="75" w:type="dxa"/>
              <w:start w:w="90" w:type="dxa"/>
              <w:end w:w="90" w:type="dxa"/>
            </w:tcMar>
            <w:shd w:fill="FFFFFF"/>
          </w:tcPr>
          <w:p>
            <w:pPr>
              <w:spacing w:after="0" w:line="264" w:lineRule="auto"/>
              <w:jc w:val="center"/>
            </w:pPr>
            <w:r>
              <w:rPr>
                <w:b w:val="0"/>
                <w:sz w:val="17"/>
              </w:rPr>
              <w:t>3.6%</w:t>
            </w:r>
          </w:p>
        </w:tc>
        <w:tc>
          <w:tcPr>
            <w:tcW w:type="dxa" w:w="1644"/>
            <w:vAlign w:val="center"/>
            <w:tcMar>
              <w:top w:w="75" w:type="dxa"/>
              <w:bottom w:w="75" w:type="dxa"/>
              <w:start w:w="90" w:type="dxa"/>
              <w:end w:w="90" w:type="dxa"/>
            </w:tcMar>
            <w:shd w:fill="FFFFFF"/>
          </w:tcPr>
          <w:p>
            <w:pPr>
              <w:spacing w:after="0" w:line="264" w:lineRule="auto"/>
              <w:jc w:val="center"/>
            </w:pPr>
            <w:r>
              <w:rPr>
                <w:b w:val="0"/>
                <w:sz w:val="17"/>
              </w:rPr>
              <w:t>+1.1</w:t>
            </w:r>
          </w:p>
        </w:tc>
        <w:tc>
          <w:tcPr>
            <w:tcW w:type="dxa" w:w="2154"/>
            <w:vAlign w:val="center"/>
            <w:tcMar>
              <w:top w:w="75" w:type="dxa"/>
              <w:bottom w:w="75" w:type="dxa"/>
              <w:start w:w="90" w:type="dxa"/>
              <w:end w:w="90" w:type="dxa"/>
            </w:tcMar>
            <w:shd w:fill="FFFFFF"/>
          </w:tcPr>
          <w:p>
            <w:pPr>
              <w:spacing w:after="0" w:line="264" w:lineRule="auto"/>
              <w:jc w:val="center"/>
            </w:pPr>
            <w:r>
              <w:rPr>
                <w:b w:val="0"/>
                <w:sz w:val="17"/>
              </w:rPr>
              <w:t>275,892</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7"/>
              </w:rPr>
              <w:t>双氯芬酸</w:t>
            </w:r>
          </w:p>
        </w:tc>
        <w:tc>
          <w:tcPr>
            <w:tcW w:type="dxa" w:w="2551"/>
            <w:vAlign w:val="center"/>
            <w:tcMar>
              <w:top w:w="75" w:type="dxa"/>
              <w:bottom w:w="75" w:type="dxa"/>
              <w:start w:w="90" w:type="dxa"/>
              <w:end w:w="90" w:type="dxa"/>
            </w:tcMar>
            <w:shd w:fill="FFFFFF"/>
          </w:tcPr>
          <w:p>
            <w:pPr>
              <w:spacing w:after="0" w:line="264" w:lineRule="auto"/>
              <w:jc w:val="center"/>
            </w:pPr>
            <w:r>
              <w:rPr>
                <w:b w:val="0"/>
                <w:sz w:val="17"/>
              </w:rPr>
              <w:t>M01A 全身用非甾体抗炎药</w:t>
            </w:r>
          </w:p>
        </w:tc>
        <w:tc>
          <w:tcPr>
            <w:tcW w:type="dxa" w:w="1417"/>
            <w:vAlign w:val="center"/>
            <w:tcMar>
              <w:top w:w="75" w:type="dxa"/>
              <w:bottom w:w="75" w:type="dxa"/>
              <w:start w:w="90" w:type="dxa"/>
              <w:end w:w="90" w:type="dxa"/>
            </w:tcMar>
            <w:shd w:fill="FFFFFF"/>
          </w:tcPr>
          <w:p>
            <w:pPr>
              <w:spacing w:after="0" w:line="264" w:lineRule="auto"/>
              <w:jc w:val="center"/>
            </w:pPr>
            <w:r>
              <w:rPr>
                <w:b w:val="0"/>
                <w:sz w:val="17"/>
              </w:rPr>
              <w:t>3.6%</w:t>
            </w:r>
          </w:p>
        </w:tc>
        <w:tc>
          <w:tcPr>
            <w:tcW w:type="dxa" w:w="1644"/>
            <w:vAlign w:val="center"/>
            <w:tcMar>
              <w:top w:w="75" w:type="dxa"/>
              <w:bottom w:w="75" w:type="dxa"/>
              <w:start w:w="90" w:type="dxa"/>
              <w:end w:w="90" w:type="dxa"/>
            </w:tcMar>
            <w:shd w:fill="FFFFFF"/>
          </w:tcPr>
          <w:p>
            <w:pPr>
              <w:spacing w:after="0" w:line="264" w:lineRule="auto"/>
              <w:jc w:val="center"/>
            </w:pPr>
            <w:r>
              <w:rPr>
                <w:b w:val="0"/>
                <w:sz w:val="17"/>
              </w:rPr>
              <w:t>-3.1</w:t>
            </w:r>
          </w:p>
        </w:tc>
        <w:tc>
          <w:tcPr>
            <w:tcW w:type="dxa" w:w="2154"/>
            <w:vAlign w:val="center"/>
            <w:tcMar>
              <w:top w:w="75" w:type="dxa"/>
              <w:bottom w:w="75" w:type="dxa"/>
              <w:start w:w="90" w:type="dxa"/>
              <w:end w:w="90" w:type="dxa"/>
            </w:tcMar>
            <w:shd w:fill="FFFFFF"/>
          </w:tcPr>
          <w:p>
            <w:pPr>
              <w:spacing w:after="0" w:line="264" w:lineRule="auto"/>
              <w:jc w:val="center"/>
            </w:pPr>
            <w:r>
              <w:rPr>
                <w:b w:val="0"/>
                <w:sz w:val="17"/>
              </w:rPr>
              <w:t>-795,219</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7"/>
              </w:rPr>
              <w:t>普瑞巴林</w:t>
            </w:r>
          </w:p>
        </w:tc>
        <w:tc>
          <w:tcPr>
            <w:tcW w:type="dxa" w:w="2551"/>
            <w:vAlign w:val="center"/>
            <w:tcMar>
              <w:top w:w="75" w:type="dxa"/>
              <w:bottom w:w="75" w:type="dxa"/>
              <w:start w:w="90" w:type="dxa"/>
              <w:end w:w="90" w:type="dxa"/>
            </w:tcMar>
            <w:shd w:fill="FFFFFF"/>
          </w:tcPr>
          <w:p>
            <w:pPr>
              <w:spacing w:after="0" w:line="264" w:lineRule="auto"/>
              <w:jc w:val="center"/>
            </w:pPr>
            <w:r>
              <w:rPr>
                <w:b w:val="0"/>
                <w:sz w:val="17"/>
              </w:rPr>
              <w:t>N02B 其他镇痛及解热药</w:t>
            </w:r>
          </w:p>
        </w:tc>
        <w:tc>
          <w:tcPr>
            <w:tcW w:type="dxa" w:w="1417"/>
            <w:vAlign w:val="center"/>
            <w:tcMar>
              <w:top w:w="75" w:type="dxa"/>
              <w:bottom w:w="75" w:type="dxa"/>
              <w:start w:w="90" w:type="dxa"/>
              <w:end w:w="90" w:type="dxa"/>
            </w:tcMar>
            <w:shd w:fill="FFFFFF"/>
          </w:tcPr>
          <w:p>
            <w:pPr>
              <w:spacing w:after="0" w:line="264" w:lineRule="auto"/>
              <w:jc w:val="center"/>
            </w:pPr>
            <w:r>
              <w:rPr>
                <w:b w:val="0"/>
                <w:sz w:val="17"/>
              </w:rPr>
              <w:t>-4.6%</w:t>
            </w:r>
          </w:p>
        </w:tc>
        <w:tc>
          <w:tcPr>
            <w:tcW w:type="dxa" w:w="1644"/>
            <w:vAlign w:val="center"/>
            <w:tcMar>
              <w:top w:w="75" w:type="dxa"/>
              <w:bottom w:w="75" w:type="dxa"/>
              <w:start w:w="90" w:type="dxa"/>
              <w:end w:w="90" w:type="dxa"/>
            </w:tcMar>
            <w:shd w:fill="FFFFFF"/>
          </w:tcPr>
          <w:p>
            <w:pPr>
              <w:spacing w:after="0" w:line="264" w:lineRule="auto"/>
              <w:jc w:val="center"/>
            </w:pPr>
            <w:r>
              <w:rPr>
                <w:b w:val="0"/>
                <w:sz w:val="17"/>
              </w:rPr>
              <w:t>+3.7</w:t>
            </w:r>
          </w:p>
        </w:tc>
        <w:tc>
          <w:tcPr>
            <w:tcW w:type="dxa" w:w="2154"/>
            <w:vAlign w:val="center"/>
            <w:tcMar>
              <w:top w:w="75" w:type="dxa"/>
              <w:bottom w:w="75" w:type="dxa"/>
              <w:start w:w="90" w:type="dxa"/>
              <w:end w:w="90" w:type="dxa"/>
            </w:tcMar>
            <w:shd w:fill="FFFFFF"/>
          </w:tcPr>
          <w:p>
            <w:pPr>
              <w:spacing w:after="0" w:line="264" w:lineRule="auto"/>
              <w:jc w:val="center"/>
            </w:pPr>
            <w:r>
              <w:rPr>
                <w:b w:val="0"/>
                <w:sz w:val="17"/>
              </w:rPr>
              <w:t>996,852</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7"/>
              </w:rPr>
              <w:t>乙酰水杨酸</w:t>
            </w:r>
          </w:p>
        </w:tc>
        <w:tc>
          <w:tcPr>
            <w:tcW w:type="dxa" w:w="2551"/>
            <w:vAlign w:val="center"/>
            <w:tcMar>
              <w:top w:w="75" w:type="dxa"/>
              <w:bottom w:w="75" w:type="dxa"/>
              <w:start w:w="90" w:type="dxa"/>
              <w:end w:w="90" w:type="dxa"/>
            </w:tcMar>
            <w:shd w:fill="FFFFFF"/>
          </w:tcPr>
          <w:p>
            <w:pPr>
              <w:spacing w:after="0" w:line="264" w:lineRule="auto"/>
              <w:jc w:val="center"/>
            </w:pPr>
            <w:r>
              <w:rPr>
                <w:b w:val="0"/>
                <w:sz w:val="17"/>
              </w:rPr>
              <w:t>N02B 其他镇痛及解热药</w:t>
            </w:r>
          </w:p>
        </w:tc>
        <w:tc>
          <w:tcPr>
            <w:tcW w:type="dxa" w:w="1417"/>
            <w:vAlign w:val="center"/>
            <w:tcMar>
              <w:top w:w="75" w:type="dxa"/>
              <w:bottom w:w="75" w:type="dxa"/>
              <w:start w:w="90" w:type="dxa"/>
              <w:end w:w="90" w:type="dxa"/>
            </w:tcMar>
            <w:shd w:fill="FFFFFF"/>
          </w:tcPr>
          <w:p>
            <w:pPr>
              <w:spacing w:after="0" w:line="264" w:lineRule="auto"/>
              <w:jc w:val="center"/>
            </w:pPr>
            <w:r>
              <w:rPr>
                <w:b w:val="0"/>
                <w:sz w:val="17"/>
              </w:rPr>
              <w:t>-4.6%</w:t>
            </w:r>
          </w:p>
        </w:tc>
        <w:tc>
          <w:tcPr>
            <w:tcW w:type="dxa" w:w="1644"/>
            <w:vAlign w:val="center"/>
            <w:tcMar>
              <w:top w:w="75" w:type="dxa"/>
              <w:bottom w:w="75" w:type="dxa"/>
              <w:start w:w="90" w:type="dxa"/>
              <w:end w:w="90" w:type="dxa"/>
            </w:tcMar>
            <w:shd w:fill="FFFFFF"/>
          </w:tcPr>
          <w:p>
            <w:pPr>
              <w:spacing w:after="0" w:line="264" w:lineRule="auto"/>
              <w:jc w:val="center"/>
            </w:pPr>
            <w:r>
              <w:rPr>
                <w:b w:val="0"/>
                <w:sz w:val="17"/>
              </w:rPr>
              <w:t>+0.4</w:t>
            </w:r>
          </w:p>
        </w:tc>
        <w:tc>
          <w:tcPr>
            <w:tcW w:type="dxa" w:w="2154"/>
            <w:vAlign w:val="center"/>
            <w:tcMar>
              <w:top w:w="75" w:type="dxa"/>
              <w:bottom w:w="75" w:type="dxa"/>
              <w:start w:w="90" w:type="dxa"/>
              <w:end w:w="90" w:type="dxa"/>
            </w:tcMar>
            <w:shd w:fill="FFFFFF"/>
          </w:tcPr>
          <w:p>
            <w:pPr>
              <w:spacing w:after="0" w:line="264" w:lineRule="auto"/>
              <w:jc w:val="center"/>
            </w:pPr>
            <w:r>
              <w:rPr>
                <w:b w:val="0"/>
                <w:sz w:val="17"/>
              </w:rPr>
              <w:t>99,463</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7"/>
              </w:rPr>
              <w:t>对乙酰氨基酚</w:t>
            </w:r>
          </w:p>
        </w:tc>
        <w:tc>
          <w:tcPr>
            <w:tcW w:type="dxa" w:w="2551"/>
            <w:vAlign w:val="center"/>
            <w:tcMar>
              <w:top w:w="75" w:type="dxa"/>
              <w:bottom w:w="75" w:type="dxa"/>
              <w:start w:w="90" w:type="dxa"/>
              <w:end w:w="90" w:type="dxa"/>
            </w:tcMar>
            <w:shd w:fill="FFFFFF"/>
          </w:tcPr>
          <w:p>
            <w:pPr>
              <w:spacing w:after="0" w:line="264" w:lineRule="auto"/>
              <w:jc w:val="center"/>
            </w:pPr>
            <w:r>
              <w:rPr>
                <w:b w:val="0"/>
                <w:sz w:val="17"/>
              </w:rPr>
              <w:t>N02B 其他镇痛及解热药</w:t>
            </w:r>
          </w:p>
        </w:tc>
        <w:tc>
          <w:tcPr>
            <w:tcW w:type="dxa" w:w="1417"/>
            <w:vAlign w:val="center"/>
            <w:tcMar>
              <w:top w:w="75" w:type="dxa"/>
              <w:bottom w:w="75" w:type="dxa"/>
              <w:start w:w="90" w:type="dxa"/>
              <w:end w:w="90" w:type="dxa"/>
            </w:tcMar>
            <w:shd w:fill="FFFFFF"/>
          </w:tcPr>
          <w:p>
            <w:pPr>
              <w:spacing w:after="0" w:line="264" w:lineRule="auto"/>
              <w:jc w:val="center"/>
            </w:pPr>
            <w:r>
              <w:rPr>
                <w:b w:val="0"/>
                <w:sz w:val="17"/>
              </w:rPr>
              <w:t>-4.6%</w:t>
            </w:r>
          </w:p>
        </w:tc>
        <w:tc>
          <w:tcPr>
            <w:tcW w:type="dxa" w:w="1644"/>
            <w:vAlign w:val="center"/>
            <w:tcMar>
              <w:top w:w="75" w:type="dxa"/>
              <w:bottom w:w="75" w:type="dxa"/>
              <w:start w:w="90" w:type="dxa"/>
              <w:end w:w="90" w:type="dxa"/>
            </w:tcMar>
            <w:shd w:fill="FFFFFF"/>
          </w:tcPr>
          <w:p>
            <w:pPr>
              <w:spacing w:after="0" w:line="264" w:lineRule="auto"/>
              <w:jc w:val="center"/>
            </w:pPr>
            <w:r>
              <w:rPr>
                <w:b w:val="0"/>
                <w:sz w:val="17"/>
              </w:rPr>
              <w:t>-4.1</w:t>
            </w:r>
          </w:p>
        </w:tc>
        <w:tc>
          <w:tcPr>
            <w:tcW w:type="dxa" w:w="2154"/>
            <w:vAlign w:val="center"/>
            <w:tcMar>
              <w:top w:w="75" w:type="dxa"/>
              <w:bottom w:w="75" w:type="dxa"/>
              <w:start w:w="90" w:type="dxa"/>
              <w:end w:w="90" w:type="dxa"/>
            </w:tcMar>
            <w:shd w:fill="FFFFFF"/>
          </w:tcPr>
          <w:p>
            <w:pPr>
              <w:spacing w:after="0" w:line="264" w:lineRule="auto"/>
              <w:jc w:val="center"/>
            </w:pPr>
            <w:r>
              <w:rPr>
                <w:b w:val="0"/>
                <w:sz w:val="17"/>
              </w:rPr>
              <w:t>-1,096,315</w:t>
            </w:r>
          </w:p>
        </w:tc>
      </w:tr>
    </w:tbl>
    <w:p>
      <w:pPr>
        <w:spacing w:after="0" w:line="60" w:lineRule="exact"/>
      </w:pPr>
      <w:r>
        <w:rPr>
          <w:sz w:val="6"/>
        </w:rPr>
        <w:t xml:space="preserve"> </w:t>
      </w:r>
    </w:p>
    <w:p>
      <w:r>
        <w:t>样本他汀类市场增长 19.0%，其中瑞舒伐他汀份额增加 3.0 个百分点，阿托伐他汀相应减少 3.0 个百分点。市场扩张与产品结构变化均对销量结果有贡献。</w:t>
      </w:r>
    </w:p>
    <w:p>
      <w:r>
        <w:t>在全身用非甾体抗炎药分组中，布洛芬份额增加 2.0 个百分点，份额效应约为正 51.9 万包装当量；双氯芬酸份额减少 3.1 个百分点，份额效应约为负 79.5 万包装当量。</w:t>
      </w:r>
    </w:p>
    <w:p>
      <w:r>
        <w:t>在原始数据的其他镇痛及解热药分组中，市场整体下降 4.6%，普瑞巴林份额仍增加 3.7 个百分点，份额效应约为正 99.7 万；对乙酰氨基酚份额减少 4.1 个百分点，份额效应约为负 109.6 万包装当量。</w:t>
      </w:r>
    </w:p>
    <w:p>
      <w:pPr>
        <w:pStyle w:val="Heading2"/>
      </w:pPr>
      <w:r>
        <w:t>增长拆解的商业含义</w:t>
      </w:r>
    </w:p>
    <w:p>
      <w:r>
        <w:t>市场扩张效应等于按上期份额分配的当期市场销量减去上期产品销量；份额效应等于当期实际销量减去按上期份额分配的当期市场销量。两者之和等于销量变动。该拆解区分了类别整体变化与相对份额变化，但不能据此认定具体商业行为的因果效果。</w:t>
      </w:r>
    </w:p>
    <w:p>
      <w:r>
        <w:t>核对说明：原始文件中的 ATC 字段是本节分组的直接依据，例如普瑞巴林归入上述 N02B 样本分组。此次核对确认代码忠实使用原始标签，未将该标签当作已按现行外部分类标准校验的结论。每个市场只包含该分组内的 SKU，不能与某通用名全部剂型的总销量直接混用。</w:t>
      </w:r>
    </w:p>
    <w:p>
      <w:pPr>
        <w:spacing w:after="140"/>
      </w:pPr>
      <w:r>
        <w:rPr>
          <w:color w:val="596773"/>
          <w:sz w:val="16"/>
        </w:rPr>
        <w:t>数据 D1；结果 R7 market_peer_analysis.csv；代码 C1 第 790 至 809 行。此表保留原报告选择的三个样本市场，完整输出另含其他分组。</w:t>
      </w:r>
    </w:p>
    <w:p>
      <w:r>
        <w:br w:type="page"/>
      </w:r>
    </w:p>
    <w:p>
      <w:pPr>
        <w:pStyle w:val="Heading1"/>
      </w:pPr>
      <w:r>
        <w:t>3 产品组合分群</w:t>
      </w:r>
    </w:p>
    <w:p>
      <w:r>
        <w:t>将通用名层面的规模、增长、份额动量、需求波动、季节性和产品复杂度等 14 项特征标准化，比较 K 为 3、4、5 的 K 均值聚类。K 为 4 时轮廓系数最高，为 0.232；其余分别为 0.208 和 0.211，因此原代码采用四类描述性分群。</w:t>
      </w:r>
    </w:p>
    <w:p>
      <w:pPr>
        <w:keepNext/>
        <w:spacing w:after="40"/>
        <w:jc w:val="center"/>
      </w:pPr>
      <w:r>
        <w:drawing>
          <wp:inline xmlns:a="http://schemas.openxmlformats.org/drawingml/2006/main" xmlns:pic="http://schemas.openxmlformats.org/drawingml/2006/picture">
            <wp:extent cx="5903999" cy="2804400"/>
            <wp:docPr id="2" name="Picture 2" descr="图 2  四类产品组合的主成分投影"/>
            <wp:cNvGraphicFramePr>
              <a:graphicFrameLocks noChangeAspect="1"/>
            </wp:cNvGraphicFramePr>
            <a:graphic>
              <a:graphicData uri="http://schemas.openxmlformats.org/drawingml/2006/picture">
                <pic:pic>
                  <pic:nvPicPr>
                    <pic:cNvPr id="0" name="clusters.png"/>
                    <pic:cNvPicPr/>
                  </pic:nvPicPr>
                  <pic:blipFill>
                    <a:blip r:embed="rId11"/>
                    <a:stretch>
                      <a:fillRect/>
                    </a:stretch>
                  </pic:blipFill>
                  <pic:spPr>
                    <a:xfrm>
                      <a:off x="0" y="0"/>
                      <a:ext cx="5903999" cy="2804400"/>
                    </a:xfrm>
                    <a:prstGeom prst="rect"/>
                  </pic:spPr>
                </pic:pic>
              </a:graphicData>
            </a:graphic>
          </wp:inline>
        </w:drawing>
      </w:r>
    </w:p>
    <w:p>
      <w:pPr>
        <w:pStyle w:val="Caption"/>
        <w:jc w:val="center"/>
      </w:pPr>
      <w:r>
        <w:t>图 2  四类产品组合的主成分投影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907"/>
        <w:gridCol w:w="1701"/>
        <w:gridCol w:w="1587"/>
        <w:gridCol w:w="1928"/>
        <w:gridCol w:w="1701"/>
      </w:tblGrid>
      <w:tr>
        <w:trPr>
          <w:cantSplit/>
          <w:tblHeader/>
        </w:trPr>
        <w:tc>
          <w:tcPr>
            <w:tcW w:type="dxa" w:w="1928"/>
            <w:vAlign w:val="center"/>
            <w:tcMar>
              <w:top w:w="75" w:type="dxa"/>
              <w:bottom w:w="75" w:type="dxa"/>
              <w:start w:w="90" w:type="dxa"/>
              <w:end w:w="90" w:type="dxa"/>
            </w:tcMar>
            <w:shd w:fill="E8EEF5"/>
          </w:tcPr>
          <w:p>
            <w:pPr>
              <w:spacing w:after="0" w:line="264" w:lineRule="auto"/>
              <w:jc w:val="center"/>
            </w:pPr>
            <w:r>
              <w:rPr>
                <w:b/>
                <w:sz w:val="17"/>
              </w:rPr>
              <w:t>类型</w:t>
            </w:r>
          </w:p>
        </w:tc>
        <w:tc>
          <w:tcPr>
            <w:tcW w:type="dxa" w:w="907"/>
            <w:vAlign w:val="center"/>
            <w:tcMar>
              <w:top w:w="75" w:type="dxa"/>
              <w:bottom w:w="75" w:type="dxa"/>
              <w:start w:w="90" w:type="dxa"/>
              <w:end w:w="90" w:type="dxa"/>
            </w:tcMar>
            <w:shd w:fill="E8EEF5"/>
          </w:tcPr>
          <w:p>
            <w:pPr>
              <w:spacing w:after="0" w:line="264" w:lineRule="auto"/>
              <w:jc w:val="center"/>
            </w:pPr>
            <w:r>
              <w:rPr>
                <w:b/>
                <w:sz w:val="17"/>
              </w:rPr>
              <w:t>INN 数</w:t>
            </w:r>
          </w:p>
        </w:tc>
        <w:tc>
          <w:tcPr>
            <w:tcW w:type="dxa" w:w="1701"/>
            <w:vAlign w:val="center"/>
            <w:tcMar>
              <w:top w:w="75" w:type="dxa"/>
              <w:bottom w:w="75" w:type="dxa"/>
              <w:start w:w="90" w:type="dxa"/>
              <w:end w:w="90" w:type="dxa"/>
            </w:tcMar>
            <w:shd w:fill="E8EEF5"/>
          </w:tcPr>
          <w:p>
            <w:pPr>
              <w:spacing w:after="0" w:line="264" w:lineRule="auto"/>
              <w:jc w:val="center"/>
            </w:pPr>
            <w:r>
              <w:rPr>
                <w:b/>
                <w:sz w:val="17"/>
              </w:rPr>
              <w:t>2023 销量</w:t>
              <w:br/>
              <w:t>百万</w:t>
            </w:r>
          </w:p>
        </w:tc>
        <w:tc>
          <w:tcPr>
            <w:tcW w:type="dxa" w:w="1587"/>
            <w:vAlign w:val="center"/>
            <w:tcMar>
              <w:top w:w="75" w:type="dxa"/>
              <w:bottom w:w="75" w:type="dxa"/>
              <w:start w:w="90" w:type="dxa"/>
              <w:end w:w="90" w:type="dxa"/>
            </w:tcMar>
            <w:shd w:fill="E8EEF5"/>
          </w:tcPr>
          <w:p>
            <w:pPr>
              <w:spacing w:after="0" w:line="264" w:lineRule="auto"/>
              <w:jc w:val="center"/>
            </w:pPr>
            <w:r>
              <w:rPr>
                <w:b/>
                <w:sz w:val="17"/>
              </w:rPr>
              <w:t>平均同比</w:t>
            </w:r>
          </w:p>
        </w:tc>
        <w:tc>
          <w:tcPr>
            <w:tcW w:type="dxa" w:w="1928"/>
            <w:vAlign w:val="center"/>
            <w:tcMar>
              <w:top w:w="75" w:type="dxa"/>
              <w:bottom w:w="75" w:type="dxa"/>
              <w:start w:w="90" w:type="dxa"/>
              <w:end w:w="90" w:type="dxa"/>
            </w:tcMar>
            <w:shd w:fill="E8EEF5"/>
          </w:tcPr>
          <w:p>
            <w:pPr>
              <w:spacing w:after="0" w:line="264" w:lineRule="auto"/>
              <w:jc w:val="center"/>
            </w:pPr>
            <w:r>
              <w:rPr>
                <w:b/>
                <w:sz w:val="17"/>
              </w:rPr>
              <w:t>平均份额变化</w:t>
              <w:br/>
              <w:t>百分点</w:t>
            </w:r>
          </w:p>
        </w:tc>
        <w:tc>
          <w:tcPr>
            <w:tcW w:type="dxa" w:w="1701"/>
            <w:vAlign w:val="center"/>
            <w:tcMar>
              <w:top w:w="75" w:type="dxa"/>
              <w:bottom w:w="75" w:type="dxa"/>
              <w:start w:w="90" w:type="dxa"/>
              <w:end w:w="90" w:type="dxa"/>
            </w:tcMar>
            <w:shd w:fill="E8EEF5"/>
          </w:tcPr>
          <w:p>
            <w:pPr>
              <w:spacing w:after="0" w:line="264" w:lineRule="auto"/>
              <w:jc w:val="center"/>
            </w:pPr>
            <w:r>
              <w:rPr>
                <w:b/>
                <w:sz w:val="17"/>
              </w:rPr>
              <w:t>平均预测</w:t>
              <w:br/>
              <w:t>增长率</w:t>
            </w:r>
          </w:p>
        </w:tc>
      </w:tr>
      <w:tr>
        <w:trPr>
          <w:cantSplit/>
        </w:trPr>
        <w:tc>
          <w:tcPr>
            <w:tcW w:type="dxa" w:w="1928"/>
            <w:vAlign w:val="center"/>
            <w:tcMar>
              <w:top w:w="75" w:type="dxa"/>
              <w:bottom w:w="75" w:type="dxa"/>
              <w:start w:w="90" w:type="dxa"/>
              <w:end w:w="90" w:type="dxa"/>
            </w:tcMar>
            <w:shd w:fill="FFFFFF"/>
          </w:tcPr>
          <w:p>
            <w:pPr>
              <w:spacing w:after="0" w:line="264" w:lineRule="auto"/>
            </w:pPr>
            <w:r>
              <w:rPr>
                <w:b w:val="0"/>
                <w:sz w:val="17"/>
              </w:rPr>
              <w:t>成长与新兴型</w:t>
            </w:r>
          </w:p>
        </w:tc>
        <w:tc>
          <w:tcPr>
            <w:tcW w:type="dxa" w:w="907"/>
            <w:vAlign w:val="center"/>
            <w:tcMar>
              <w:top w:w="75" w:type="dxa"/>
              <w:bottom w:w="75" w:type="dxa"/>
              <w:start w:w="90" w:type="dxa"/>
              <w:end w:w="90" w:type="dxa"/>
            </w:tcMar>
            <w:shd w:fill="FFFFFF"/>
          </w:tcPr>
          <w:p>
            <w:pPr>
              <w:spacing w:after="0" w:line="264" w:lineRule="auto"/>
              <w:jc w:val="center"/>
            </w:pPr>
            <w:r>
              <w:rPr>
                <w:b w:val="0"/>
                <w:sz w:val="17"/>
              </w:rPr>
              <w:t>2</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6.1</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38.8%</w:t>
            </w:r>
          </w:p>
        </w:tc>
        <w:tc>
          <w:tcPr>
            <w:tcW w:type="dxa" w:w="1928"/>
            <w:vAlign w:val="center"/>
            <w:tcMar>
              <w:top w:w="75" w:type="dxa"/>
              <w:bottom w:w="75" w:type="dxa"/>
              <w:start w:w="90" w:type="dxa"/>
              <w:end w:w="90" w:type="dxa"/>
            </w:tcMar>
            <w:shd w:fill="FFFFFF"/>
          </w:tcPr>
          <w:p>
            <w:pPr>
              <w:spacing w:after="0" w:line="264" w:lineRule="auto"/>
              <w:jc w:val="center"/>
            </w:pPr>
            <w:r>
              <w:rPr>
                <w:b w:val="0"/>
                <w:sz w:val="17"/>
              </w:rPr>
              <w:t>+0.7</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8.1%</w:t>
            </w:r>
          </w:p>
        </w:tc>
      </w:tr>
      <w:tr>
        <w:trPr>
          <w:cantSplit/>
        </w:trPr>
        <w:tc>
          <w:tcPr>
            <w:tcW w:type="dxa" w:w="1928"/>
            <w:vAlign w:val="center"/>
            <w:tcMar>
              <w:top w:w="75" w:type="dxa"/>
              <w:bottom w:w="75" w:type="dxa"/>
              <w:start w:w="90" w:type="dxa"/>
              <w:end w:w="90" w:type="dxa"/>
            </w:tcMar>
            <w:shd w:fill="FFFFFF"/>
          </w:tcPr>
          <w:p>
            <w:pPr>
              <w:spacing w:after="0" w:line="264" w:lineRule="auto"/>
            </w:pPr>
            <w:r>
              <w:rPr>
                <w:b w:val="0"/>
                <w:sz w:val="17"/>
              </w:rPr>
              <w:t>利基与波动型</w:t>
            </w:r>
          </w:p>
        </w:tc>
        <w:tc>
          <w:tcPr>
            <w:tcW w:type="dxa" w:w="907"/>
            <w:vAlign w:val="center"/>
            <w:tcMar>
              <w:top w:w="75" w:type="dxa"/>
              <w:bottom w:w="75" w:type="dxa"/>
              <w:start w:w="90" w:type="dxa"/>
              <w:end w:w="90" w:type="dxa"/>
            </w:tcMar>
            <w:shd w:fill="FFFFFF"/>
          </w:tcPr>
          <w:p>
            <w:pPr>
              <w:spacing w:after="0" w:line="264" w:lineRule="auto"/>
              <w:jc w:val="center"/>
            </w:pPr>
            <w:r>
              <w:rPr>
                <w:b w:val="0"/>
                <w:sz w:val="17"/>
              </w:rPr>
              <w:t>9</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40.6</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8.7%</w:t>
            </w:r>
          </w:p>
        </w:tc>
        <w:tc>
          <w:tcPr>
            <w:tcW w:type="dxa" w:w="1928"/>
            <w:vAlign w:val="center"/>
            <w:tcMar>
              <w:top w:w="75" w:type="dxa"/>
              <w:bottom w:w="75" w:type="dxa"/>
              <w:start w:w="90" w:type="dxa"/>
              <w:end w:w="90" w:type="dxa"/>
            </w:tcMar>
            <w:shd w:fill="FFFFFF"/>
          </w:tcPr>
          <w:p>
            <w:pPr>
              <w:spacing w:after="0" w:line="264" w:lineRule="auto"/>
              <w:jc w:val="center"/>
            </w:pPr>
            <w:r>
              <w:rPr>
                <w:b w:val="0"/>
                <w:sz w:val="17"/>
              </w:rPr>
              <w:t>+0.2</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-26.4%</w:t>
            </w:r>
          </w:p>
        </w:tc>
      </w:tr>
      <w:tr>
        <w:trPr>
          <w:cantSplit/>
        </w:trPr>
        <w:tc>
          <w:tcPr>
            <w:tcW w:type="dxa" w:w="1928"/>
            <w:vAlign w:val="center"/>
            <w:tcMar>
              <w:top w:w="75" w:type="dxa"/>
              <w:bottom w:w="75" w:type="dxa"/>
              <w:start w:w="90" w:type="dxa"/>
              <w:end w:w="90" w:type="dxa"/>
            </w:tcMar>
            <w:shd w:fill="FFFFFF"/>
          </w:tcPr>
          <w:p>
            <w:pPr>
              <w:spacing w:after="0" w:line="264" w:lineRule="auto"/>
            </w:pPr>
            <w:r>
              <w:rPr>
                <w:b w:val="0"/>
                <w:sz w:val="17"/>
              </w:rPr>
              <w:t>成熟领先型</w:t>
            </w:r>
          </w:p>
        </w:tc>
        <w:tc>
          <w:tcPr>
            <w:tcW w:type="dxa" w:w="907"/>
            <w:vAlign w:val="center"/>
            <w:tcMar>
              <w:top w:w="75" w:type="dxa"/>
              <w:bottom w:w="75" w:type="dxa"/>
              <w:start w:w="90" w:type="dxa"/>
              <w:end w:w="90" w:type="dxa"/>
            </w:tcMar>
            <w:shd w:fill="FFFFFF"/>
          </w:tcPr>
          <w:p>
            <w:pPr>
              <w:spacing w:after="0" w:line="264" w:lineRule="auto"/>
              <w:jc w:val="center"/>
            </w:pPr>
            <w:r>
              <w:rPr>
                <w:b w:val="0"/>
                <w:sz w:val="17"/>
              </w:rPr>
              <w:t>3</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47.5</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0.2%</w:t>
            </w:r>
          </w:p>
        </w:tc>
        <w:tc>
          <w:tcPr>
            <w:tcW w:type="dxa" w:w="1928"/>
            <w:vAlign w:val="center"/>
            <w:tcMar>
              <w:top w:w="75" w:type="dxa"/>
              <w:bottom w:w="75" w:type="dxa"/>
              <w:start w:w="90" w:type="dxa"/>
              <w:end w:w="90" w:type="dxa"/>
            </w:tcMar>
            <w:shd w:fill="FFFFFF"/>
          </w:tcPr>
          <w:p>
            <w:pPr>
              <w:spacing w:after="0" w:line="264" w:lineRule="auto"/>
              <w:jc w:val="center"/>
            </w:pPr>
            <w:r>
              <w:rPr>
                <w:b w:val="0"/>
                <w:sz w:val="17"/>
              </w:rPr>
              <w:t>+0.1</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0.9%</w:t>
            </w:r>
          </w:p>
        </w:tc>
      </w:tr>
      <w:tr>
        <w:trPr>
          <w:cantSplit/>
        </w:trPr>
        <w:tc>
          <w:tcPr>
            <w:tcW w:type="dxa" w:w="1928"/>
            <w:vAlign w:val="center"/>
            <w:tcMar>
              <w:top w:w="75" w:type="dxa"/>
              <w:bottom w:w="75" w:type="dxa"/>
              <w:start w:w="90" w:type="dxa"/>
              <w:end w:w="90" w:type="dxa"/>
            </w:tcMar>
            <w:shd w:fill="FFFFFF"/>
          </w:tcPr>
          <w:p>
            <w:pPr>
              <w:spacing w:after="0" w:line="264" w:lineRule="auto"/>
            </w:pPr>
            <w:r>
              <w:rPr>
                <w:b w:val="0"/>
                <w:sz w:val="17"/>
              </w:rPr>
              <w:t>风险与下滑型</w:t>
            </w:r>
          </w:p>
        </w:tc>
        <w:tc>
          <w:tcPr>
            <w:tcW w:type="dxa" w:w="907"/>
            <w:vAlign w:val="center"/>
            <w:tcMar>
              <w:top w:w="75" w:type="dxa"/>
              <w:bottom w:w="75" w:type="dxa"/>
              <w:start w:w="90" w:type="dxa"/>
              <w:end w:w="90" w:type="dxa"/>
            </w:tcMar>
            <w:shd w:fill="FFFFFF"/>
          </w:tcPr>
          <w:p>
            <w:pPr>
              <w:spacing w:after="0" w:line="264" w:lineRule="auto"/>
              <w:jc w:val="center"/>
            </w:pPr>
            <w:r>
              <w:rPr>
                <w:b w:val="0"/>
                <w:sz w:val="17"/>
              </w:rPr>
              <w:t>6</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28.0</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-13.3%</w:t>
            </w:r>
          </w:p>
        </w:tc>
        <w:tc>
          <w:tcPr>
            <w:tcW w:type="dxa" w:w="1928"/>
            <w:vAlign w:val="center"/>
            <w:tcMar>
              <w:top w:w="75" w:type="dxa"/>
              <w:bottom w:w="75" w:type="dxa"/>
              <w:start w:w="90" w:type="dxa"/>
              <w:end w:w="90" w:type="dxa"/>
            </w:tcMar>
            <w:shd w:fill="FFFFFF"/>
          </w:tcPr>
          <w:p>
            <w:pPr>
              <w:spacing w:after="0" w:line="264" w:lineRule="auto"/>
              <w:jc w:val="center"/>
            </w:pPr>
            <w:r>
              <w:rPr>
                <w:b w:val="0"/>
                <w:sz w:val="17"/>
              </w:rPr>
              <w:t>-0.6</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-4.3%</w:t>
            </w:r>
          </w:p>
        </w:tc>
      </w:tr>
    </w:tbl>
    <w:p>
      <w:pPr>
        <w:spacing w:after="0" w:line="60" w:lineRule="exact"/>
      </w:pPr>
      <w:r>
        <w:rPr>
          <w:sz w:val="6"/>
        </w:rPr>
        <w:t xml:space="preserve"> </w:t>
      </w:r>
    </w:p>
    <w:p>
      <w:r>
        <w:t>成长与新兴型包含普瑞巴林和瑞舒伐他汀，近期动量较强。成熟领先型包含规模较大的成熟产品。风险与下滑型的平均月度变异系数最高，为 0.552，且历史增长为负。分群只用于描述，商业行动建议另由预测和份额规则决定。</w:t>
      </w:r>
    </w:p>
    <w:p>
      <w:r>
        <w:t>核对说明：表中“平均”是组内通用名指标的简单算术平均，并非销量加权增长率；“利基与波动型”是原代码的启发式名称，该组实际平均变异系数最低，为 0.147，不应仅凭名称判断其波动程度。</w:t>
      </w:r>
    </w:p>
    <w:p>
      <w:pPr>
        <w:spacing w:after="140"/>
      </w:pPr>
      <w:r>
        <w:rPr>
          <w:color w:val="596773"/>
          <w:sz w:val="16"/>
        </w:rPr>
        <w:t>结果 R1 cluster_validation、cluster_summary；R2；代码 C1 第 750 至 761、858 至 872 行。PCA 仅用于可视化。</w:t>
      </w:r>
    </w:p>
    <w:p>
      <w:r>
        <w:br w:type="page"/>
      </w:r>
    </w:p>
    <w:p>
      <w:pPr>
        <w:pStyle w:val="Heading1"/>
      </w:pPr>
      <w:r>
        <w:t>4 商业机会分类模型</w:t>
      </w:r>
    </w:p>
    <w:p>
      <w:r>
        <w:t>目标“未来份额赢家”定义为：在某个锚点月份，未来六个月组合份额增量排名前 25% 的通用名。每月 20 个通用名取前 5 个，基础赢家比例为 25%。由于多数样本细分市场缺少稳定的同类产品集合，分类标签采用组合份额。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288"/>
        <w:gridCol w:w="1020"/>
        <w:gridCol w:w="3855"/>
      </w:tblGrid>
      <w:tr>
        <w:trPr>
          <w:cantSplit/>
          <w:tblHeader/>
        </w:trPr>
        <w:tc>
          <w:tcPr>
            <w:tcW w:type="dxa" w:w="1587"/>
            <w:vAlign w:val="center"/>
            <w:tcMar>
              <w:top w:w="75" w:type="dxa"/>
              <w:bottom w:w="75" w:type="dxa"/>
              <w:start w:w="90" w:type="dxa"/>
              <w:end w:w="90" w:type="dxa"/>
            </w:tcMar>
            <w:shd w:fill="E8EEF5"/>
          </w:tcPr>
          <w:p>
            <w:pPr>
              <w:spacing w:after="0" w:line="264" w:lineRule="auto"/>
              <w:jc w:val="center"/>
            </w:pPr>
            <w:r>
              <w:rPr>
                <w:b/>
                <w:sz w:val="17"/>
              </w:rPr>
              <w:t>用途</w:t>
            </w:r>
          </w:p>
        </w:tc>
        <w:tc>
          <w:tcPr>
            <w:tcW w:type="dxa" w:w="3288"/>
            <w:vAlign w:val="center"/>
            <w:tcMar>
              <w:top w:w="75" w:type="dxa"/>
              <w:bottom w:w="75" w:type="dxa"/>
              <w:start w:w="90" w:type="dxa"/>
              <w:end w:w="90" w:type="dxa"/>
            </w:tcMar>
            <w:shd w:fill="E8EEF5"/>
          </w:tcPr>
          <w:p>
            <w:pPr>
              <w:spacing w:after="0" w:line="264" w:lineRule="auto"/>
              <w:jc w:val="center"/>
            </w:pPr>
            <w:r>
              <w:rPr>
                <w:b/>
                <w:sz w:val="17"/>
              </w:rPr>
              <w:t>锚点月份</w:t>
            </w:r>
          </w:p>
        </w:tc>
        <w:tc>
          <w:tcPr>
            <w:tcW w:type="dxa" w:w="1020"/>
            <w:vAlign w:val="center"/>
            <w:tcMar>
              <w:top w:w="75" w:type="dxa"/>
              <w:bottom w:w="75" w:type="dxa"/>
              <w:start w:w="90" w:type="dxa"/>
              <w:end w:w="90" w:type="dxa"/>
            </w:tcMar>
            <w:shd w:fill="E8EEF5"/>
          </w:tcPr>
          <w:p>
            <w:pPr>
              <w:spacing w:after="0" w:line="264" w:lineRule="auto"/>
              <w:jc w:val="center"/>
            </w:pPr>
            <w:r>
              <w:rPr>
                <w:b/>
                <w:sz w:val="17"/>
              </w:rPr>
              <w:t>观测数</w:t>
            </w:r>
          </w:p>
        </w:tc>
        <w:tc>
          <w:tcPr>
            <w:tcW w:type="dxa" w:w="3855"/>
            <w:vAlign w:val="center"/>
            <w:tcMar>
              <w:top w:w="75" w:type="dxa"/>
              <w:bottom w:w="75" w:type="dxa"/>
              <w:start w:w="90" w:type="dxa"/>
              <w:end w:w="90" w:type="dxa"/>
            </w:tcMar>
            <w:shd w:fill="E8EEF5"/>
          </w:tcPr>
          <w:p>
            <w:pPr>
              <w:spacing w:after="0" w:line="264" w:lineRule="auto"/>
              <w:jc w:val="center"/>
            </w:pPr>
            <w:r>
              <w:rPr>
                <w:b/>
                <w:sz w:val="17"/>
              </w:rPr>
              <w:t>六个月后标签时间</w:t>
            </w:r>
          </w:p>
        </w:tc>
      </w:tr>
      <w:tr>
        <w:trPr>
          <w:cantSplit/>
        </w:trPr>
        <w:tc>
          <w:tcPr>
            <w:tcW w:type="dxa" w:w="1587"/>
            <w:vAlign w:val="center"/>
            <w:tcMar>
              <w:top w:w="75" w:type="dxa"/>
              <w:bottom w:w="75" w:type="dxa"/>
              <w:start w:w="90" w:type="dxa"/>
              <w:end w:w="90" w:type="dxa"/>
            </w:tcMar>
            <w:shd w:fill="FFFFFF"/>
          </w:tcPr>
          <w:p>
            <w:pPr>
              <w:spacing w:after="0" w:line="264" w:lineRule="auto"/>
            </w:pPr>
            <w:r>
              <w:rPr>
                <w:b w:val="0"/>
                <w:sz w:val="17"/>
              </w:rPr>
              <w:t>训练</w:t>
            </w:r>
          </w:p>
        </w:tc>
        <w:tc>
          <w:tcPr>
            <w:tcW w:type="dxa" w:w="3288"/>
            <w:vAlign w:val="center"/>
            <w:tcMar>
              <w:top w:w="75" w:type="dxa"/>
              <w:bottom w:w="75" w:type="dxa"/>
              <w:start w:w="90" w:type="dxa"/>
              <w:end w:w="90" w:type="dxa"/>
            </w:tcMar>
            <w:shd w:fill="FFFFFF"/>
          </w:tcPr>
          <w:p>
            <w:pPr>
              <w:spacing w:after="0" w:line="264" w:lineRule="auto"/>
              <w:jc w:val="center"/>
            </w:pPr>
            <w:r>
              <w:rPr>
                <w:b w:val="0"/>
                <w:sz w:val="17"/>
              </w:rPr>
              <w:t>2020 年 1 月至 2021 年 12 月</w:t>
            </w:r>
          </w:p>
        </w:tc>
        <w:tc>
          <w:tcPr>
            <w:tcW w:type="dxa" w:w="1020"/>
            <w:vAlign w:val="center"/>
            <w:tcMar>
              <w:top w:w="75" w:type="dxa"/>
              <w:bottom w:w="75" w:type="dxa"/>
              <w:start w:w="90" w:type="dxa"/>
              <w:end w:w="90" w:type="dxa"/>
            </w:tcMar>
            <w:shd w:fill="FFFFFF"/>
          </w:tcPr>
          <w:p>
            <w:pPr>
              <w:spacing w:after="0" w:line="264" w:lineRule="auto"/>
              <w:jc w:val="center"/>
            </w:pPr>
            <w:r>
              <w:rPr>
                <w:b w:val="0"/>
                <w:sz w:val="17"/>
              </w:rPr>
              <w:t>480</w:t>
            </w:r>
          </w:p>
        </w:tc>
        <w:tc>
          <w:tcPr>
            <w:tcW w:type="dxa" w:w="3855"/>
            <w:vAlign w:val="center"/>
            <w:tcMar>
              <w:top w:w="75" w:type="dxa"/>
              <w:bottom w:w="75" w:type="dxa"/>
              <w:start w:w="90" w:type="dxa"/>
              <w:end w:w="90" w:type="dxa"/>
            </w:tcMar>
            <w:shd w:fill="FFFFFF"/>
          </w:tcPr>
          <w:p>
            <w:pPr>
              <w:spacing w:after="0" w:line="264" w:lineRule="auto"/>
              <w:jc w:val="center"/>
            </w:pPr>
            <w:r>
              <w:rPr>
                <w:b w:val="0"/>
                <w:sz w:val="17"/>
              </w:rPr>
              <w:t>2020 年 7 月至 2022 年 6 月</w:t>
            </w:r>
          </w:p>
        </w:tc>
      </w:tr>
      <w:tr>
        <w:trPr>
          <w:cantSplit/>
        </w:trPr>
        <w:tc>
          <w:tcPr>
            <w:tcW w:type="dxa" w:w="1587"/>
            <w:vAlign w:val="center"/>
            <w:tcMar>
              <w:top w:w="75" w:type="dxa"/>
              <w:bottom w:w="75" w:type="dxa"/>
              <w:start w:w="90" w:type="dxa"/>
              <w:end w:w="90" w:type="dxa"/>
            </w:tcMar>
            <w:shd w:fill="FFFFFF"/>
          </w:tcPr>
          <w:p>
            <w:pPr>
              <w:spacing w:after="0" w:line="264" w:lineRule="auto"/>
            </w:pPr>
            <w:r>
              <w:rPr>
                <w:b w:val="0"/>
                <w:sz w:val="17"/>
              </w:rPr>
              <w:t>验证与选模</w:t>
            </w:r>
          </w:p>
        </w:tc>
        <w:tc>
          <w:tcPr>
            <w:tcW w:type="dxa" w:w="3288"/>
            <w:vAlign w:val="center"/>
            <w:tcMar>
              <w:top w:w="75" w:type="dxa"/>
              <w:bottom w:w="75" w:type="dxa"/>
              <w:start w:w="90" w:type="dxa"/>
              <w:end w:w="90" w:type="dxa"/>
            </w:tcMar>
            <w:shd w:fill="FFFFFF"/>
          </w:tcPr>
          <w:p>
            <w:pPr>
              <w:spacing w:after="0" w:line="264" w:lineRule="auto"/>
              <w:jc w:val="center"/>
            </w:pPr>
            <w:r>
              <w:rPr>
                <w:b w:val="0"/>
                <w:sz w:val="17"/>
              </w:rPr>
              <w:t>2022 年 1 月至 2022 年 6 月</w:t>
            </w:r>
          </w:p>
        </w:tc>
        <w:tc>
          <w:tcPr>
            <w:tcW w:type="dxa" w:w="1020"/>
            <w:vAlign w:val="center"/>
            <w:tcMar>
              <w:top w:w="75" w:type="dxa"/>
              <w:bottom w:w="75" w:type="dxa"/>
              <w:start w:w="90" w:type="dxa"/>
              <w:end w:w="90" w:type="dxa"/>
            </w:tcMar>
            <w:shd w:fill="FFFFFF"/>
          </w:tcPr>
          <w:p>
            <w:pPr>
              <w:spacing w:after="0" w:line="264" w:lineRule="auto"/>
              <w:jc w:val="center"/>
            </w:pPr>
            <w:r>
              <w:rPr>
                <w:b w:val="0"/>
                <w:sz w:val="17"/>
              </w:rPr>
              <w:t>120</w:t>
            </w:r>
          </w:p>
        </w:tc>
        <w:tc>
          <w:tcPr>
            <w:tcW w:type="dxa" w:w="3855"/>
            <w:vAlign w:val="center"/>
            <w:tcMar>
              <w:top w:w="75" w:type="dxa"/>
              <w:bottom w:w="75" w:type="dxa"/>
              <w:start w:w="90" w:type="dxa"/>
              <w:end w:w="90" w:type="dxa"/>
            </w:tcMar>
            <w:shd w:fill="FFFFFF"/>
          </w:tcPr>
          <w:p>
            <w:pPr>
              <w:spacing w:after="0" w:line="264" w:lineRule="auto"/>
              <w:jc w:val="center"/>
            </w:pPr>
            <w:r>
              <w:rPr>
                <w:b w:val="0"/>
                <w:sz w:val="17"/>
              </w:rPr>
              <w:t>2022 年 7 月至 2022 年 12 月</w:t>
            </w:r>
          </w:p>
        </w:tc>
      </w:tr>
      <w:tr>
        <w:trPr>
          <w:cantSplit/>
        </w:trPr>
        <w:tc>
          <w:tcPr>
            <w:tcW w:type="dxa" w:w="1587"/>
            <w:vAlign w:val="center"/>
            <w:tcMar>
              <w:top w:w="75" w:type="dxa"/>
              <w:bottom w:w="75" w:type="dxa"/>
              <w:start w:w="90" w:type="dxa"/>
              <w:end w:w="90" w:type="dxa"/>
            </w:tcMar>
            <w:shd w:fill="FFFFFF"/>
          </w:tcPr>
          <w:p>
            <w:pPr>
              <w:spacing w:after="0" w:line="264" w:lineRule="auto"/>
            </w:pPr>
            <w:r>
              <w:rPr>
                <w:b w:val="0"/>
                <w:sz w:val="17"/>
              </w:rPr>
              <w:t>测试</w:t>
            </w:r>
          </w:p>
        </w:tc>
        <w:tc>
          <w:tcPr>
            <w:tcW w:type="dxa" w:w="3288"/>
            <w:vAlign w:val="center"/>
            <w:tcMar>
              <w:top w:w="75" w:type="dxa"/>
              <w:bottom w:w="75" w:type="dxa"/>
              <w:start w:w="90" w:type="dxa"/>
              <w:end w:w="90" w:type="dxa"/>
            </w:tcMar>
            <w:shd w:fill="FFFFFF"/>
          </w:tcPr>
          <w:p>
            <w:pPr>
              <w:spacing w:after="0" w:line="264" w:lineRule="auto"/>
              <w:jc w:val="center"/>
            </w:pPr>
            <w:r>
              <w:rPr>
                <w:b w:val="0"/>
                <w:sz w:val="17"/>
              </w:rPr>
              <w:t>2022 年 7 月至 2023 年 6 月</w:t>
            </w:r>
          </w:p>
        </w:tc>
        <w:tc>
          <w:tcPr>
            <w:tcW w:type="dxa" w:w="1020"/>
            <w:vAlign w:val="center"/>
            <w:tcMar>
              <w:top w:w="75" w:type="dxa"/>
              <w:bottom w:w="75" w:type="dxa"/>
              <w:start w:w="90" w:type="dxa"/>
              <w:end w:w="90" w:type="dxa"/>
            </w:tcMar>
            <w:shd w:fill="FFFFFF"/>
          </w:tcPr>
          <w:p>
            <w:pPr>
              <w:spacing w:after="0" w:line="264" w:lineRule="auto"/>
              <w:jc w:val="center"/>
            </w:pPr>
            <w:r>
              <w:rPr>
                <w:b w:val="0"/>
                <w:sz w:val="17"/>
              </w:rPr>
              <w:t>240</w:t>
            </w:r>
          </w:p>
        </w:tc>
        <w:tc>
          <w:tcPr>
            <w:tcW w:type="dxa" w:w="3855"/>
            <w:vAlign w:val="center"/>
            <w:tcMar>
              <w:top w:w="75" w:type="dxa"/>
              <w:bottom w:w="75" w:type="dxa"/>
              <w:start w:w="90" w:type="dxa"/>
              <w:end w:w="90" w:type="dxa"/>
            </w:tcMar>
            <w:shd w:fill="FFFFFF"/>
          </w:tcPr>
          <w:p>
            <w:pPr>
              <w:spacing w:after="0" w:line="264" w:lineRule="auto"/>
              <w:jc w:val="center"/>
            </w:pPr>
            <w:r>
              <w:rPr>
                <w:b w:val="0"/>
                <w:sz w:val="17"/>
              </w:rPr>
              <w:t>2023 年 1 月至 2023 年 12 月</w:t>
            </w:r>
          </w:p>
        </w:tc>
      </w:tr>
    </w:tbl>
    <w:p>
      <w:pPr>
        <w:spacing w:after="0" w:line="60" w:lineRule="exact"/>
      </w:pPr>
      <w:r>
        <w:rPr>
          <w:sz w:val="6"/>
        </w:rPr>
        <w:t xml:space="preserve"> </w:t>
      </w:r>
    </w:p>
    <w:p>
      <w:r>
        <w:t>选模优先比较验证期 Precision@20%，并依次以 AP 和 ROC-AUC 打破并列。随机森林因此胜出，尽管提升树的验证 AP 更高。代码所用随机森林为 100 棵树、深度 3、最小叶节点样本数 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1757"/>
        <w:gridCol w:w="1757"/>
        <w:gridCol w:w="1814"/>
        <w:gridCol w:w="1701"/>
      </w:tblGrid>
      <w:tr>
        <w:trPr>
          <w:cantSplit/>
          <w:tblHeader/>
        </w:trPr>
        <w:tc>
          <w:tcPr>
            <w:tcW w:type="dxa" w:w="2721"/>
            <w:vAlign w:val="center"/>
            <w:tcMar>
              <w:top w:w="75" w:type="dxa"/>
              <w:bottom w:w="75" w:type="dxa"/>
              <w:start w:w="90" w:type="dxa"/>
              <w:end w:w="90" w:type="dxa"/>
            </w:tcMar>
            <w:shd w:fill="E8EEF5"/>
          </w:tcPr>
          <w:p>
            <w:pPr>
              <w:spacing w:after="0" w:line="264" w:lineRule="auto"/>
              <w:jc w:val="center"/>
            </w:pPr>
            <w:r>
              <w:rPr>
                <w:b/>
                <w:sz w:val="18"/>
              </w:rPr>
              <w:t>模型</w:t>
            </w:r>
          </w:p>
        </w:tc>
        <w:tc>
          <w:tcPr>
            <w:tcW w:type="dxa" w:w="1757"/>
            <w:vAlign w:val="center"/>
            <w:tcMar>
              <w:top w:w="75" w:type="dxa"/>
              <w:bottom w:w="75" w:type="dxa"/>
              <w:start w:w="90" w:type="dxa"/>
              <w:end w:w="90" w:type="dxa"/>
            </w:tcMar>
            <w:shd w:fill="E8EEF5"/>
          </w:tcPr>
          <w:p>
            <w:pPr>
              <w:spacing w:after="0" w:line="264" w:lineRule="auto"/>
              <w:jc w:val="center"/>
            </w:pPr>
            <w:r>
              <w:rPr>
                <w:b/>
                <w:sz w:val="18"/>
              </w:rPr>
              <w:t>验证 AP</w:t>
            </w:r>
          </w:p>
        </w:tc>
        <w:tc>
          <w:tcPr>
            <w:tcW w:type="dxa" w:w="1757"/>
            <w:vAlign w:val="center"/>
            <w:tcMar>
              <w:top w:w="75" w:type="dxa"/>
              <w:bottom w:w="75" w:type="dxa"/>
              <w:start w:w="90" w:type="dxa"/>
              <w:end w:w="90" w:type="dxa"/>
            </w:tcMar>
            <w:shd w:fill="E8EEF5"/>
          </w:tcPr>
          <w:p>
            <w:pPr>
              <w:spacing w:after="0" w:line="264" w:lineRule="auto"/>
              <w:jc w:val="center"/>
            </w:pPr>
            <w:r>
              <w:rPr>
                <w:b/>
                <w:sz w:val="18"/>
              </w:rPr>
              <w:t>测试 AP</w:t>
            </w:r>
          </w:p>
        </w:tc>
        <w:tc>
          <w:tcPr>
            <w:tcW w:type="dxa" w:w="1814"/>
            <w:vAlign w:val="center"/>
            <w:tcMar>
              <w:top w:w="75" w:type="dxa"/>
              <w:bottom w:w="75" w:type="dxa"/>
              <w:start w:w="90" w:type="dxa"/>
              <w:end w:w="90" w:type="dxa"/>
            </w:tcMar>
            <w:shd w:fill="E8EEF5"/>
          </w:tcPr>
          <w:p>
            <w:pPr>
              <w:spacing w:after="0" w:line="264" w:lineRule="auto"/>
              <w:jc w:val="center"/>
            </w:pPr>
            <w:r>
              <w:rPr>
                <w:b/>
                <w:sz w:val="18"/>
              </w:rPr>
              <w:t>测试 P@20%</w:t>
            </w:r>
          </w:p>
        </w:tc>
        <w:tc>
          <w:tcPr>
            <w:tcW w:type="dxa" w:w="1701"/>
            <w:vAlign w:val="center"/>
            <w:tcMar>
              <w:top w:w="75" w:type="dxa"/>
              <w:bottom w:w="75" w:type="dxa"/>
              <w:start w:w="90" w:type="dxa"/>
              <w:end w:w="90" w:type="dxa"/>
            </w:tcMar>
            <w:shd w:fill="E8EEF5"/>
          </w:tcPr>
          <w:p>
            <w:pPr>
              <w:spacing w:after="0" w:line="264" w:lineRule="auto"/>
              <w:jc w:val="center"/>
            </w:pPr>
            <w:r>
              <w:rPr>
                <w:b/>
                <w:sz w:val="18"/>
              </w:rPr>
              <w:t>测试提升倍数</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L2 逻辑回归</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70.5%</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69.5%</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68.8%</w:t>
            </w:r>
          </w:p>
        </w:tc>
        <w:tc>
          <w:tcPr>
            <w:tcW w:type="dxa" w:w="1701"/>
            <w:vAlign w:val="center"/>
            <w:tcMar>
              <w:top w:w="75" w:type="dxa"/>
              <w:bottom w:w="75" w:type="dxa"/>
              <w:start w:w="90" w:type="dxa"/>
              <w:end w:w="90" w:type="dxa"/>
            </w:tcMar>
            <w:shd w:fill="FFFFFF"/>
          </w:tcPr>
          <w:p>
            <w:pPr>
              <w:spacing w:after="0" w:line="264" w:lineRule="auto"/>
              <w:jc w:val="center"/>
            </w:pPr>
            <w:r>
              <w:rPr>
                <w:b w:val="0"/>
                <w:sz w:val="18"/>
              </w:rPr>
              <w:t>2.75</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弹性网逻辑回归</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74.3%</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61.6%</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64.6%</w:t>
            </w:r>
          </w:p>
        </w:tc>
        <w:tc>
          <w:tcPr>
            <w:tcW w:type="dxa" w:w="1701"/>
            <w:vAlign w:val="center"/>
            <w:tcMar>
              <w:top w:w="75" w:type="dxa"/>
              <w:bottom w:w="75" w:type="dxa"/>
              <w:start w:w="90" w:type="dxa"/>
              <w:end w:w="90" w:type="dxa"/>
            </w:tcMar>
            <w:shd w:fill="FFFFFF"/>
          </w:tcPr>
          <w:p>
            <w:pPr>
              <w:spacing w:after="0" w:line="264" w:lineRule="auto"/>
              <w:jc w:val="center"/>
            </w:pPr>
            <w:r>
              <w:rPr>
                <w:b w:val="0"/>
                <w:sz w:val="18"/>
              </w:rPr>
              <w:t>2.58</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随机森林</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74.4%</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61.3%</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58.3%</w:t>
            </w:r>
          </w:p>
        </w:tc>
        <w:tc>
          <w:tcPr>
            <w:tcW w:type="dxa" w:w="1701"/>
            <w:vAlign w:val="center"/>
            <w:tcMar>
              <w:top w:w="75" w:type="dxa"/>
              <w:bottom w:w="75" w:type="dxa"/>
              <w:start w:w="90" w:type="dxa"/>
              <w:end w:w="90" w:type="dxa"/>
            </w:tcMar>
            <w:shd w:fill="FFFFFF"/>
          </w:tcPr>
          <w:p>
            <w:pPr>
              <w:spacing w:after="0" w:line="264" w:lineRule="auto"/>
              <w:jc w:val="center"/>
            </w:pPr>
            <w:r>
              <w:rPr>
                <w:b w:val="0"/>
                <w:sz w:val="18"/>
              </w:rPr>
              <w:t>2.33</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提升树</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76.6%</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64.2%</w:t>
            </w:r>
          </w:p>
        </w:tc>
        <w:tc>
          <w:tcPr>
            <w:tcW w:type="dxa" w:w="1814"/>
            <w:vAlign w:val="center"/>
            <w:tcMar>
              <w:top w:w="75" w:type="dxa"/>
              <w:bottom w:w="75" w:type="dxa"/>
              <w:start w:w="90" w:type="dxa"/>
              <w:end w:w="90" w:type="dxa"/>
            </w:tcMar>
            <w:shd w:fill="FFFFFF"/>
          </w:tcPr>
          <w:p>
            <w:pPr>
              <w:spacing w:after="0" w:line="264" w:lineRule="auto"/>
              <w:jc w:val="center"/>
            </w:pPr>
            <w:r>
              <w:rPr>
                <w:b w:val="0"/>
                <w:sz w:val="18"/>
              </w:rPr>
              <w:t>60.4%</w:t>
            </w:r>
          </w:p>
        </w:tc>
        <w:tc>
          <w:tcPr>
            <w:tcW w:type="dxa" w:w="1701"/>
            <w:vAlign w:val="center"/>
            <w:tcMar>
              <w:top w:w="75" w:type="dxa"/>
              <w:bottom w:w="75" w:type="dxa"/>
              <w:start w:w="90" w:type="dxa"/>
              <w:end w:w="90" w:type="dxa"/>
            </w:tcMar>
            <w:shd w:fill="FFFFFF"/>
          </w:tcPr>
          <w:p>
            <w:pPr>
              <w:spacing w:after="0" w:line="264" w:lineRule="auto"/>
              <w:jc w:val="center"/>
            </w:pPr>
            <w:r>
              <w:rPr>
                <w:b w:val="0"/>
                <w:sz w:val="18"/>
              </w:rPr>
              <w:t>2.42</w:t>
            </w:r>
          </w:p>
        </w:tc>
      </w:tr>
    </w:tbl>
    <w:p>
      <w:pPr>
        <w:spacing w:after="0" w:line="60" w:lineRule="exact"/>
      </w:pPr>
      <w:r>
        <w:rPr>
          <w:sz w:val="6"/>
        </w:rPr>
        <w:t xml:space="preserve"> </w:t>
      </w:r>
    </w:p>
    <w:p>
      <w:pPr>
        <w:keepNext/>
        <w:spacing w:after="40"/>
        <w:jc w:val="center"/>
      </w:pPr>
      <w:r>
        <w:drawing>
          <wp:inline xmlns:a="http://schemas.openxmlformats.org/drawingml/2006/main" xmlns:pic="http://schemas.openxmlformats.org/drawingml/2006/picture">
            <wp:extent cx="5400000" cy="2193750"/>
            <wp:docPr id="3" name="Picture 3" descr="图 3  整个分类测试期合并排名的前 20% 提升倍数"/>
            <wp:cNvGraphicFramePr>
              <a:graphicFrameLocks noChangeAspect="1"/>
            </wp:cNvGraphicFramePr>
            <a:graphic>
              <a:graphicData uri="http://schemas.openxmlformats.org/drawingml/2006/picture">
                <pic:pic>
                  <pic:nvPicPr>
                    <pic:cNvPr id="0" name="lift.png"/>
                    <pic:cNvPicPr/>
                  </pic:nvPicPr>
                  <pic:blipFill>
                    <a:blip r:embed="rId12"/>
                    <a:stretch>
                      <a:fillRect/>
                    </a:stretch>
                  </pic:blipFill>
                  <pic:spPr>
                    <a:xfrm>
                      <a:off x="0" y="0"/>
                      <a:ext cx="5400000" cy="2193750"/>
                    </a:xfrm>
                    <a:prstGeom prst="rect"/>
                  </pic:spPr>
                </pic:pic>
              </a:graphicData>
            </a:graphic>
          </wp:inline>
        </w:drawing>
      </w:r>
    </w:p>
    <w:p>
      <w:pPr>
        <w:pStyle w:val="Caption"/>
        <w:jc w:val="center"/>
      </w:pPr>
      <w:r>
        <w:t>图 3  整个分类测试期合并排名的前 20% 提升倍数</w:t>
      </w:r>
    </w:p>
    <w:p>
      <w:r>
        <w:t>随机森林测试 ROC-AUC 为 75.2%，AP 为 61.3%，前 20% 精确率为 58.3%，提升倍数为 2.33。L2 逻辑回归的测试提升倍数最高，但不应据此在同一测试集上重新选择模型。上述结果包含前述时间信息泄漏风险，尚不能据此确认实际投用时的排名收益。</w:t>
      </w:r>
    </w:p>
    <w:p>
      <w:pPr>
        <w:spacing w:after="140"/>
      </w:pPr>
      <w:r>
        <w:rPr>
          <w:color w:val="596773"/>
          <w:sz w:val="16"/>
        </w:rPr>
        <w:t>结果 R5；代码 C1 第 583 至 629、824 至 846 行。AP 为原表 PR-AUC 列的实际计算口径；P@20% 为合并排名而非逐月排名。</w:t>
      </w:r>
    </w:p>
    <w:p>
      <w:r>
        <w:br w:type="page"/>
      </w:r>
    </w:p>
    <w:p>
      <w:pPr>
        <w:pStyle w:val="Heading1"/>
      </w:pPr>
      <w:r>
        <w:t>4.1 模型解释与使用边界</w:t>
      </w:r>
    </w:p>
    <w:p>
      <w:r>
        <w:t>原代码在测试集上逐个打乱特征，每项重复 15 次，计算平均 AP 下降量。六个月份额变化是最强信号；规格种类数、六个月增长和三个月份额变化也有贡献。这些是预测关联，不是能保证带来增长的干预因素。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3572"/>
        <w:gridCol w:w="2494"/>
      </w:tblGrid>
      <w:tr>
        <w:trPr>
          <w:cantSplit/>
          <w:tblHeader/>
        </w:trPr>
        <w:tc>
          <w:tcPr>
            <w:tcW w:type="dxa" w:w="3685"/>
            <w:vAlign w:val="center"/>
            <w:tcMar>
              <w:top w:w="75" w:type="dxa"/>
              <w:bottom w:w="75" w:type="dxa"/>
              <w:start w:w="90" w:type="dxa"/>
              <w:end w:w="90" w:type="dxa"/>
            </w:tcMar>
            <w:shd w:fill="E8EEF5"/>
          </w:tcPr>
          <w:p>
            <w:pPr>
              <w:spacing w:after="0" w:line="264" w:lineRule="auto"/>
              <w:jc w:val="center"/>
            </w:pPr>
            <w:r>
              <w:rPr>
                <w:b/>
                <w:sz w:val="18"/>
              </w:rPr>
              <w:t>特征中文名称</w:t>
            </w:r>
          </w:p>
        </w:tc>
        <w:tc>
          <w:tcPr>
            <w:tcW w:type="dxa" w:w="3572"/>
            <w:vAlign w:val="center"/>
            <w:tcMar>
              <w:top w:w="75" w:type="dxa"/>
              <w:bottom w:w="75" w:type="dxa"/>
              <w:start w:w="90" w:type="dxa"/>
              <w:end w:w="90" w:type="dxa"/>
            </w:tcMar>
            <w:shd w:fill="E8EEF5"/>
          </w:tcPr>
          <w:p>
            <w:pPr>
              <w:spacing w:after="0" w:line="264" w:lineRule="auto"/>
              <w:jc w:val="center"/>
            </w:pPr>
            <w:r>
              <w:rPr>
                <w:b/>
                <w:sz w:val="18"/>
              </w:rPr>
              <w:t>代码字段</w:t>
            </w:r>
          </w:p>
        </w:tc>
        <w:tc>
          <w:tcPr>
            <w:tcW w:type="dxa" w:w="2494"/>
            <w:vAlign w:val="center"/>
            <w:tcMar>
              <w:top w:w="75" w:type="dxa"/>
              <w:bottom w:w="75" w:type="dxa"/>
              <w:start w:w="90" w:type="dxa"/>
              <w:end w:w="90" w:type="dxa"/>
            </w:tcMar>
            <w:shd w:fill="E8EEF5"/>
          </w:tcPr>
          <w:p>
            <w:pPr>
              <w:spacing w:after="0" w:line="264" w:lineRule="auto"/>
              <w:jc w:val="center"/>
            </w:pPr>
            <w:r>
              <w:rPr>
                <w:b/>
                <w:sz w:val="18"/>
              </w:rPr>
              <w:t>打乱后 AP 下降</w:t>
            </w:r>
          </w:p>
        </w:tc>
      </w:tr>
      <w:tr>
        <w:trPr>
          <w:cantSplit/>
        </w:trPr>
        <w:tc>
          <w:tcPr>
            <w:tcW w:type="dxa" w:w="3685"/>
            <w:vAlign w:val="center"/>
            <w:tcMar>
              <w:top w:w="75" w:type="dxa"/>
              <w:bottom w:w="75" w:type="dxa"/>
              <w:start w:w="90" w:type="dxa"/>
              <w:end w:w="90" w:type="dxa"/>
            </w:tcMar>
            <w:shd w:fill="FFFFFF"/>
          </w:tcPr>
          <w:p>
            <w:pPr>
              <w:spacing w:after="0" w:line="264" w:lineRule="auto"/>
            </w:pPr>
            <w:r>
              <w:rPr>
                <w:b w:val="0"/>
                <w:sz w:val="18"/>
              </w:rPr>
              <w:t>六个月组合份额变化</w:t>
            </w:r>
          </w:p>
        </w:tc>
        <w:tc>
          <w:tcPr>
            <w:tcW w:type="dxa" w:w="3572"/>
            <w:vAlign w:val="center"/>
            <w:tcMar>
              <w:top w:w="75" w:type="dxa"/>
              <w:bottom w:w="75" w:type="dxa"/>
              <w:start w:w="90" w:type="dxa"/>
              <w:end w:w="90" w:type="dxa"/>
            </w:tcMar>
            <w:shd w:fill="FFFFFF"/>
          </w:tcPr>
          <w:p>
            <w:pPr>
              <w:spacing w:after="0" w:line="264" w:lineRule="auto"/>
              <w:jc w:val="center"/>
            </w:pPr>
            <w:r>
              <w:rPr>
                <w:b w:val="0"/>
                <w:sz w:val="18"/>
              </w:rPr>
              <w:t>share_change6</w:t>
            </w:r>
          </w:p>
        </w:tc>
        <w:tc>
          <w:tcPr>
            <w:tcW w:type="dxa" w:w="2494"/>
            <w:vAlign w:val="center"/>
            <w:tcMar>
              <w:top w:w="75" w:type="dxa"/>
              <w:bottom w:w="75" w:type="dxa"/>
              <w:start w:w="90" w:type="dxa"/>
              <w:end w:w="90" w:type="dxa"/>
            </w:tcMar>
            <w:shd w:fill="FFFFFF"/>
          </w:tcPr>
          <w:p>
            <w:pPr>
              <w:spacing w:after="0" w:line="264" w:lineRule="auto"/>
              <w:jc w:val="center"/>
            </w:pPr>
            <w:r>
              <w:rPr>
                <w:b w:val="0"/>
                <w:sz w:val="18"/>
              </w:rPr>
              <w:t>0.175</w:t>
            </w:r>
          </w:p>
        </w:tc>
      </w:tr>
      <w:tr>
        <w:trPr>
          <w:cantSplit/>
        </w:trPr>
        <w:tc>
          <w:tcPr>
            <w:tcW w:type="dxa" w:w="3685"/>
            <w:vAlign w:val="center"/>
            <w:tcMar>
              <w:top w:w="75" w:type="dxa"/>
              <w:bottom w:w="75" w:type="dxa"/>
              <w:start w:w="90" w:type="dxa"/>
              <w:end w:w="90" w:type="dxa"/>
            </w:tcMar>
            <w:shd w:fill="FFFFFF"/>
          </w:tcPr>
          <w:p>
            <w:pPr>
              <w:spacing w:after="0" w:line="264" w:lineRule="auto"/>
            </w:pPr>
            <w:r>
              <w:rPr>
                <w:b w:val="0"/>
                <w:sz w:val="18"/>
              </w:rPr>
              <w:t>规格种类数的对数变换</w:t>
            </w:r>
          </w:p>
        </w:tc>
        <w:tc>
          <w:tcPr>
            <w:tcW w:type="dxa" w:w="3572"/>
            <w:vAlign w:val="center"/>
            <w:tcMar>
              <w:top w:w="75" w:type="dxa"/>
              <w:bottom w:w="75" w:type="dxa"/>
              <w:start w:w="90" w:type="dxa"/>
              <w:end w:w="90" w:type="dxa"/>
            </w:tcMar>
            <w:shd w:fill="FFFFFF"/>
          </w:tcPr>
          <w:p>
            <w:pPr>
              <w:spacing w:after="0" w:line="264" w:lineRule="auto"/>
              <w:jc w:val="center"/>
            </w:pPr>
            <w:r>
              <w:rPr>
                <w:b w:val="0"/>
                <w:sz w:val="18"/>
              </w:rPr>
              <w:t>log_strength_count</w:t>
            </w:r>
          </w:p>
        </w:tc>
        <w:tc>
          <w:tcPr>
            <w:tcW w:type="dxa" w:w="2494"/>
            <w:vAlign w:val="center"/>
            <w:tcMar>
              <w:top w:w="75" w:type="dxa"/>
              <w:bottom w:w="75" w:type="dxa"/>
              <w:start w:w="90" w:type="dxa"/>
              <w:end w:w="90" w:type="dxa"/>
            </w:tcMar>
            <w:shd w:fill="FFFFFF"/>
          </w:tcPr>
          <w:p>
            <w:pPr>
              <w:spacing w:after="0" w:line="264" w:lineRule="auto"/>
              <w:jc w:val="center"/>
            </w:pPr>
            <w:r>
              <w:rPr>
                <w:b w:val="0"/>
                <w:sz w:val="18"/>
              </w:rPr>
              <w:t>0.020</w:t>
            </w:r>
          </w:p>
        </w:tc>
      </w:tr>
      <w:tr>
        <w:trPr>
          <w:cantSplit/>
        </w:trPr>
        <w:tc>
          <w:tcPr>
            <w:tcW w:type="dxa" w:w="3685"/>
            <w:vAlign w:val="center"/>
            <w:tcMar>
              <w:top w:w="75" w:type="dxa"/>
              <w:bottom w:w="75" w:type="dxa"/>
              <w:start w:w="90" w:type="dxa"/>
              <w:end w:w="90" w:type="dxa"/>
            </w:tcMar>
            <w:shd w:fill="FFFFFF"/>
          </w:tcPr>
          <w:p>
            <w:pPr>
              <w:spacing w:after="0" w:line="264" w:lineRule="auto"/>
            </w:pPr>
            <w:r>
              <w:rPr>
                <w:b w:val="0"/>
                <w:sz w:val="18"/>
              </w:rPr>
              <w:t>六个月对数销量变化</w:t>
            </w:r>
          </w:p>
        </w:tc>
        <w:tc>
          <w:tcPr>
            <w:tcW w:type="dxa" w:w="3572"/>
            <w:vAlign w:val="center"/>
            <w:tcMar>
              <w:top w:w="75" w:type="dxa"/>
              <w:bottom w:w="75" w:type="dxa"/>
              <w:start w:w="90" w:type="dxa"/>
              <w:end w:w="90" w:type="dxa"/>
            </w:tcMar>
            <w:shd w:fill="FFFFFF"/>
          </w:tcPr>
          <w:p>
            <w:pPr>
              <w:spacing w:after="0" w:line="264" w:lineRule="auto"/>
              <w:jc w:val="center"/>
            </w:pPr>
            <w:r>
              <w:rPr>
                <w:b w:val="0"/>
                <w:sz w:val="18"/>
              </w:rPr>
              <w:t>growth6</w:t>
            </w:r>
          </w:p>
        </w:tc>
        <w:tc>
          <w:tcPr>
            <w:tcW w:type="dxa" w:w="2494"/>
            <w:vAlign w:val="center"/>
            <w:tcMar>
              <w:top w:w="75" w:type="dxa"/>
              <w:bottom w:w="75" w:type="dxa"/>
              <w:start w:w="90" w:type="dxa"/>
              <w:end w:w="90" w:type="dxa"/>
            </w:tcMar>
            <w:shd w:fill="FFFFFF"/>
          </w:tcPr>
          <w:p>
            <w:pPr>
              <w:spacing w:after="0" w:line="264" w:lineRule="auto"/>
              <w:jc w:val="center"/>
            </w:pPr>
            <w:r>
              <w:rPr>
                <w:b w:val="0"/>
                <w:sz w:val="18"/>
              </w:rPr>
              <w:t>0.019</w:t>
            </w:r>
          </w:p>
        </w:tc>
      </w:tr>
      <w:tr>
        <w:trPr>
          <w:cantSplit/>
        </w:trPr>
        <w:tc>
          <w:tcPr>
            <w:tcW w:type="dxa" w:w="3685"/>
            <w:vAlign w:val="center"/>
            <w:tcMar>
              <w:top w:w="75" w:type="dxa"/>
              <w:bottom w:w="75" w:type="dxa"/>
              <w:start w:w="90" w:type="dxa"/>
              <w:end w:w="90" w:type="dxa"/>
            </w:tcMar>
            <w:shd w:fill="FFFFFF"/>
          </w:tcPr>
          <w:p>
            <w:pPr>
              <w:spacing w:after="0" w:line="264" w:lineRule="auto"/>
            </w:pPr>
            <w:r>
              <w:rPr>
                <w:b w:val="0"/>
                <w:sz w:val="18"/>
              </w:rPr>
              <w:t>三个月组合份额变化</w:t>
            </w:r>
          </w:p>
        </w:tc>
        <w:tc>
          <w:tcPr>
            <w:tcW w:type="dxa" w:w="3572"/>
            <w:vAlign w:val="center"/>
            <w:tcMar>
              <w:top w:w="75" w:type="dxa"/>
              <w:bottom w:w="75" w:type="dxa"/>
              <w:start w:w="90" w:type="dxa"/>
              <w:end w:w="90" w:type="dxa"/>
            </w:tcMar>
            <w:shd w:fill="FFFFFF"/>
          </w:tcPr>
          <w:p>
            <w:pPr>
              <w:spacing w:after="0" w:line="264" w:lineRule="auto"/>
              <w:jc w:val="center"/>
            </w:pPr>
            <w:r>
              <w:rPr>
                <w:b w:val="0"/>
                <w:sz w:val="18"/>
              </w:rPr>
              <w:t>share_change3</w:t>
            </w:r>
          </w:p>
        </w:tc>
        <w:tc>
          <w:tcPr>
            <w:tcW w:type="dxa" w:w="2494"/>
            <w:vAlign w:val="center"/>
            <w:tcMar>
              <w:top w:w="75" w:type="dxa"/>
              <w:bottom w:w="75" w:type="dxa"/>
              <w:start w:w="90" w:type="dxa"/>
              <w:end w:w="90" w:type="dxa"/>
            </w:tcMar>
            <w:shd w:fill="FFFFFF"/>
          </w:tcPr>
          <w:p>
            <w:pPr>
              <w:spacing w:after="0" w:line="264" w:lineRule="auto"/>
              <w:jc w:val="center"/>
            </w:pPr>
            <w:r>
              <w:rPr>
                <w:b w:val="0"/>
                <w:sz w:val="18"/>
              </w:rPr>
              <w:t>0.015</w:t>
            </w:r>
          </w:p>
        </w:tc>
      </w:tr>
      <w:tr>
        <w:trPr>
          <w:cantSplit/>
        </w:trPr>
        <w:tc>
          <w:tcPr>
            <w:tcW w:type="dxa" w:w="3685"/>
            <w:vAlign w:val="center"/>
            <w:tcMar>
              <w:top w:w="75" w:type="dxa"/>
              <w:bottom w:w="75" w:type="dxa"/>
              <w:start w:w="90" w:type="dxa"/>
              <w:end w:w="90" w:type="dxa"/>
            </w:tcMar>
            <w:shd w:fill="FFFFFF"/>
          </w:tcPr>
          <w:p>
            <w:pPr>
              <w:spacing w:after="0" w:line="264" w:lineRule="auto"/>
            </w:pPr>
            <w:r>
              <w:rPr>
                <w:b w:val="0"/>
                <w:sz w:val="18"/>
              </w:rPr>
              <w:t>十二个月相对对数增长</w:t>
            </w:r>
          </w:p>
        </w:tc>
        <w:tc>
          <w:tcPr>
            <w:tcW w:type="dxa" w:w="3572"/>
            <w:vAlign w:val="center"/>
            <w:tcMar>
              <w:top w:w="75" w:type="dxa"/>
              <w:bottom w:w="75" w:type="dxa"/>
              <w:start w:w="90" w:type="dxa"/>
              <w:end w:w="90" w:type="dxa"/>
            </w:tcMar>
            <w:shd w:fill="FFFFFF"/>
          </w:tcPr>
          <w:p>
            <w:pPr>
              <w:spacing w:after="0" w:line="264" w:lineRule="auto"/>
              <w:jc w:val="center"/>
            </w:pPr>
            <w:r>
              <w:rPr>
                <w:b w:val="0"/>
                <w:sz w:val="18"/>
              </w:rPr>
              <w:t>relative_growth12</w:t>
            </w:r>
          </w:p>
        </w:tc>
        <w:tc>
          <w:tcPr>
            <w:tcW w:type="dxa" w:w="2494"/>
            <w:vAlign w:val="center"/>
            <w:tcMar>
              <w:top w:w="75" w:type="dxa"/>
              <w:bottom w:w="75" w:type="dxa"/>
              <w:start w:w="90" w:type="dxa"/>
              <w:end w:w="90" w:type="dxa"/>
            </w:tcMar>
            <w:shd w:fill="FFFFFF"/>
          </w:tcPr>
          <w:p>
            <w:pPr>
              <w:spacing w:after="0" w:line="264" w:lineRule="auto"/>
              <w:jc w:val="center"/>
            </w:pPr>
            <w:r>
              <w:rPr>
                <w:b w:val="0"/>
                <w:sz w:val="18"/>
              </w:rPr>
              <w:t>0.007</w:t>
            </w:r>
          </w:p>
        </w:tc>
      </w:tr>
    </w:tbl>
    <w:p>
      <w:pPr>
        <w:spacing w:after="0" w:line="60" w:lineRule="exact"/>
      </w:pPr>
      <w:r>
        <w:rPr>
          <w:sz w:val="6"/>
        </w:rPr>
        <w:t xml:space="preserve"> </w:t>
      </w:r>
    </w:p>
    <w:p>
      <w:pPr>
        <w:pStyle w:val="Heading2"/>
      </w:pPr>
      <w:r>
        <w:t>实际部署前需要的修复</w:t>
      </w:r>
    </w:p>
    <w:p>
      <w:r>
        <w:t>所有随时间变化的特征都应只使用锚点可见数据。季节性强度应按历史窗口重算；规格、包装及 SKU 数量还需要带时间戳的产品主数据，确认在对应历史时点已经可得。</w:t>
      </w:r>
    </w:p>
    <w:p>
      <w:r>
        <w:t>在每次训练及选择模型时，应排除尚未经过完整六个月、标签尚不成熟的锚点。随后采用多个滚动时间起点评估模型，并分别报告每月前 4 个通用名的精确率、提升倍数及跨期稳定性。</w:t>
      </w:r>
    </w:p>
    <w:p>
      <w:r>
        <w:t>核对说明：原代码完成了历史分类评估和特征重要性计算，没有保存可直接加载的分类模型，也没有导出 2023 年末或当前月份的逐通用名赢家概率。“月度评分”属于原报告建议的后续运行流程，而非已经实现的生产功能。</w:t>
      </w:r>
    </w:p>
    <w:p>
      <w:pPr>
        <w:pStyle w:val="Heading2"/>
      </w:pPr>
      <w:r>
        <w:t>结果的商业用法</w:t>
      </w:r>
    </w:p>
    <w:p>
      <w:r>
        <w:t>可以据此把六个月份额动量纳入月度观察清单，并据具体品种核查渠道、供应、剂型和竞争变化。投入决策应在确认驱动因素后作出，不能仅凭模型概率或特征重要性推断干预回报。</w:t>
      </w:r>
    </w:p>
    <w:p>
      <w:pPr>
        <w:spacing w:after="140"/>
      </w:pPr>
      <w:r>
        <w:rPr>
          <w:color w:val="596773"/>
          <w:sz w:val="16"/>
        </w:rPr>
        <w:t>结果 R1 classification_importance；代码 C1 第 617 至 629 行；特征构建第 824 至 846 行。严格回测修复属于下一步建议，本次保留原模型输出用于核对。</w:t>
      </w:r>
    </w:p>
    <w:p>
      <w:r>
        <w:br w:type="page"/>
      </w:r>
    </w:p>
    <w:p>
      <w:pPr>
        <w:pStyle w:val="Heading1"/>
      </w:pPr>
      <w:r>
        <w:t>5 需求预测</w:t>
      </w:r>
    </w:p>
    <w:p>
      <w:r>
        <w:t>在通用名与月份层面比较季节性朴素法、阻尼 ETS、带日历及滞后特征的全局岭回归、浅层全局提升树和验证误差加权集成。2019 至 2021 年数据用于预测 2022 年并选择模型，再用截至 2022 年的数据拟合后预测 2023 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1757"/>
        <w:gridCol w:w="1757"/>
        <w:gridCol w:w="1757"/>
        <w:gridCol w:w="1757"/>
      </w:tblGrid>
      <w:tr>
        <w:trPr>
          <w:cantSplit/>
          <w:tblHeader/>
        </w:trPr>
        <w:tc>
          <w:tcPr>
            <w:tcW w:type="dxa" w:w="2721"/>
            <w:vAlign w:val="center"/>
            <w:tcMar>
              <w:top w:w="75" w:type="dxa"/>
              <w:bottom w:w="75" w:type="dxa"/>
              <w:start w:w="90" w:type="dxa"/>
              <w:end w:w="90" w:type="dxa"/>
            </w:tcMar>
            <w:shd w:fill="E8EEF5"/>
          </w:tcPr>
          <w:p>
            <w:pPr>
              <w:spacing w:after="0" w:line="264" w:lineRule="auto"/>
              <w:jc w:val="center"/>
            </w:pPr>
            <w:r>
              <w:rPr>
                <w:b/>
                <w:sz w:val="18"/>
              </w:rPr>
              <w:t>模型</w:t>
            </w:r>
          </w:p>
        </w:tc>
        <w:tc>
          <w:tcPr>
            <w:tcW w:type="dxa" w:w="1757"/>
            <w:vAlign w:val="center"/>
            <w:tcMar>
              <w:top w:w="75" w:type="dxa"/>
              <w:bottom w:w="75" w:type="dxa"/>
              <w:start w:w="90" w:type="dxa"/>
              <w:end w:w="90" w:type="dxa"/>
            </w:tcMar>
            <w:shd w:fill="E8EEF5"/>
          </w:tcPr>
          <w:p>
            <w:pPr>
              <w:spacing w:after="0" w:line="264" w:lineRule="auto"/>
              <w:jc w:val="center"/>
            </w:pPr>
            <w:r>
              <w:rPr>
                <w:b/>
                <w:sz w:val="18"/>
              </w:rPr>
              <w:t>验证 WAPE</w:t>
            </w:r>
          </w:p>
        </w:tc>
        <w:tc>
          <w:tcPr>
            <w:tcW w:type="dxa" w:w="1757"/>
            <w:vAlign w:val="center"/>
            <w:tcMar>
              <w:top w:w="75" w:type="dxa"/>
              <w:bottom w:w="75" w:type="dxa"/>
              <w:start w:w="90" w:type="dxa"/>
              <w:end w:w="90" w:type="dxa"/>
            </w:tcMar>
            <w:shd w:fill="E8EEF5"/>
          </w:tcPr>
          <w:p>
            <w:pPr>
              <w:spacing w:after="0" w:line="264" w:lineRule="auto"/>
              <w:jc w:val="center"/>
            </w:pPr>
            <w:r>
              <w:rPr>
                <w:b/>
                <w:sz w:val="18"/>
              </w:rPr>
              <w:t>测试 WAPE</w:t>
            </w:r>
          </w:p>
        </w:tc>
        <w:tc>
          <w:tcPr>
            <w:tcW w:type="dxa" w:w="1757"/>
            <w:vAlign w:val="center"/>
            <w:tcMar>
              <w:top w:w="75" w:type="dxa"/>
              <w:bottom w:w="75" w:type="dxa"/>
              <w:start w:w="90" w:type="dxa"/>
              <w:end w:w="90" w:type="dxa"/>
            </w:tcMar>
            <w:shd w:fill="E8EEF5"/>
          </w:tcPr>
          <w:p>
            <w:pPr>
              <w:spacing w:after="0" w:line="264" w:lineRule="auto"/>
              <w:jc w:val="center"/>
            </w:pPr>
            <w:r>
              <w:rPr>
                <w:b/>
                <w:sz w:val="18"/>
              </w:rPr>
              <w:t>测试 MASE</w:t>
            </w:r>
          </w:p>
        </w:tc>
        <w:tc>
          <w:tcPr>
            <w:tcW w:type="dxa" w:w="1757"/>
            <w:vAlign w:val="center"/>
            <w:tcMar>
              <w:top w:w="75" w:type="dxa"/>
              <w:bottom w:w="75" w:type="dxa"/>
              <w:start w:w="90" w:type="dxa"/>
              <w:end w:w="90" w:type="dxa"/>
            </w:tcMar>
            <w:shd w:fill="E8EEF5"/>
          </w:tcPr>
          <w:p>
            <w:pPr>
              <w:spacing w:after="0" w:line="264" w:lineRule="auto"/>
              <w:jc w:val="center"/>
            </w:pPr>
            <w:r>
              <w:rPr>
                <w:b/>
                <w:sz w:val="18"/>
              </w:rPr>
              <w:t>测试偏差</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季节性朴素法</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44.8%</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22.7%</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0.66</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1.3%</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阻尼 ETS</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28.4%</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23.1%</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0.67</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-8.4%</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全局岭回归 ARX</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37.6%</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25.9%</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0.75</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-20.0%</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全局提升树</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39.0%</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19.5%</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0.57</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-7.7%</w:t>
            </w:r>
          </w:p>
        </w:tc>
      </w:tr>
      <w:tr>
        <w:trPr>
          <w:cantSplit/>
        </w:trPr>
        <w:tc>
          <w:tcPr>
            <w:tcW w:type="dxa" w:w="2721"/>
            <w:vAlign w:val="center"/>
            <w:tcMar>
              <w:top w:w="75" w:type="dxa"/>
              <w:bottom w:w="75" w:type="dxa"/>
              <w:start w:w="90" w:type="dxa"/>
              <w:end w:w="90" w:type="dxa"/>
            </w:tcMar>
            <w:shd w:fill="FFFFFF"/>
          </w:tcPr>
          <w:p>
            <w:pPr>
              <w:spacing w:after="0" w:line="264" w:lineRule="auto"/>
            </w:pPr>
            <w:r>
              <w:rPr>
                <w:b w:val="0"/>
                <w:sz w:val="18"/>
              </w:rPr>
              <w:t>验证加权集成</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30.1%</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16.3%</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0.48</w:t>
            </w:r>
          </w:p>
        </w:tc>
        <w:tc>
          <w:tcPr>
            <w:tcW w:type="dxa" w:w="1757"/>
            <w:vAlign w:val="center"/>
            <w:tcMar>
              <w:top w:w="75" w:type="dxa"/>
              <w:bottom w:w="75" w:type="dxa"/>
              <w:start w:w="90" w:type="dxa"/>
              <w:end w:w="90" w:type="dxa"/>
            </w:tcMar>
            <w:shd w:fill="FFFFFF"/>
          </w:tcPr>
          <w:p>
            <w:pPr>
              <w:spacing w:after="0" w:line="264" w:lineRule="auto"/>
              <w:jc w:val="center"/>
            </w:pPr>
            <w:r>
              <w:rPr>
                <w:b w:val="0"/>
                <w:sz w:val="18"/>
              </w:rPr>
              <w:t>-9.1%</w:t>
            </w:r>
          </w:p>
        </w:tc>
      </w:tr>
    </w:tbl>
    <w:p>
      <w:pPr>
        <w:spacing w:after="0" w:line="60" w:lineRule="exact"/>
      </w:pPr>
      <w:r>
        <w:rPr>
          <w:sz w:val="6"/>
        </w:rPr>
        <w:t xml:space="preserve"> </w:t>
      </w:r>
    </w:p>
    <w:p>
      <w:r>
        <w:t>阻尼 ETS 在 2022 年验证期以 28.4% WAPE 胜出。2023 年测试 WAPE 为 23.1%，MASE 为 0.67，偏差为 -8.4%。负偏差表示整体低估需求，应在供应规划中持续监测。</w:t>
      </w:r>
    </w:p>
    <w:p>
      <w:pPr>
        <w:keepNext/>
        <w:spacing w:after="40"/>
        <w:jc w:val="center"/>
      </w:pPr>
      <w:r>
        <w:drawing>
          <wp:inline xmlns:a="http://schemas.openxmlformats.org/drawingml/2006/main" xmlns:pic="http://schemas.openxmlformats.org/drawingml/2006/picture">
            <wp:extent cx="5903999" cy="2804400"/>
            <wp:docPr id="4" name="Picture 4" descr="图 4  2023 年组合需求与阻尼 ETS 及季节性基准预测"/>
            <wp:cNvGraphicFramePr>
              <a:graphicFrameLocks noChangeAspect="1"/>
            </wp:cNvGraphicFramePr>
            <a:graphic>
              <a:graphicData uri="http://schemas.openxmlformats.org/drawingml/2006/picture">
                <pic:pic>
                  <pic:nvPicPr>
                    <pic:cNvPr id="0" name="forecast.png"/>
                    <pic:cNvPicPr/>
                  </pic:nvPicPr>
                  <pic:blipFill>
                    <a:blip r:embed="rId13"/>
                    <a:stretch>
                      <a:fillRect/>
                    </a:stretch>
                  </pic:blipFill>
                  <pic:spPr>
                    <a:xfrm>
                      <a:off x="0" y="0"/>
                      <a:ext cx="5903999" cy="2804400"/>
                    </a:xfrm>
                    <a:prstGeom prst="rect"/>
                  </pic:spPr>
                </pic:pic>
              </a:graphicData>
            </a:graphic>
          </wp:inline>
        </w:drawing>
      </w:r>
    </w:p>
    <w:p>
      <w:pPr>
        <w:pStyle w:val="Caption"/>
        <w:jc w:val="center"/>
      </w:pPr>
      <w:r>
        <w:t>图 4  2023 年组合需求与阻尼 ETS 及季节性基准预测</w:t>
      </w:r>
    </w:p>
    <w:p>
      <w:r>
        <w:t>验证加权集成的 2023 年 WAPE 为 16.3%，低于阻尼 ETS，但它没有在验证期胜出，且包含使用全时期静态特征的全局模型。该结果应作为修复后前瞻回测的候选假设，不应被当作可直接替换基准模型的依据。</w:t>
      </w:r>
    </w:p>
    <w:p>
      <w:r>
        <w:t>核对说明：表内误差是在 20 个通用名与 12 个月构成的 240 个单元上计算，图则是各月组合合计。图形吻合程度不能直接替代通用名层面的误差评价。MASE 使用所有通用名训练期季节性绝对差的合并平均值作为分母。</w:t>
      </w:r>
    </w:p>
    <w:p>
      <w:pPr>
        <w:spacing w:after="140"/>
      </w:pPr>
      <w:r>
        <w:rPr>
          <w:color w:val="596773"/>
          <w:sz w:val="16"/>
        </w:rPr>
        <w:t>结果 R6、R1 forecast_2023_portfolio；代码 C1 第 631 至 747 行。原报告“所有预测均未使用 2023 年结果”的说法已按核对结果修正。</w:t>
      </w:r>
    </w:p>
    <w:p>
      <w:r>
        <w:br w:type="page"/>
      </w:r>
    </w:p>
    <w:p>
      <w:pPr>
        <w:pStyle w:val="Heading1"/>
      </w:pPr>
      <w:r>
        <w:t>5.1 2024 年基准预测</w:t>
      </w:r>
    </w:p>
    <w:p>
      <w:r>
        <w:t>将验证选出的阻尼 ETS 用完整 2019 至 2023 年数据重新拟合，并自下而上加总通用名预测，得到 2024 年组合销量 114.4 百万包装当量，较 2023 年下降 6.4%。未四舍五入的总量为 114,362,650.51，同比为 -6.4269%。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701"/>
        <w:gridCol w:w="1701"/>
        <w:gridCol w:w="1587"/>
        <w:gridCol w:w="2211"/>
      </w:tblGrid>
      <w:tr>
        <w:trPr>
          <w:cantSplit/>
          <w:tblHeader/>
        </w:trPr>
        <w:tc>
          <w:tcPr>
            <w:tcW w:type="dxa" w:w="2551"/>
            <w:vAlign w:val="center"/>
            <w:tcMar>
              <w:top w:w="75" w:type="dxa"/>
              <w:bottom w:w="75" w:type="dxa"/>
              <w:start w:w="90" w:type="dxa"/>
              <w:end w:w="90" w:type="dxa"/>
            </w:tcMar>
            <w:shd w:fill="E8EEF5"/>
          </w:tcPr>
          <w:p>
            <w:pPr>
              <w:spacing w:after="0" w:line="264" w:lineRule="auto"/>
              <w:jc w:val="center"/>
            </w:pPr>
            <w:r>
              <w:rPr>
                <w:b/>
                <w:sz w:val="17"/>
              </w:rPr>
              <w:t>通用名</w:t>
            </w:r>
          </w:p>
        </w:tc>
        <w:tc>
          <w:tcPr>
            <w:tcW w:type="dxa" w:w="1701"/>
            <w:vAlign w:val="center"/>
            <w:tcMar>
              <w:top w:w="75" w:type="dxa"/>
              <w:bottom w:w="75" w:type="dxa"/>
              <w:start w:w="90" w:type="dxa"/>
              <w:end w:w="90" w:type="dxa"/>
            </w:tcMar>
            <w:shd w:fill="E8EEF5"/>
          </w:tcPr>
          <w:p>
            <w:pPr>
              <w:spacing w:after="0" w:line="264" w:lineRule="auto"/>
              <w:jc w:val="center"/>
            </w:pPr>
            <w:r>
              <w:rPr>
                <w:b/>
                <w:sz w:val="17"/>
              </w:rPr>
              <w:t>2023 销量</w:t>
              <w:br/>
              <w:t>百万</w:t>
            </w:r>
          </w:p>
        </w:tc>
        <w:tc>
          <w:tcPr>
            <w:tcW w:type="dxa" w:w="1701"/>
            <w:vAlign w:val="center"/>
            <w:tcMar>
              <w:top w:w="75" w:type="dxa"/>
              <w:bottom w:w="75" w:type="dxa"/>
              <w:start w:w="90" w:type="dxa"/>
              <w:end w:w="90" w:type="dxa"/>
            </w:tcMar>
            <w:shd w:fill="E8EEF5"/>
          </w:tcPr>
          <w:p>
            <w:pPr>
              <w:spacing w:after="0" w:line="264" w:lineRule="auto"/>
              <w:jc w:val="center"/>
            </w:pPr>
            <w:r>
              <w:rPr>
                <w:b/>
                <w:sz w:val="17"/>
              </w:rPr>
              <w:t>2024 预测</w:t>
              <w:br/>
              <w:t>百万</w:t>
            </w:r>
          </w:p>
        </w:tc>
        <w:tc>
          <w:tcPr>
            <w:tcW w:type="dxa" w:w="1587"/>
            <w:vAlign w:val="center"/>
            <w:tcMar>
              <w:top w:w="75" w:type="dxa"/>
              <w:bottom w:w="75" w:type="dxa"/>
              <w:start w:w="90" w:type="dxa"/>
              <w:end w:w="90" w:type="dxa"/>
            </w:tcMar>
            <w:shd w:fill="E8EEF5"/>
          </w:tcPr>
          <w:p>
            <w:pPr>
              <w:spacing w:after="0" w:line="264" w:lineRule="auto"/>
              <w:jc w:val="center"/>
            </w:pPr>
            <w:r>
              <w:rPr>
                <w:b/>
                <w:sz w:val="17"/>
              </w:rPr>
              <w:t>增长率</w:t>
            </w:r>
          </w:p>
        </w:tc>
        <w:tc>
          <w:tcPr>
            <w:tcW w:type="dxa" w:w="2211"/>
            <w:vAlign w:val="center"/>
            <w:tcMar>
              <w:top w:w="75" w:type="dxa"/>
              <w:bottom w:w="75" w:type="dxa"/>
              <w:start w:w="90" w:type="dxa"/>
              <w:end w:w="90" w:type="dxa"/>
            </w:tcMar>
            <w:shd w:fill="E8EEF5"/>
          </w:tcPr>
          <w:p>
            <w:pPr>
              <w:spacing w:after="0" w:line="264" w:lineRule="auto"/>
              <w:jc w:val="center"/>
            </w:pPr>
            <w:r>
              <w:rPr>
                <w:b/>
                <w:sz w:val="17"/>
              </w:rPr>
              <w:t>行动分组</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7"/>
              </w:rPr>
              <w:t>普瑞巴林</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2.6</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3.3</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22.9%</w:t>
            </w:r>
          </w:p>
        </w:tc>
        <w:tc>
          <w:tcPr>
            <w:tcW w:type="dxa" w:w="2211"/>
            <w:vAlign w:val="center"/>
            <w:tcMar>
              <w:top w:w="75" w:type="dxa"/>
              <w:bottom w:w="75" w:type="dxa"/>
              <w:start w:w="90" w:type="dxa"/>
              <w:end w:w="90" w:type="dxa"/>
            </w:tcMar>
            <w:shd w:fill="FFFFFF"/>
          </w:tcPr>
          <w:p>
            <w:pPr>
              <w:spacing w:after="0" w:line="264" w:lineRule="auto"/>
              <w:jc w:val="center"/>
            </w:pPr>
            <w:r>
              <w:rPr>
                <w:b w:val="0"/>
                <w:sz w:val="17"/>
              </w:rPr>
              <w:t>新兴机会</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7"/>
              </w:rPr>
              <w:t>乙酰半胱氨酸</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2.0</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2.3</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16.6%</w:t>
            </w:r>
          </w:p>
        </w:tc>
        <w:tc>
          <w:tcPr>
            <w:tcW w:type="dxa" w:w="2211"/>
            <w:vAlign w:val="center"/>
            <w:tcMar>
              <w:top w:w="75" w:type="dxa"/>
              <w:bottom w:w="75" w:type="dxa"/>
              <w:start w:w="90" w:type="dxa"/>
              <w:end w:w="90" w:type="dxa"/>
            </w:tcMar>
            <w:shd w:fill="FFFFFF"/>
          </w:tcPr>
          <w:p>
            <w:pPr>
              <w:spacing w:after="0" w:line="264" w:lineRule="auto"/>
              <w:jc w:val="center"/>
            </w:pPr>
            <w:r>
              <w:rPr>
                <w:b w:val="0"/>
                <w:sz w:val="17"/>
              </w:rPr>
              <w:t>新兴机会</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7"/>
              </w:rPr>
              <w:t>对乙酰氨基酚</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12.0</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13.7</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14.1%</w:t>
            </w:r>
          </w:p>
        </w:tc>
        <w:tc>
          <w:tcPr>
            <w:tcW w:type="dxa" w:w="2211"/>
            <w:vAlign w:val="center"/>
            <w:tcMar>
              <w:top w:w="75" w:type="dxa"/>
              <w:bottom w:w="75" w:type="dxa"/>
              <w:start w:w="90" w:type="dxa"/>
              <w:end w:w="90" w:type="dxa"/>
            </w:tcMar>
            <w:shd w:fill="FFFFFF"/>
          </w:tcPr>
          <w:p>
            <w:pPr>
              <w:spacing w:after="0" w:line="264" w:lineRule="auto"/>
              <w:jc w:val="center"/>
            </w:pPr>
            <w:r>
              <w:rPr>
                <w:b w:val="0"/>
                <w:sz w:val="17"/>
              </w:rPr>
              <w:t>防守</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7"/>
              </w:rPr>
              <w:t>阿奇霉素</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4.0</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4.5</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12.4%</w:t>
            </w:r>
          </w:p>
        </w:tc>
        <w:tc>
          <w:tcPr>
            <w:tcW w:type="dxa" w:w="2211"/>
            <w:vAlign w:val="center"/>
            <w:tcMar>
              <w:top w:w="75" w:type="dxa"/>
              <w:bottom w:w="75" w:type="dxa"/>
              <w:start w:w="90" w:type="dxa"/>
              <w:end w:w="90" w:type="dxa"/>
            </w:tcMar>
            <w:shd w:fill="FFFFFF"/>
          </w:tcPr>
          <w:p>
            <w:pPr>
              <w:spacing w:after="0" w:line="264" w:lineRule="auto"/>
              <w:jc w:val="center"/>
            </w:pPr>
            <w:r>
              <w:rPr>
                <w:b w:val="0"/>
                <w:sz w:val="17"/>
              </w:rPr>
              <w:t>市场带动增长</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7"/>
              </w:rPr>
              <w:t>布洛芬</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13.4</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14.7</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9.9%</w:t>
            </w:r>
          </w:p>
        </w:tc>
        <w:tc>
          <w:tcPr>
            <w:tcW w:type="dxa" w:w="2211"/>
            <w:vAlign w:val="center"/>
            <w:tcMar>
              <w:top w:w="75" w:type="dxa"/>
              <w:bottom w:w="75" w:type="dxa"/>
              <w:start w:w="90" w:type="dxa"/>
              <w:end w:w="90" w:type="dxa"/>
            </w:tcMar>
            <w:shd w:fill="FFFFFF"/>
          </w:tcPr>
          <w:p>
            <w:pPr>
              <w:spacing w:after="0" w:line="264" w:lineRule="auto"/>
              <w:jc w:val="center"/>
            </w:pPr>
            <w:r>
              <w:rPr>
                <w:b w:val="0"/>
                <w:sz w:val="17"/>
              </w:rPr>
              <w:t>增长领先</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7"/>
              </w:rPr>
              <w:t>乙酰水杨酸</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22.4</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24.4</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9.3%</w:t>
            </w:r>
          </w:p>
        </w:tc>
        <w:tc>
          <w:tcPr>
            <w:tcW w:type="dxa" w:w="2211"/>
            <w:vAlign w:val="center"/>
            <w:tcMar>
              <w:top w:w="75" w:type="dxa"/>
              <w:bottom w:w="75" w:type="dxa"/>
              <w:start w:w="90" w:type="dxa"/>
              <w:end w:w="90" w:type="dxa"/>
            </w:tcMar>
            <w:shd w:fill="FFFFFF"/>
          </w:tcPr>
          <w:p>
            <w:pPr>
              <w:spacing w:after="0" w:line="264" w:lineRule="auto"/>
              <w:jc w:val="center"/>
            </w:pPr>
            <w:r>
              <w:rPr>
                <w:b w:val="0"/>
                <w:sz w:val="17"/>
              </w:rPr>
              <w:t>防守</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7"/>
              </w:rPr>
              <w:t>氨溴索</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3.7</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3.7</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1.7%</w:t>
            </w:r>
          </w:p>
        </w:tc>
        <w:tc>
          <w:tcPr>
            <w:tcW w:type="dxa" w:w="2211"/>
            <w:vAlign w:val="center"/>
            <w:tcMar>
              <w:top w:w="75" w:type="dxa"/>
              <w:bottom w:w="75" w:type="dxa"/>
              <w:start w:w="90" w:type="dxa"/>
              <w:end w:w="90" w:type="dxa"/>
            </w:tcMar>
            <w:shd w:fill="FFFFFF"/>
          </w:tcPr>
          <w:p>
            <w:pPr>
              <w:spacing w:after="0" w:line="264" w:lineRule="auto"/>
              <w:jc w:val="center"/>
            </w:pPr>
            <w:r>
              <w:rPr>
                <w:b w:val="0"/>
                <w:sz w:val="17"/>
              </w:rPr>
              <w:t>新兴机会</w:t>
            </w:r>
          </w:p>
        </w:tc>
      </w:tr>
      <w:tr>
        <w:trPr>
          <w:cantSplit/>
        </w:trPr>
        <w:tc>
          <w:tcPr>
            <w:tcW w:type="dxa" w:w="2551"/>
            <w:vAlign w:val="center"/>
            <w:tcMar>
              <w:top w:w="75" w:type="dxa"/>
              <w:bottom w:w="75" w:type="dxa"/>
              <w:start w:w="90" w:type="dxa"/>
              <w:end w:w="90" w:type="dxa"/>
            </w:tcMar>
            <w:shd w:fill="FFFFFF"/>
          </w:tcPr>
          <w:p>
            <w:pPr>
              <w:spacing w:after="0" w:line="264" w:lineRule="auto"/>
            </w:pPr>
            <w:r>
              <w:rPr>
                <w:b w:val="0"/>
                <w:sz w:val="17"/>
              </w:rPr>
              <w:t>瑞舒伐他汀</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3.5</w:t>
            </w:r>
          </w:p>
        </w:tc>
        <w:tc>
          <w:tcPr>
            <w:tcW w:type="dxa" w:w="1701"/>
            <w:vAlign w:val="center"/>
            <w:tcMar>
              <w:top w:w="75" w:type="dxa"/>
              <w:bottom w:w="75" w:type="dxa"/>
              <w:start w:w="90" w:type="dxa"/>
              <w:end w:w="90" w:type="dxa"/>
            </w:tcMar>
            <w:shd w:fill="FFFFFF"/>
          </w:tcPr>
          <w:p>
            <w:pPr>
              <w:spacing w:after="0" w:line="264" w:lineRule="auto"/>
              <w:jc w:val="center"/>
            </w:pPr>
            <w:r>
              <w:rPr>
                <w:b w:val="0"/>
                <w:sz w:val="17"/>
              </w:rPr>
              <w:t>3.3</w:t>
            </w:r>
          </w:p>
        </w:tc>
        <w:tc>
          <w:tcPr>
            <w:tcW w:type="dxa" w:w="1587"/>
            <w:vAlign w:val="center"/>
            <w:tcMar>
              <w:top w:w="75" w:type="dxa"/>
              <w:bottom w:w="75" w:type="dxa"/>
              <w:start w:w="90" w:type="dxa"/>
              <w:end w:w="90" w:type="dxa"/>
            </w:tcMar>
            <w:shd w:fill="FFFFFF"/>
          </w:tcPr>
          <w:p>
            <w:pPr>
              <w:spacing w:after="0" w:line="264" w:lineRule="auto"/>
              <w:jc w:val="center"/>
            </w:pPr>
            <w:r>
              <w:rPr>
                <w:b w:val="0"/>
                <w:sz w:val="17"/>
              </w:rPr>
              <w:t>-6.6%</w:t>
            </w:r>
          </w:p>
        </w:tc>
        <w:tc>
          <w:tcPr>
            <w:tcW w:type="dxa" w:w="2211"/>
            <w:vAlign w:val="center"/>
            <w:tcMar>
              <w:top w:w="75" w:type="dxa"/>
              <w:bottom w:w="75" w:type="dxa"/>
              <w:start w:w="90" w:type="dxa"/>
              <w:end w:w="90" w:type="dxa"/>
            </w:tcMar>
            <w:shd w:fill="FFFFFF"/>
          </w:tcPr>
          <w:p>
            <w:pPr>
              <w:spacing w:after="0" w:line="264" w:lineRule="auto"/>
              <w:jc w:val="center"/>
            </w:pPr>
            <w:r>
              <w:rPr>
                <w:b w:val="0"/>
                <w:sz w:val="17"/>
              </w:rPr>
              <w:t>监测</w:t>
            </w:r>
          </w:p>
        </w:tc>
      </w:tr>
    </w:tbl>
    <w:p>
      <w:pPr>
        <w:spacing w:after="0" w:line="60" w:lineRule="exact"/>
      </w:pPr>
      <w:r>
        <w:rPr>
          <w:sz w:val="6"/>
        </w:rPr>
        <w:t xml:space="preserve"> </w:t>
      </w:r>
    </w:p>
    <w:p>
      <w:pPr>
        <w:keepNext/>
        <w:spacing w:after="40"/>
        <w:jc w:val="center"/>
      </w:pPr>
      <w:r>
        <w:drawing>
          <wp:inline xmlns:a="http://schemas.openxmlformats.org/drawingml/2006/main" xmlns:pic="http://schemas.openxmlformats.org/drawingml/2006/picture">
            <wp:extent cx="5616000" cy="2667600"/>
            <wp:docPr id="5" name="Picture 5" descr="图 5  预测增长 组合份额动量与产品规模"/>
            <wp:cNvGraphicFramePr>
              <a:graphicFrameLocks noChangeAspect="1"/>
            </wp:cNvGraphicFramePr>
            <a:graphic>
              <a:graphicData uri="http://schemas.openxmlformats.org/drawingml/2006/picture">
                <pic:pic>
                  <pic:nvPicPr>
                    <pic:cNvPr id="0" name="matrix.png"/>
                    <pic:cNvPicPr/>
                  </pic:nvPicPr>
                  <pic:blipFill>
                    <a:blip r:embed="rId14"/>
                    <a:stretch>
                      <a:fillRect/>
                    </a:stretch>
                  </pic:blipFill>
                  <pic:spPr>
                    <a:xfrm>
                      <a:off x="0" y="0"/>
                      <a:ext cx="5616000" cy="2667600"/>
                    </a:xfrm>
                    <a:prstGeom prst="rect"/>
                  </pic:spPr>
                </pic:pic>
              </a:graphicData>
            </a:graphic>
          </wp:inline>
        </w:drawing>
      </w:r>
    </w:p>
    <w:p>
      <w:pPr>
        <w:pStyle w:val="Caption"/>
        <w:jc w:val="center"/>
      </w:pPr>
      <w:r>
        <w:t>图 5  预测增长 组合份额动量与产品规模</w:t>
      </w:r>
    </w:p>
    <w:p>
      <w:r>
        <w:t>布洛芬是规模较大的增长领先品种；普瑞巴林和乙酰半胱氨酸为新兴机会。对乙酰氨基酚与乙酰水杨酸虽预测增长，但份额动量为负，应同时开展防守分析。左氧氟沙星兼有负份额动量及最弱的预测增长，是最明确的风险信号。</w:t>
      </w:r>
    </w:p>
    <w:p>
      <w:r>
        <w:t>核对说明：原文“80% 范围”是基于 2022 年对数残差分位数的经验范围，未验证实际覆盖率，也未纳入上市、短缺、价格或政策情景。“市场带动增长”是规则名称：它适用于预测增长但份额未增加且份额低于中位数的产品，并未识别真正的市场驱动原因。</w:t>
      </w:r>
    </w:p>
    <w:p>
      <w:pPr>
        <w:spacing w:after="140"/>
      </w:pPr>
      <w:r>
        <w:rPr>
          <w:color w:val="596773"/>
          <w:sz w:val="16"/>
        </w:rPr>
        <w:t>结果 R2、R8；代码 C1 第 733 至 746、847 至 857、874 至 877 行。气泡图采用组合份额；绿色表示预测增长，红色表示预测下降。</w:t>
      </w:r>
    </w:p>
    <w:p>
      <w:r>
        <w:br w:type="page"/>
      </w:r>
    </w:p>
    <w:p>
      <w:pPr>
        <w:pStyle w:val="Heading1"/>
      </w:pPr>
      <w:r>
        <w:t>6 商业建议与月度运行机制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381"/>
        <w:gridCol w:w="5386"/>
      </w:tblGrid>
      <w:tr>
        <w:trPr>
          <w:cantSplit/>
          <w:tblHeader/>
        </w:trPr>
        <w:tc>
          <w:tcPr>
            <w:tcW w:type="dxa" w:w="1984"/>
            <w:vAlign w:val="center"/>
            <w:tcMar>
              <w:top w:w="75" w:type="dxa"/>
              <w:bottom w:w="75" w:type="dxa"/>
              <w:start w:w="90" w:type="dxa"/>
              <w:end w:w="90" w:type="dxa"/>
            </w:tcMar>
            <w:shd w:fill="E8EEF5"/>
          </w:tcPr>
          <w:p>
            <w:pPr>
              <w:spacing w:after="0" w:line="264" w:lineRule="auto"/>
              <w:jc w:val="center"/>
            </w:pPr>
            <w:r>
              <w:rPr>
                <w:b/>
                <w:sz w:val="18"/>
              </w:rPr>
              <w:t>建议</w:t>
            </w:r>
          </w:p>
        </w:tc>
        <w:tc>
          <w:tcPr>
            <w:tcW w:type="dxa" w:w="2381"/>
            <w:vAlign w:val="center"/>
            <w:tcMar>
              <w:top w:w="75" w:type="dxa"/>
              <w:bottom w:w="75" w:type="dxa"/>
              <w:start w:w="90" w:type="dxa"/>
              <w:end w:w="90" w:type="dxa"/>
            </w:tcMar>
            <w:shd w:fill="E8EEF5"/>
          </w:tcPr>
          <w:p>
            <w:pPr>
              <w:spacing w:after="0" w:line="264" w:lineRule="auto"/>
              <w:jc w:val="center"/>
            </w:pPr>
            <w:r>
              <w:rPr>
                <w:b/>
                <w:sz w:val="18"/>
              </w:rPr>
              <w:t>范围</w:t>
            </w:r>
          </w:p>
        </w:tc>
        <w:tc>
          <w:tcPr>
            <w:tcW w:type="dxa" w:w="5386"/>
            <w:vAlign w:val="center"/>
            <w:tcMar>
              <w:top w:w="75" w:type="dxa"/>
              <w:bottom w:w="75" w:type="dxa"/>
              <w:start w:w="90" w:type="dxa"/>
              <w:end w:w="90" w:type="dxa"/>
            </w:tcMar>
            <w:shd w:fill="E8EEF5"/>
          </w:tcPr>
          <w:p>
            <w:pPr>
              <w:spacing w:after="0" w:line="264" w:lineRule="auto"/>
              <w:jc w:val="center"/>
            </w:pPr>
            <w:r>
              <w:rPr>
                <w:b/>
                <w:sz w:val="18"/>
              </w:rPr>
              <w:t>行动</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8"/>
              </w:rPr>
              <w:t>优先关注增长领先品种</w:t>
            </w:r>
          </w:p>
        </w:tc>
        <w:tc>
          <w:tcPr>
            <w:tcW w:type="dxa" w:w="2381"/>
            <w:vAlign w:val="center"/>
            <w:tcMar>
              <w:top w:w="75" w:type="dxa"/>
              <w:bottom w:w="75" w:type="dxa"/>
              <w:start w:w="90" w:type="dxa"/>
              <w:end w:w="90" w:type="dxa"/>
            </w:tcMar>
            <w:shd w:fill="FFFFFF"/>
          </w:tcPr>
          <w:p>
            <w:pPr>
              <w:spacing w:after="0" w:line="264" w:lineRule="auto"/>
              <w:jc w:val="center"/>
            </w:pPr>
            <w:r>
              <w:rPr>
                <w:b w:val="0"/>
                <w:sz w:val="18"/>
              </w:rPr>
              <w:t>布洛芬</w:t>
            </w:r>
          </w:p>
        </w:tc>
        <w:tc>
          <w:tcPr>
            <w:tcW w:type="dxa" w:w="5386"/>
            <w:vAlign w:val="center"/>
            <w:tcMar>
              <w:top w:w="75" w:type="dxa"/>
              <w:bottom w:w="75" w:type="dxa"/>
              <w:start w:w="90" w:type="dxa"/>
              <w:end w:w="90" w:type="dxa"/>
            </w:tcMar>
            <w:shd w:fill="FFFFFF"/>
          </w:tcPr>
          <w:p>
            <w:pPr>
              <w:spacing w:after="0" w:line="264" w:lineRule="auto"/>
              <w:jc w:val="center"/>
            </w:pPr>
            <w:r>
              <w:rPr>
                <w:b w:val="0"/>
                <w:sz w:val="18"/>
              </w:rPr>
              <w:t>保持商业支持与供应保障，核查带动增长的规格和剂型</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8"/>
              </w:rPr>
              <w:t>培育新兴机会</w:t>
            </w:r>
          </w:p>
        </w:tc>
        <w:tc>
          <w:tcPr>
            <w:tcW w:type="dxa" w:w="2381"/>
            <w:vAlign w:val="center"/>
            <w:tcMar>
              <w:top w:w="75" w:type="dxa"/>
              <w:bottom w:w="75" w:type="dxa"/>
              <w:start w:w="90" w:type="dxa"/>
              <w:end w:w="90" w:type="dxa"/>
            </w:tcMar>
            <w:shd w:fill="FFFFFF"/>
          </w:tcPr>
          <w:p>
            <w:pPr>
              <w:spacing w:after="0" w:line="264" w:lineRule="auto"/>
              <w:jc w:val="center"/>
            </w:pPr>
            <w:r>
              <w:rPr>
                <w:b w:val="0"/>
                <w:sz w:val="18"/>
              </w:rPr>
              <w:t>普瑞巴林、乙酰半胱氨酸</w:t>
            </w:r>
          </w:p>
        </w:tc>
        <w:tc>
          <w:tcPr>
            <w:tcW w:type="dxa" w:w="5386"/>
            <w:vAlign w:val="center"/>
            <w:tcMar>
              <w:top w:w="75" w:type="dxa"/>
              <w:bottom w:w="75" w:type="dxa"/>
              <w:start w:w="90" w:type="dxa"/>
              <w:end w:w="90" w:type="dxa"/>
            </w:tcMar>
            <w:shd w:fill="FFFFFF"/>
          </w:tcPr>
          <w:p>
            <w:pPr>
              <w:spacing w:after="0" w:line="264" w:lineRule="auto"/>
              <w:jc w:val="center"/>
            </w:pPr>
            <w:r>
              <w:rPr>
                <w:b w:val="0"/>
                <w:sz w:val="18"/>
              </w:rPr>
              <w:t>在增量投入前验证需求、分销覆盖和制剂结构变化</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8"/>
              </w:rPr>
              <w:t>防守高销量产品</w:t>
            </w:r>
          </w:p>
        </w:tc>
        <w:tc>
          <w:tcPr>
            <w:tcW w:type="dxa" w:w="2381"/>
            <w:vAlign w:val="center"/>
            <w:tcMar>
              <w:top w:w="75" w:type="dxa"/>
              <w:bottom w:w="75" w:type="dxa"/>
              <w:start w:w="90" w:type="dxa"/>
              <w:end w:w="90" w:type="dxa"/>
            </w:tcMar>
            <w:shd w:fill="FFFFFF"/>
          </w:tcPr>
          <w:p>
            <w:pPr>
              <w:spacing w:after="0" w:line="264" w:lineRule="auto"/>
              <w:jc w:val="center"/>
            </w:pPr>
            <w:r>
              <w:rPr>
                <w:b w:val="0"/>
                <w:sz w:val="18"/>
              </w:rPr>
              <w:t>乙酰水杨酸、对乙酰氨基酚、双氯芬酸</w:t>
            </w:r>
          </w:p>
        </w:tc>
        <w:tc>
          <w:tcPr>
            <w:tcW w:type="dxa" w:w="5386"/>
            <w:vAlign w:val="center"/>
            <w:tcMar>
              <w:top w:w="75" w:type="dxa"/>
              <w:bottom w:w="75" w:type="dxa"/>
              <w:start w:w="90" w:type="dxa"/>
              <w:end w:w="90" w:type="dxa"/>
            </w:tcMar>
            <w:shd w:fill="FFFFFF"/>
          </w:tcPr>
          <w:p>
            <w:pPr>
              <w:spacing w:after="0" w:line="264" w:lineRule="auto"/>
              <w:jc w:val="center"/>
            </w:pPr>
            <w:r>
              <w:rPr>
                <w:b w:val="0"/>
                <w:sz w:val="18"/>
              </w:rPr>
              <w:t>诊断样本份额流失、竞争替代及剂型层面的转移</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8"/>
              </w:rPr>
              <w:t>管理预测风险</w:t>
            </w:r>
          </w:p>
        </w:tc>
        <w:tc>
          <w:tcPr>
            <w:tcW w:type="dxa" w:w="2381"/>
            <w:vAlign w:val="center"/>
            <w:tcMar>
              <w:top w:w="75" w:type="dxa"/>
              <w:bottom w:w="75" w:type="dxa"/>
              <w:start w:w="90" w:type="dxa"/>
              <w:end w:w="90" w:type="dxa"/>
            </w:tcMar>
            <w:shd w:fill="FFFFFF"/>
          </w:tcPr>
          <w:p>
            <w:pPr>
              <w:spacing w:after="0" w:line="264" w:lineRule="auto"/>
              <w:jc w:val="center"/>
            </w:pPr>
            <w:r>
              <w:rPr>
                <w:b w:val="0"/>
                <w:sz w:val="18"/>
              </w:rPr>
              <w:t>整个组合</w:t>
            </w:r>
          </w:p>
        </w:tc>
        <w:tc>
          <w:tcPr>
            <w:tcW w:type="dxa" w:w="5386"/>
            <w:vAlign w:val="center"/>
            <w:tcMar>
              <w:top w:w="75" w:type="dxa"/>
              <w:bottom w:w="75" w:type="dxa"/>
              <w:start w:w="90" w:type="dxa"/>
              <w:end w:w="90" w:type="dxa"/>
            </w:tcMar>
            <w:shd w:fill="FFFFFF"/>
          </w:tcPr>
          <w:p>
            <w:pPr>
              <w:spacing w:after="0" w:line="264" w:lineRule="auto"/>
              <w:jc w:val="center"/>
            </w:pPr>
            <w:r>
              <w:rPr>
                <w:b w:val="0"/>
                <w:sz w:val="18"/>
              </w:rPr>
              <w:t>阻尼 ETS 保留为案例基准，月度监测偏差，并在修复后前瞻比较集成模型</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8"/>
              </w:rPr>
              <w:t>建立预警流程</w:t>
            </w:r>
          </w:p>
        </w:tc>
        <w:tc>
          <w:tcPr>
            <w:tcW w:type="dxa" w:w="2381"/>
            <w:vAlign w:val="center"/>
            <w:tcMar>
              <w:top w:w="75" w:type="dxa"/>
              <w:bottom w:w="75" w:type="dxa"/>
              <w:start w:w="90" w:type="dxa"/>
              <w:end w:w="90" w:type="dxa"/>
            </w:tcMar>
            <w:shd w:fill="FFFFFF"/>
          </w:tcPr>
          <w:p>
            <w:pPr>
              <w:spacing w:after="0" w:line="264" w:lineRule="auto"/>
              <w:jc w:val="center"/>
            </w:pPr>
            <w:r>
              <w:rPr>
                <w:b w:val="0"/>
                <w:sz w:val="18"/>
              </w:rPr>
              <w:t>全部通用名</w:t>
            </w:r>
          </w:p>
        </w:tc>
        <w:tc>
          <w:tcPr>
            <w:tcW w:type="dxa" w:w="5386"/>
            <w:vAlign w:val="center"/>
            <w:tcMar>
              <w:top w:w="75" w:type="dxa"/>
              <w:bottom w:w="75" w:type="dxa"/>
              <w:start w:w="90" w:type="dxa"/>
              <w:end w:w="90" w:type="dxa"/>
            </w:tcMar>
            <w:shd w:fill="FFFFFF"/>
          </w:tcPr>
          <w:p>
            <w:pPr>
              <w:spacing w:after="0" w:line="264" w:lineRule="auto"/>
              <w:jc w:val="center"/>
            </w:pPr>
            <w:r>
              <w:rPr>
                <w:b w:val="0"/>
                <w:sz w:val="18"/>
              </w:rPr>
              <w:t>按月更新增长、样本份额、份额变化、预测误差和行动分组</w:t>
            </w:r>
          </w:p>
        </w:tc>
      </w:tr>
    </w:tbl>
    <w:p>
      <w:pPr>
        <w:spacing w:after="0" w:line="60" w:lineRule="exact"/>
      </w:pPr>
      <w:r>
        <w:rPr>
          <w:sz w:val="6"/>
        </w:rPr>
        <w:t xml:space="preserve"> </w:t>
      </w:r>
    </w:p>
    <w:p>
      <w:pPr>
        <w:pStyle w:val="Heading2"/>
      </w:pPr>
      <w:r>
        <w:t>6.1 月度决策节奏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767"/>
      </w:tblGrid>
      <w:tr>
        <w:trPr>
          <w:cantSplit/>
          <w:tblHeader/>
        </w:trPr>
        <w:tc>
          <w:tcPr>
            <w:tcW w:type="dxa" w:w="1984"/>
            <w:vAlign w:val="center"/>
            <w:tcMar>
              <w:top w:w="75" w:type="dxa"/>
              <w:bottom w:w="75" w:type="dxa"/>
              <w:start w:w="90" w:type="dxa"/>
              <w:end w:w="90" w:type="dxa"/>
            </w:tcMar>
            <w:shd w:fill="E8EEF5"/>
          </w:tcPr>
          <w:p>
            <w:pPr>
              <w:spacing w:after="0" w:line="264" w:lineRule="auto"/>
              <w:jc w:val="center"/>
            </w:pPr>
            <w:r>
              <w:rPr>
                <w:b/>
                <w:sz w:val="19"/>
              </w:rPr>
              <w:t>步骤</w:t>
            </w:r>
          </w:p>
        </w:tc>
        <w:tc>
          <w:tcPr>
            <w:tcW w:type="dxa" w:w="7767"/>
            <w:vAlign w:val="center"/>
            <w:tcMar>
              <w:top w:w="75" w:type="dxa"/>
              <w:bottom w:w="75" w:type="dxa"/>
              <w:start w:w="90" w:type="dxa"/>
              <w:end w:w="90" w:type="dxa"/>
            </w:tcMar>
            <w:shd w:fill="E8EEF5"/>
          </w:tcPr>
          <w:p>
            <w:pPr>
              <w:spacing w:after="0" w:line="264" w:lineRule="auto"/>
              <w:jc w:val="center"/>
            </w:pPr>
            <w:r>
              <w:rPr>
                <w:b/>
                <w:sz w:val="19"/>
              </w:rPr>
              <w:t>输出</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数据刷新</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加载最新月份，重新运行质量标记和特征提取</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表现复盘</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更新销量增长、同类样本份额、份额变化及增长拆解</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模型监测</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修复并实现月度评分后，跟踪未来赢家概率及各通用名预测误差</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行动复盘</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对达到透明增长、份额及预测阈值的品种开展进一步分析</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学习反馈</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记录商业假设与结果，为后续分析补充因果背景</w:t>
            </w:r>
          </w:p>
        </w:tc>
      </w:tr>
    </w:tbl>
    <w:p>
      <w:pPr>
        <w:spacing w:after="0" w:line="60" w:lineRule="exact"/>
      </w:pPr>
      <w:r>
        <w:rPr>
          <w:sz w:val="6"/>
        </w:rPr>
        <w:t xml:space="preserve"> </w:t>
      </w:r>
    </w:p>
    <w:p>
      <w:r>
        <w:t>运行原则：不要对所有通用名采用相同的预测和商业处理方式。稳定的成熟需求、波动需求与间歇需求需要不同的监测阈值和规划方法。当前分析尚不具备完整自动刷新、模型保存和前瞻评分流程。</w:t>
      </w:r>
    </w:p>
    <w:p>
      <w:pPr>
        <w:pStyle w:val="Heading2"/>
      </w:pPr>
      <w:r>
        <w:t>行动规则的精确定义</w:t>
      </w:r>
    </w:p>
    <w:p>
      <w:r>
        <w:t>“高份额”为 2023 年组合份额不低于 20 个通用名的份额中位数。若预测增长为正且份额增加，高份额品种归为增长领先，低份额品种归为新兴机会。高份额且份额未增加者优先归为防守；其余预测与份额均未改善者为风险；余下预测为正者标记市场带动增长，否则监测。</w:t>
      </w:r>
    </w:p>
    <w:p>
      <w:pPr>
        <w:spacing w:after="140"/>
      </w:pPr>
      <w:r>
        <w:rPr>
          <w:color w:val="596773"/>
          <w:sz w:val="16"/>
        </w:rPr>
        <w:t>行动规则 R2 action_segment；代码 C1 第 850 至 857 行。商业建议属于对分析结果的解释，并非已验证的投入回报或因果结论。</w:t>
      </w:r>
    </w:p>
    <w:p>
      <w:r>
        <w:br w:type="page"/>
      </w:r>
    </w:p>
    <w:p>
      <w:pPr>
        <w:pStyle w:val="Heading1"/>
      </w:pPr>
      <w:r>
        <w:t>7 局限性与下一步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767"/>
      </w:tblGrid>
      <w:tr>
        <w:trPr>
          <w:cantSplit/>
          <w:tblHeader/>
        </w:trPr>
        <w:tc>
          <w:tcPr>
            <w:tcW w:type="dxa" w:w="1984"/>
            <w:vAlign w:val="center"/>
            <w:tcMar>
              <w:top w:w="75" w:type="dxa"/>
              <w:bottom w:w="75" w:type="dxa"/>
              <w:start w:w="90" w:type="dxa"/>
              <w:end w:w="90" w:type="dxa"/>
            </w:tcMar>
            <w:shd w:fill="E8EEF5"/>
          </w:tcPr>
          <w:p>
            <w:pPr>
              <w:spacing w:after="0" w:line="264" w:lineRule="auto"/>
              <w:jc w:val="center"/>
            </w:pPr>
            <w:r>
              <w:rPr>
                <w:b/>
                <w:sz w:val="19"/>
              </w:rPr>
              <w:t>局限</w:t>
            </w:r>
          </w:p>
        </w:tc>
        <w:tc>
          <w:tcPr>
            <w:tcW w:type="dxa" w:w="7767"/>
            <w:vAlign w:val="center"/>
            <w:tcMar>
              <w:top w:w="75" w:type="dxa"/>
              <w:bottom w:w="75" w:type="dxa"/>
              <w:start w:w="90" w:type="dxa"/>
              <w:end w:w="90" w:type="dxa"/>
            </w:tcMar>
            <w:shd w:fill="E8EEF5"/>
          </w:tcPr>
          <w:p>
            <w:pPr>
              <w:spacing w:after="0" w:line="264" w:lineRule="auto"/>
              <w:jc w:val="center"/>
            </w:pPr>
            <w:r>
              <w:rPr>
                <w:b/>
                <w:sz w:val="19"/>
              </w:rPr>
              <w:t>对决策的影响</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样本完整性</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20 个通用名并不构成完整市场；样本份额不是外部市场份额</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商业驱动变量</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缺少价格、推广、准入、支付方、患者、医生、供应政策及竞争进入数据</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结果解释</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预测重要性不证明因果关系，也不能指定能保证增长的干预</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时间长度</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只有 60 个月观测；结构变化可能主导年度回测表现</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验证有效性</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全时期季节性特征与六个月标签跨界削弱严格样本外结论</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区间与情景</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经验范围缺少覆盖率检验；未纳入上市、短缺与政策情景</w:t>
            </w:r>
          </w:p>
        </w:tc>
      </w:tr>
      <w:tr>
        <w:trPr>
          <w:cantSplit/>
        </w:trPr>
        <w:tc>
          <w:tcPr>
            <w:tcW w:type="dxa" w:w="1984"/>
            <w:vAlign w:val="center"/>
            <w:tcMar>
              <w:top w:w="75" w:type="dxa"/>
              <w:bottom w:w="75" w:type="dxa"/>
              <w:start w:w="90" w:type="dxa"/>
              <w:end w:w="90" w:type="dxa"/>
            </w:tcMar>
            <w:shd w:fill="FFFFFF"/>
          </w:tcPr>
          <w:p>
            <w:pPr>
              <w:spacing w:after="0" w:line="264" w:lineRule="auto"/>
            </w:pPr>
            <w:r>
              <w:rPr>
                <w:b w:val="0"/>
                <w:sz w:val="19"/>
              </w:rPr>
              <w:t>盈利能力</w:t>
            </w:r>
          </w:p>
        </w:tc>
        <w:tc>
          <w:tcPr>
            <w:tcW w:type="dxa" w:w="7767"/>
            <w:vAlign w:val="center"/>
            <w:tcMar>
              <w:top w:w="75" w:type="dxa"/>
              <w:bottom w:w="75" w:type="dxa"/>
              <w:start w:w="90" w:type="dxa"/>
              <w:end w:w="90" w:type="dxa"/>
            </w:tcMar>
            <w:shd w:fill="FFFFFF"/>
          </w:tcPr>
          <w:p>
            <w:pPr>
              <w:spacing w:after="0" w:line="264" w:lineRule="auto"/>
              <w:jc w:val="center"/>
            </w:pPr>
            <w:r>
              <w:rPr>
                <w:b w:val="0"/>
                <w:sz w:val="19"/>
              </w:rPr>
              <w:t>销量不能支持利润、收入或停产品决策</w:t>
            </w:r>
          </w:p>
        </w:tc>
      </w:tr>
    </w:tbl>
    <w:p>
      <w:pPr>
        <w:spacing w:after="0" w:line="60" w:lineRule="exact"/>
      </w:pPr>
      <w:r>
        <w:rPr>
          <w:sz w:val="6"/>
        </w:rPr>
        <w:t xml:space="preserve"> </w:t>
      </w:r>
    </w:p>
    <w:p>
      <w:r>
        <w:t>下一阶段应取得覆盖更完整竞争产品的市场数据，重做 ATC4 份额建模，并核验原始分类标签。若涉及盈利或销售队伍决策，还需加入价格、净销售额、成本、推广触达、支付方准入及患者或医生数据。</w:t>
      </w:r>
    </w:p>
    <w:p>
      <w:r>
        <w:t>方法层面应首先修复时间可得性：按历史锚点构造特征，按六个月标签成熟日期设置间隔，再扩展滚动起点回测。标准化 AP 及并列分数处理，增加逐月排名指标、通用名分层误差和预测区间覆盖率评估。</w:t>
      </w:r>
    </w:p>
    <w:p>
      <w:r>
        <w:t>对 2024 年预测应保持原案例语境。没有 2024 年及之后的实际销量，无法在本次核对中评价该年度预测的实际准确性，也不能将其转述为当前经营预测。</w:t>
      </w:r>
    </w:p>
    <w:p>
      <w:pPr>
        <w:pStyle w:val="Heading2"/>
      </w:pPr>
      <w:r>
        <w:t>本次核对边界</w:t>
      </w:r>
    </w:p>
    <w:p>
      <w:r>
        <w:t>本次完成了原始 CSV 指纹核验、原代码独立重跑、现有 JSON 与 7 个 CSV 全量比对、报告主要结果表及关键正文数值核对，并在中文报告中补充口径说明。没有调整原模型或重估一套“修复后指标”，以避免将模型修订与原报告一致性核对混为一项结果。</w:t>
      </w:r>
    </w:p>
    <w:p>
      <w:r>
        <w:t>中文图表由核对通过的数据重新绘制；药品拉丁名称保留在附录 C，便于与代码字段准确对应。数据路径、代码路径、结果路径与复现命令列于附录 B。</w:t>
      </w:r>
    </w:p>
    <w:p>
      <w:r>
        <w:br w:type="page"/>
      </w:r>
    </w:p>
    <w:p>
      <w:pPr>
        <w:pStyle w:val="Heading1"/>
      </w:pPr>
      <w:r>
        <w:t>附录 A 技术指标定义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654"/>
      </w:tblGrid>
      <w:tr>
        <w:trPr>
          <w:cantSplit/>
          <w:tblHeader/>
        </w:trPr>
        <w:tc>
          <w:tcPr>
            <w:tcW w:type="dxa" w:w="2098"/>
            <w:vAlign w:val="center"/>
            <w:tcMar>
              <w:top w:w="75" w:type="dxa"/>
              <w:bottom w:w="75" w:type="dxa"/>
              <w:start w:w="90" w:type="dxa"/>
              <w:end w:w="90" w:type="dxa"/>
            </w:tcMar>
            <w:shd w:fill="E8EEF5"/>
          </w:tcPr>
          <w:p>
            <w:pPr>
              <w:spacing w:after="0" w:line="264" w:lineRule="auto"/>
              <w:jc w:val="center"/>
            </w:pPr>
            <w:r>
              <w:rPr>
                <w:b/>
                <w:sz w:val="18"/>
              </w:rPr>
              <w:t>指标</w:t>
            </w:r>
          </w:p>
        </w:tc>
        <w:tc>
          <w:tcPr>
            <w:tcW w:type="dxa" w:w="7654"/>
            <w:vAlign w:val="center"/>
            <w:tcMar>
              <w:top w:w="75" w:type="dxa"/>
              <w:bottom w:w="75" w:type="dxa"/>
              <w:start w:w="90" w:type="dxa"/>
              <w:end w:w="90" w:type="dxa"/>
            </w:tcMar>
            <w:shd w:fill="E8EEF5"/>
          </w:tcPr>
          <w:p>
            <w:pPr>
              <w:spacing w:after="0" w:line="264" w:lineRule="auto"/>
              <w:jc w:val="center"/>
            </w:pPr>
            <w:r>
              <w:rPr>
                <w:b/>
                <w:sz w:val="18"/>
              </w:rPr>
              <w:t>定义及本案例口径</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同比增长</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当期销量 ÷ 上年同期销量 − 1；年销量比较使用当年与上年合计。分母为零时无定义。</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复合年增长率</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（2023 年销量 ÷ 2019 年销量）的 1/4 次方 − 1。</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样本市场份额</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通用名在合格 ATC4 或回退 ATC3 分组中的销量 ÷ 该分组样本总销量。</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组合份额</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通用名全部样本销量 ÷ 全部 20 个通用名的样本总销量。</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份额变化</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当期份额减上期份额。代码中以比例保存，报告乘 100 后以百分点展示。</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份额效应</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当期实际销量 − 当期样本市场总销量 × 上期份额。</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季节性强度</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先去除线性趋势，以各月份平均值构造季节项；1 − 残差方差 ÷（季节项加残差）的方差，截断至 0 至 1。</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未来份额赢家</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每个锚点下，未来六个月组合份额增量前 25% 的通用名，每月 5 个。</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AP</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按预测分数降序，对每个正例位置的累计精确率求平均；原代码列名为 pr_auc。并列分数按排序结果处理。</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Precision@20%</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该评估分区全部观测合并排名后，前 20% 观测中的赢家比例。测试期为前 48 条。</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Lift@20%</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Precision@20% ÷ 全部观测赢家比例；本例基础比例为 25%。</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WAPE</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绝对预测误差之和 ÷ 实际销量之和；按通用名与月份单元合并计算。</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MASE</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预测绝对误差平均值 ÷ 训练数据 12 个月季节性差分绝对值的合并平均值。</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偏差 Bias</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预测值减实际值的差额之和 ÷ 实际销量之和。负值表示总体低估。</w:t>
            </w:r>
          </w:p>
        </w:tc>
      </w:tr>
      <w:tr>
        <w:trPr>
          <w:cantSplit/>
        </w:trPr>
        <w:tc>
          <w:tcPr>
            <w:tcW w:type="dxa" w:w="2098"/>
            <w:vAlign w:val="center"/>
            <w:tcMar>
              <w:top w:w="75" w:type="dxa"/>
              <w:bottom w:w="75" w:type="dxa"/>
              <w:start w:w="90" w:type="dxa"/>
              <w:end w:w="90" w:type="dxa"/>
            </w:tcMar>
            <w:shd w:fill="FFFFFF"/>
          </w:tcPr>
          <w:p>
            <w:pPr>
              <w:spacing w:after="0" w:line="264" w:lineRule="auto"/>
            </w:pPr>
            <w:r>
              <w:rPr>
                <w:b w:val="0"/>
                <w:sz w:val="18"/>
              </w:rPr>
              <w:t>经验范围</w:t>
            </w:r>
          </w:p>
        </w:tc>
        <w:tc>
          <w:tcPr>
            <w:tcW w:type="dxa" w:w="7654"/>
            <w:vAlign w:val="center"/>
            <w:tcMar>
              <w:top w:w="75" w:type="dxa"/>
              <w:bottom w:w="75" w:type="dxa"/>
              <w:start w:w="90" w:type="dxa"/>
              <w:end w:w="90" w:type="dxa"/>
            </w:tcMar>
            <w:shd w:fill="FFFFFF"/>
          </w:tcPr>
          <w:p>
            <w:pPr>
              <w:spacing w:after="0" w:line="264" w:lineRule="auto"/>
              <w:jc w:val="center"/>
            </w:pPr>
            <w:r>
              <w:rPr>
                <w:b w:val="0"/>
                <w:sz w:val="18"/>
              </w:rPr>
              <w:t>每一预测月份使用 2022 年同一步长跨通用名对数残差的 10% 与 90% 分位数；未保证覆盖率。</w:t>
            </w:r>
          </w:p>
        </w:tc>
      </w:tr>
    </w:tbl>
    <w:p>
      <w:pPr>
        <w:spacing w:after="0" w:line="60" w:lineRule="exact"/>
      </w:pPr>
      <w:r>
        <w:rPr>
          <w:sz w:val="6"/>
        </w:rPr>
        <w:t xml:space="preserve"> </w:t>
      </w:r>
    </w:p>
    <w:p>
      <w:pPr>
        <w:spacing w:after="140"/>
      </w:pPr>
      <w:r>
        <w:rPr>
          <w:color w:val="596773"/>
          <w:sz w:val="16"/>
        </w:rPr>
        <w:t>计算定义以 C1 的实际实现为准。代码使用 NumPy 自定义分类、树模型、预测及聚类实现；不能假定与同名标准库模型在算法细节上完全等价。</w:t>
      </w:r>
    </w:p>
    <w:p>
      <w:r>
        <w:br w:type="page"/>
      </w:r>
    </w:p>
    <w:p>
      <w:pPr>
        <w:pStyle w:val="Heading1"/>
      </w:pPr>
      <w:r>
        <w:t>附录 B 数据与代码位置</w:t>
      </w:r>
    </w:p>
    <w:p>
      <w:r>
        <w:t>以下为本次核对所使用文件的完整绝对路径。D 表示输入数据，C 表示代码，R 表示原有结果，V 表示本次复核记录。</w:t>
      </w:r>
    </w:p>
    <w:p>
      <w:pPr>
        <w:keepNext/>
      </w:pPr>
      <w:r>
        <w:rPr>
          <w:b/>
          <w:sz w:val="19"/>
        </w:rPr>
        <w:t>D1  原始数据</w:t>
      </w:r>
    </w:p>
    <w:p>
      <w:pPr>
        <w:spacing w:after="100"/>
      </w:pPr>
      <w:r>
        <w:rPr>
          <w:rFonts w:ascii="Consolas" w:hAnsi="Consolas"/>
          <w:sz w:val="16"/>
        </w:rPr>
        <w:t>E:\iqvia商业分析实例\data\teva_sales_small.csv</w:t>
      </w:r>
    </w:p>
    <w:p>
      <w:pPr>
        <w:spacing w:after="140"/>
      </w:pPr>
      <w:r>
        <w:rPr>
          <w:color w:val="596773"/>
          <w:sz w:val="16"/>
        </w:rPr>
        <w:t>宽表 1,730 行、70 列，其中 60 列为月度销量。SHA-256 如下。</w:t>
      </w:r>
    </w:p>
    <w:p>
      <w:pPr>
        <w:spacing w:after="140"/>
      </w:pPr>
      <w:r>
        <w:rPr>
          <w:color w:val="596773"/>
          <w:sz w:val="16"/>
        </w:rPr>
        <w:t>aa88d78417225c15dbb9f8d3592fa2c4c5d1b98cc536be178d53c2fa8f845ac2</w:t>
      </w:r>
    </w:p>
    <w:p>
      <w:pPr>
        <w:keepNext/>
      </w:pPr>
      <w:r>
        <w:rPr>
          <w:b/>
          <w:sz w:val="19"/>
        </w:rPr>
        <w:t>C1  核心分析代码</w:t>
      </w:r>
    </w:p>
    <w:p>
      <w:pPr>
        <w:spacing w:after="100"/>
      </w:pPr>
      <w:r>
        <w:rPr>
          <w:rFonts w:ascii="Consolas" w:hAnsi="Consolas"/>
          <w:sz w:val="16"/>
        </w:rPr>
        <w:t>E:\iqvia商业分析实例\analysis\iqvia_case_analysis.py</w:t>
      </w:r>
    </w:p>
    <w:p>
      <w:pPr>
        <w:spacing w:after="140"/>
      </w:pPr>
      <w:r>
        <w:rPr>
          <w:color w:val="596773"/>
          <w:sz w:val="16"/>
        </w:rPr>
        <w:t>数据与份额分析 764–823 行；分类 563–629、824–844 行；预测 631–747、845–857 行；聚类 858–872 行；输出 899–933 行。</w:t>
      </w:r>
    </w:p>
    <w:p>
      <w:pPr>
        <w:keepNext/>
      </w:pPr>
      <w:r>
        <w:rPr>
          <w:b/>
          <w:sz w:val="19"/>
        </w:rPr>
        <w:t>C2  英文报告生成代码</w:t>
      </w:r>
    </w:p>
    <w:p>
      <w:pPr>
        <w:spacing w:after="100"/>
      </w:pPr>
      <w:r>
        <w:rPr>
          <w:rFonts w:ascii="Consolas" w:hAnsi="Consolas"/>
          <w:sz w:val="16"/>
        </w:rPr>
        <w:t>E:\iqvia商业分析实例\analysis\build_report.py</w:t>
      </w:r>
    </w:p>
    <w:p>
      <w:pPr>
        <w:keepNext/>
      </w:pPr>
      <w:r>
        <w:rPr>
          <w:b/>
          <w:sz w:val="19"/>
        </w:rPr>
        <w:t>C3  本次数值复核代码</w:t>
      </w:r>
    </w:p>
    <w:p>
      <w:pPr>
        <w:spacing w:after="100"/>
      </w:pPr>
      <w:r>
        <w:rPr>
          <w:rFonts w:ascii="Consolas" w:hAnsi="Consolas"/>
          <w:sz w:val="16"/>
        </w:rPr>
        <w:t>E:\iqvia商业分析实例\analysis\verify_report_20260920.py</w:t>
      </w:r>
    </w:p>
    <w:p>
      <w:pPr>
        <w:keepNext/>
      </w:pPr>
      <w:r>
        <w:rPr>
          <w:b/>
          <w:sz w:val="19"/>
        </w:rPr>
        <w:t>C4  中文报告与中文图表生成代码</w:t>
      </w:r>
    </w:p>
    <w:p>
      <w:pPr>
        <w:spacing w:after="100"/>
      </w:pPr>
      <w:r>
        <w:rPr>
          <w:rFonts w:ascii="Consolas" w:hAnsi="Consolas"/>
          <w:sz w:val="16"/>
        </w:rPr>
        <w:t>E:\iqvia商业分析实例\analysis\build_chinese_report_20260920.py</w:t>
      </w:r>
    </w:p>
    <w:p>
      <w:pPr>
        <w:keepNext/>
      </w:pPr>
      <w:r>
        <w:rPr>
          <w:b/>
          <w:sz w:val="19"/>
        </w:rPr>
        <w:t>R1  完整分析结果</w:t>
      </w:r>
    </w:p>
    <w:p>
      <w:pPr>
        <w:spacing w:after="100"/>
      </w:pPr>
      <w:r>
        <w:rPr>
          <w:rFonts w:ascii="Consolas" w:hAnsi="Consolas"/>
          <w:sz w:val="16"/>
        </w:rPr>
        <w:t>E:\iqvia商业分析实例\outputs\iqvia_teva_case_20260919\analysis\analysis_results.json</w:t>
      </w:r>
    </w:p>
    <w:p>
      <w:pPr>
        <w:keepNext/>
      </w:pPr>
      <w:r>
        <w:rPr>
          <w:b/>
          <w:sz w:val="19"/>
        </w:rPr>
        <w:t>R2  通用名 KPI 与预测</w:t>
      </w:r>
    </w:p>
    <w:p>
      <w:pPr>
        <w:spacing w:after="100"/>
      </w:pPr>
      <w:r>
        <w:rPr>
          <w:rFonts w:ascii="Consolas" w:hAnsi="Consolas"/>
          <w:sz w:val="16"/>
        </w:rPr>
        <w:t>E:\iqvia商业分析实例\outputs\iqvia_teva_case_20260919\analysis\inn_kpi.csv</w:t>
      </w:r>
    </w:p>
    <w:p>
      <w:pPr>
        <w:keepNext/>
      </w:pPr>
      <w:r>
        <w:rPr>
          <w:b/>
          <w:sz w:val="19"/>
        </w:rPr>
        <w:t>R3  通用名月度销量</w:t>
      </w:r>
    </w:p>
    <w:p>
      <w:pPr>
        <w:spacing w:after="100"/>
      </w:pPr>
      <w:r>
        <w:rPr>
          <w:rFonts w:ascii="Consolas" w:hAnsi="Consolas"/>
          <w:sz w:val="16"/>
        </w:rPr>
        <w:t>E:\iqvia商业分析实例\outputs\iqvia_teva_case_20260919\analysis\inn_monthly.csv</w:t>
      </w:r>
    </w:p>
    <w:p>
      <w:pPr>
        <w:keepNext/>
      </w:pPr>
      <w:r>
        <w:rPr>
          <w:b/>
          <w:sz w:val="19"/>
        </w:rPr>
        <w:t>R4  SKU 特征与年度销量</w:t>
      </w:r>
    </w:p>
    <w:p>
      <w:pPr>
        <w:spacing w:after="100"/>
      </w:pPr>
      <w:r>
        <w:rPr>
          <w:rFonts w:ascii="Consolas" w:hAnsi="Consolas"/>
          <w:sz w:val="16"/>
        </w:rPr>
        <w:t>E:\iqvia商业分析实例\outputs\iqvia_teva_case_20260919\analysis\sku_features.csv</w:t>
      </w:r>
    </w:p>
    <w:p>
      <w:pPr>
        <w:spacing w:after="140"/>
      </w:pPr>
      <w:r>
        <w:rPr>
          <w:color w:val="596773"/>
          <w:sz w:val="16"/>
        </w:rPr>
        <w:t>本分析输入为 D1。工作区 data/raw 下的其他原始数据和 R/01_download.R 未被 C1 引用，不属于这份 Teva 案例报告的数据链路。</w:t>
      </w:r>
    </w:p>
    <w:p>
      <w:r>
        <w:br w:type="page"/>
      </w:r>
    </w:p>
    <w:p>
      <w:pPr>
        <w:pStyle w:val="Heading1"/>
      </w:pPr>
      <w:r>
        <w:t>附录 B 结果文件与复现步骤</w:t>
      </w:r>
    </w:p>
    <w:p>
      <w:pPr>
        <w:keepNext/>
      </w:pPr>
      <w:r>
        <w:rPr>
          <w:b/>
          <w:sz w:val="19"/>
        </w:rPr>
        <w:t>R5  分类模型指标</w:t>
      </w:r>
    </w:p>
    <w:p>
      <w:pPr>
        <w:spacing w:after="100"/>
      </w:pPr>
      <w:r>
        <w:rPr>
          <w:rFonts w:ascii="Consolas" w:hAnsi="Consolas"/>
          <w:sz w:val="16"/>
        </w:rPr>
        <w:t>E:\iqvia商业分析实例\outputs\iqvia_teva_case_20260919\analysis\classification_model_results.csv</w:t>
      </w:r>
    </w:p>
    <w:p>
      <w:pPr>
        <w:keepNext/>
      </w:pPr>
      <w:r>
        <w:rPr>
          <w:b/>
          <w:sz w:val="19"/>
        </w:rPr>
        <w:t>R6  预测模型指标</w:t>
      </w:r>
    </w:p>
    <w:p>
      <w:pPr>
        <w:spacing w:after="100"/>
      </w:pPr>
      <w:r>
        <w:rPr>
          <w:rFonts w:ascii="Consolas" w:hAnsi="Consolas"/>
          <w:sz w:val="16"/>
        </w:rPr>
        <w:t>E:\iqvia商业分析实例\outputs\iqvia_teva_case_20260919\analysis\forecast_model_results.csv</w:t>
      </w:r>
    </w:p>
    <w:p>
      <w:pPr>
        <w:keepNext/>
      </w:pPr>
      <w:r>
        <w:rPr>
          <w:b/>
          <w:sz w:val="19"/>
        </w:rPr>
        <w:t>R7  同类市场分析</w:t>
      </w:r>
    </w:p>
    <w:p>
      <w:pPr>
        <w:spacing w:after="100"/>
      </w:pPr>
      <w:r>
        <w:rPr>
          <w:rFonts w:ascii="Consolas" w:hAnsi="Consolas"/>
          <w:sz w:val="16"/>
        </w:rPr>
        <w:t>E:\iqvia商业分析实例\outputs\iqvia_teva_case_20260919\analysis\market_peer_analysis.csv</w:t>
      </w:r>
    </w:p>
    <w:p>
      <w:pPr>
        <w:keepNext/>
      </w:pPr>
      <w:r>
        <w:rPr>
          <w:b/>
          <w:sz w:val="19"/>
        </w:rPr>
        <w:t>R8  2024 年月度预测与经验上下界</w:t>
      </w:r>
    </w:p>
    <w:p>
      <w:pPr>
        <w:spacing w:after="100"/>
      </w:pPr>
      <w:r>
        <w:rPr>
          <w:rFonts w:ascii="Consolas" w:hAnsi="Consolas"/>
          <w:sz w:val="16"/>
        </w:rPr>
        <w:t>E:\iqvia商业分析实例\outputs\iqvia_teva_case_20260919\analysis\forecast_2024_monthly.csv</w:t>
      </w:r>
    </w:p>
    <w:p>
      <w:pPr>
        <w:keepNext/>
      </w:pPr>
      <w:r>
        <w:rPr>
          <w:b/>
          <w:sz w:val="19"/>
        </w:rPr>
        <w:t>V1  本次机器可读核对记录</w:t>
      </w:r>
    </w:p>
    <w:p>
      <w:pPr>
        <w:spacing w:after="100"/>
      </w:pPr>
      <w:r>
        <w:rPr>
          <w:rFonts w:ascii="Consolas" w:hAnsi="Consolas"/>
          <w:sz w:val="16"/>
        </w:rPr>
        <w:t>E:\iqvia商业分析实例\outputs\iqvia_teva_case_20260919\verification_20260920\verification_summary.json</w:t>
      </w:r>
    </w:p>
    <w:p>
      <w:pPr>
        <w:keepNext/>
      </w:pPr>
      <w:r>
        <w:rPr>
          <w:b/>
          <w:sz w:val="19"/>
        </w:rPr>
        <w:t>V2  独立重跑结果目录</w:t>
      </w:r>
    </w:p>
    <w:p>
      <w:pPr>
        <w:spacing w:after="100"/>
      </w:pPr>
      <w:r>
        <w:rPr>
          <w:rFonts w:ascii="Consolas" w:hAnsi="Consolas"/>
          <w:sz w:val="16"/>
        </w:rPr>
        <w:t>E:\iqvia商业分析实例\outputs\iqvia_teva_case_20260919\verification_20260920\recomputed</w:t>
      </w:r>
    </w:p>
    <w:p>
      <w:pPr>
        <w:pStyle w:val="Heading2"/>
      </w:pPr>
      <w:r>
        <w:t>复现命令</w:t>
      </w:r>
    </w:p>
    <w:p>
      <w:r>
        <w:t>以项目根目录 E:\iqvia商业分析实例 为工作目录，按以下顺序执行。python 指向支持 NumPy、pandas、Pillow 及 python-docx 的 Python 解释器。</w:t>
      </w:r>
    </w:p>
    <w:p>
      <w:r>
        <w:rPr>
          <w:rFonts w:ascii="Consolas" w:hAnsi="Consolas"/>
          <w:sz w:val="16"/>
        </w:rPr>
        <w:t>python analysis/iqvia_case_analysis.py --input data/teva_sales_small.csv --output outputs/iqvia_teva_case_20260919/verification_20260920/recomputed</w:t>
      </w:r>
    </w:p>
    <w:p>
      <w:r>
        <w:rPr>
          <w:rFonts w:ascii="Consolas" w:hAnsi="Consolas"/>
          <w:sz w:val="16"/>
        </w:rPr>
        <w:t>python analysis/verify_report_20260920.py</w:t>
      </w:r>
    </w:p>
    <w:p>
      <w:r>
        <w:rPr>
          <w:rFonts w:ascii="Consolas" w:hAnsi="Consolas"/>
          <w:sz w:val="16"/>
        </w:rPr>
        <w:t>python analysis/build_chinese_report_20260920.py</w:t>
      </w:r>
    </w:p>
    <w:p>
      <w:r>
        <w:t>随机种子为 20260919。本次重算使用 NumPy 2.3.5 和 pandas 3.0.1。原始数据、原代码和英文报告的 SHA-256 保存在 V1，便于后续确认版本。预测采用通用名预测相加的自下而上汇总。</w:t>
      </w:r>
    </w:p>
    <w:p>
      <w:pPr>
        <w:spacing w:after="140"/>
      </w:pPr>
      <w:r>
        <w:rPr>
          <w:color w:val="596773"/>
          <w:sz w:val="16"/>
        </w:rPr>
        <w:t>原报告来源链接：Teva 开发数据项目 https://github.com/Marchev-Science/case-forecasting-pharmacutical-demand ；WHO ATC 分类 https://www.who.int/tools/atc-ddd-toolkit/atc-classification ；IQVIA 品牌与组合策略 https://www.iqvia.com/solutions/commercialization/brand-and-portfolio-strategy 。上述链接沿用原报告，数值核对以本地 D1 和代码结果为准。</w:t>
      </w:r>
    </w:p>
    <w:p>
      <w:r>
        <w:br w:type="page"/>
      </w:r>
    </w:p>
    <w:p>
      <w:pPr>
        <w:pStyle w:val="Heading1"/>
      </w:pPr>
      <w:r>
        <w:t>附录 C 通用名与代码标识对应</w:t>
      </w:r>
    </w:p>
    <w:p>
      <w:r>
        <w:t>正文使用中文通用名便于阅读。下表保留数据中的拉丁名称及标记，供检索 CSV 和代码输出时使用。乙酰水杨酸后的星号沿用原始字段。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5102"/>
        <w:gridCol w:w="2268"/>
      </w:tblGrid>
      <w:tr>
        <w:trPr>
          <w:cantSplit/>
          <w:tblHeader/>
        </w:trPr>
        <w:tc>
          <w:tcPr>
            <w:tcW w:type="dxa" w:w="2381"/>
            <w:vAlign w:val="center"/>
            <w:tcMar>
              <w:top w:w="75" w:type="dxa"/>
              <w:bottom w:w="75" w:type="dxa"/>
              <w:start w:w="90" w:type="dxa"/>
              <w:end w:w="90" w:type="dxa"/>
            </w:tcMar>
            <w:shd w:fill="E8EEF5"/>
          </w:tcPr>
          <w:p>
            <w:pPr>
              <w:spacing w:after="0" w:line="264" w:lineRule="auto"/>
              <w:jc w:val="center"/>
            </w:pPr>
            <w:r>
              <w:rPr>
                <w:b/>
                <w:sz w:val="18"/>
              </w:rPr>
              <w:t>中文通用名</w:t>
            </w:r>
          </w:p>
        </w:tc>
        <w:tc>
          <w:tcPr>
            <w:tcW w:type="dxa" w:w="5102"/>
            <w:vAlign w:val="center"/>
            <w:tcMar>
              <w:top w:w="75" w:type="dxa"/>
              <w:bottom w:w="75" w:type="dxa"/>
              <w:start w:w="90" w:type="dxa"/>
              <w:end w:w="90" w:type="dxa"/>
            </w:tcMar>
            <w:shd w:fill="E8EEF5"/>
          </w:tcPr>
          <w:p>
            <w:pPr>
              <w:spacing w:after="0" w:line="264" w:lineRule="auto"/>
              <w:jc w:val="center"/>
            </w:pPr>
            <w:r>
              <w:rPr>
                <w:b/>
                <w:sz w:val="18"/>
              </w:rPr>
              <w:t>原始 INN 字段</w:t>
            </w:r>
          </w:p>
        </w:tc>
        <w:tc>
          <w:tcPr>
            <w:tcW w:type="dxa" w:w="2268"/>
            <w:vAlign w:val="center"/>
            <w:tcMar>
              <w:top w:w="75" w:type="dxa"/>
              <w:bottom w:w="75" w:type="dxa"/>
              <w:start w:w="90" w:type="dxa"/>
              <w:end w:w="90" w:type="dxa"/>
            </w:tcMar>
            <w:shd w:fill="E8EEF5"/>
          </w:tcPr>
          <w:p>
            <w:pPr>
              <w:spacing w:after="0" w:line="264" w:lineRule="auto"/>
              <w:jc w:val="center"/>
            </w:pPr>
            <w:r>
              <w:rPr>
                <w:b/>
                <w:sz w:val="18"/>
              </w:rPr>
              <w:t>原代码行动分组</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乙酰水杨酸</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ACIDUM ACETYLSALICYLICUM*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防守</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布洛芬</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IBUPROFENUM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增长领先</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对乙酰氨基酚</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PARACETAMOLUM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防守</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双氯芬酸</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DICLOFENACUM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防守</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比索洛尔</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BISOPROLOLUM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二甲双胍</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METFORMINUM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头孢曲松</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CEFTRIAXONUM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防守</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氨氯地平</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AMLODIPINUM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防守</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氟康唑</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FLUCONAZOLUM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泮托拉唑</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PANTOPRAZOLUM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阿奇霉素</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AZITHROMYCINUM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市场带动增长</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氨溴索</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AMBROXOLUM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新兴机会</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瑞舒伐他汀</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ROSUVASTATINUM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美洛昔康</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MELOXICAMUM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普瑞巴林</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PREGABALINUM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新兴机会</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西地那非</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SILDENAFILUM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乙酰半胱氨酸</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ACETYLCYSTEINUM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新兴机会</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阿托伐他汀</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ATORVASTATINUM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左氧氟沙星</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LEVOFLOXACINUM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风险</w:t>
            </w:r>
          </w:p>
        </w:tc>
      </w:tr>
      <w:tr>
        <w:trPr>
          <w:cantSplit/>
        </w:trPr>
        <w:tc>
          <w:tcPr>
            <w:tcW w:type="dxa" w:w="2381"/>
            <w:vAlign w:val="center"/>
            <w:tcMar>
              <w:top w:w="75" w:type="dxa"/>
              <w:bottom w:w="75" w:type="dxa"/>
              <w:start w:w="90" w:type="dxa"/>
              <w:end w:w="90" w:type="dxa"/>
            </w:tcMar>
            <w:shd w:fill="FFFFFF"/>
          </w:tcPr>
          <w:p>
            <w:pPr>
              <w:spacing w:after="0" w:line="264" w:lineRule="auto"/>
            </w:pPr>
            <w:r>
              <w:rPr>
                <w:b w:val="0"/>
                <w:sz w:val="18"/>
              </w:rPr>
              <w:t>胞磷胆碱</w:t>
            </w:r>
          </w:p>
        </w:tc>
        <w:tc>
          <w:tcPr>
            <w:tcW w:type="dxa" w:w="5102"/>
            <w:vAlign w:val="center"/>
            <w:tcMar>
              <w:top w:w="75" w:type="dxa"/>
              <w:bottom w:w="75" w:type="dxa"/>
              <w:start w:w="90" w:type="dxa"/>
              <w:end w:w="90" w:type="dxa"/>
            </w:tcMar>
            <w:shd w:fill="FFFFFF"/>
          </w:tcPr>
          <w:p>
            <w:pPr>
              <w:spacing w:after="0" w:line="264" w:lineRule="auto"/>
              <w:jc w:val="center"/>
            </w:pPr>
            <w:r>
              <w:rPr>
                <w:b w:val="0"/>
                <w:sz w:val="18"/>
              </w:rPr>
              <w:t>CITICOLINUM</w:t>
            </w:r>
          </w:p>
        </w:tc>
        <w:tc>
          <w:tcPr>
            <w:tcW w:type="dxa" w:w="2268"/>
            <w:vAlign w:val="center"/>
            <w:tcMar>
              <w:top w:w="75" w:type="dxa"/>
              <w:bottom w:w="75" w:type="dxa"/>
              <w:start w:w="90" w:type="dxa"/>
              <w:end w:w="90" w:type="dxa"/>
            </w:tcMar>
            <w:shd w:fill="FFFFFF"/>
          </w:tcPr>
          <w:p>
            <w:pPr>
              <w:spacing w:after="0" w:line="264" w:lineRule="auto"/>
              <w:jc w:val="center"/>
            </w:pPr>
            <w:r>
              <w:rPr>
                <w:b w:val="0"/>
                <w:sz w:val="18"/>
              </w:rPr>
              <w:t>监测</w:t>
            </w:r>
          </w:p>
        </w:tc>
      </w:tr>
    </w:tbl>
    <w:p>
      <w:pPr>
        <w:spacing w:after="0" w:line="60" w:lineRule="exact"/>
      </w:pPr>
      <w:r>
        <w:rPr>
          <w:sz w:val="6"/>
        </w:rPr>
        <w:t xml:space="preserve"> </w:t>
      </w:r>
    </w:p>
    <w:p>
      <w:pPr>
        <w:spacing w:after="140"/>
      </w:pPr>
      <w:r>
        <w:rPr>
          <w:color w:val="596773"/>
          <w:sz w:val="16"/>
        </w:rPr>
        <w:t>来源 R2。行动分组基于 2023 年份额与原案例 2024 年预测，不代表当前市场判断。</w:t>
      </w:r>
    </w:p>
    <w:sectPr w:rsidR="00FC693F" w:rsidRPr="0006063C" w:rsidSect="00034616">
      <w:footerReference w:type="default" r:id="rId9"/>
      <w:pgSz w:w="11906" w:h="16838"/>
      <w:pgMar w:top="1020" w:right="1077" w:bottom="964"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64" w:lineRule="auto"/>
      <w:outlineLvl w:val="0"/>
    </w:pPr>
    <w:rPr>
      <w:rFonts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line="264" w:lineRule="auto"/>
      <w:outlineLvl w:val="1"/>
    </w:pPr>
    <w:rPr>
      <w:rFonts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contextualSpacing/>
    </w:pPr>
    <w:rPr>
      <w:rFonts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4" w:lineRule="auto"/>
    </w:pPr>
    <w:rPr>
      <w:rFonts w:ascii="Microsoft YaHei" w:hAnsi="Microsoft YaHei" w:eastAsia="Microsoft YaHe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pPr>
    <w:rPr>
      <w:rFonts w:ascii="Microsoft YaHei" w:hAnsi="Microsoft YaHei"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医药产品组合分析报告 中文核对版</dc:title>
  <dc:subject>原报告与代码结果一致性核对 中文翻译 数据与代码溯源</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