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药品组合市场分析与需求预测</w:t>
      </w:r>
    </w:p>
    <w:p>
      <w:r>
        <w:t>全量数据研究报告  2019—2023 年历史分析及 2024 年规划预测</w:t>
      </w:r>
    </w:p>
    <w:p>
      <w:r>
        <w:t>AI-Driven Pharmaceutical Portfolio Analytics: Market Dynamics, Commercial Opportunity and Demand Forecasting</w:t>
      </w:r>
    </w:p>
    <w:p>
      <w:pPr>
        <w:pStyle w:val="Heading2"/>
      </w:pPr>
      <w:r>
        <w:t>主要结论</w:t>
      </w:r>
    </w:p>
    <w:p>
      <w:r>
        <w:t>全量样本覆盖 13,762 个 SKU、1,776 个可识别 INN 和 587 个 ATC4 类别。2023 年销量为 848.78 百万原始单位，同比 0.4%，较 2019 年变化 -23.3%。组合总量接近企稳，但不能据此推断所有治疗领域或分子均已恢复。</w:t>
      </w:r>
    </w:p>
    <w:p>
      <w:r>
        <w:t>按时间验证选定的需求预测模型为 Damped ETS，2023 年冻结留出集 WAPE 为 19.0%，Bias 为 -10.9%。用截至 2023 年底的数据重拟合后，2024 年规划点预测为 805.35 百万原始单位，相对 2023 年变化 -5.1%。该结果是历史时点预测，不是对当前年份的预测。</w:t>
      </w:r>
    </w:p>
    <w:p>
      <w:r>
        <w:t>机会分类模型选定 Random Forest，留出集按锚点平均 Lift@20% 为 2.22 倍。连续份额变化模型选定 Zero change，留出 MAE 为 1.87 个百分点；零变化基线为 1.87 个百分点。排序价值与份额增量预测精度应分别判断。</w:t>
      </w:r>
    </w:p>
    <w:p>
      <w:pPr>
        <w:pStyle w:val="Heading2"/>
      </w:pPr>
      <w:r>
        <w:t>建议的使用方式</w:t>
      </w:r>
    </w:p>
    <w:p>
      <w:r>
        <w:t>商业团队以同类份额下降的大体量分子作为防守诊断名单，以份额上升且机会排名靠前的分子作为增长核查名单。供应团队单独审查预测增长、需求波动与历史低估同时出现的品种。行动规则只安排分析与复核优先级，不直接决定停产、利润投入或临床替代。</w:t>
      </w:r>
    </w:p>
    <w:p>
      <w:r>
        <w:t>所有销量保留 CSV 原始数值与小数。案例按包装销量描述数据，但原文件没有独立的倍率、地区和渠道字典，因此本报告统一称“原始销量单位”。</w:t>
      </w:r>
    </w:p>
    <w:p>
      <w:r>
        <w:br w:type="page"/>
      </w:r>
    </w:p>
    <w:p>
      <w:pPr>
        <w:pStyle w:val="Heading1"/>
      </w:pPr>
      <w:r>
        <w:t>一 研究范围与数据证据</w:t>
      </w:r>
    </w:p>
    <w:p>
      <w:r>
        <w:t>研究问题是如何结合历史销量、治疗层级与产品特征，识别需求变化、竞争位置和未来规划重点。分析包括组合描述、治疗同类比较、产品属性关联、机会排序、需求预测及透明行动规则。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846"/>
      </w:tblGrid>
      <w:tr>
        <w:trPr>
          <w:tblHeader/>
          <w:cantSplit/>
        </w:trPr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指标</w:t>
            </w:r>
          </w:p>
        </w:tc>
        <w:tc>
          <w:tcPr>
            <w:tcW w:type="dxa" w:w="5846"/>
          </w:tcPr>
          <w:p>
            <w:pPr>
              <w:spacing w:after="80" w:before="80"/>
            </w:pPr>
            <w:r>
              <w:rPr>
                <w:sz w:val="17"/>
              </w:rPr>
              <w:t>全量结果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SKU</w:t>
            </w:r>
          </w:p>
        </w:tc>
        <w:tc>
          <w:tcPr>
            <w:tcW w:type="dxa" w:w="5846"/>
          </w:tcPr>
          <w:p>
            <w:pPr>
              <w:spacing w:after="80" w:before="80"/>
            </w:pPr>
            <w:r>
              <w:rPr>
                <w:sz w:val="17"/>
              </w:rPr>
              <w:t>13,762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可识别 INN</w:t>
            </w:r>
          </w:p>
        </w:tc>
        <w:tc>
          <w:tcPr>
            <w:tcW w:type="dxa" w:w="5846"/>
          </w:tcPr>
          <w:p>
            <w:pPr>
              <w:spacing w:after="80" w:before="80"/>
            </w:pPr>
            <w:r>
              <w:rPr>
                <w:sz w:val="17"/>
              </w:rPr>
              <w:t>1,776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原始 INN 标签数</w:t>
            </w:r>
          </w:p>
        </w:tc>
        <w:tc>
          <w:tcPr>
            <w:tcW w:type="dxa" w:w="5846"/>
          </w:tcPr>
          <w:p>
            <w:pPr>
              <w:spacing w:after="80" w:before="80"/>
            </w:pPr>
            <w:r>
              <w:rPr>
                <w:sz w:val="17"/>
              </w:rPr>
              <w:t>1,777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INN 未知 SKU</w:t>
            </w:r>
          </w:p>
        </w:tc>
        <w:tc>
          <w:tcPr>
            <w:tcW w:type="dxa" w:w="5846"/>
          </w:tcPr>
          <w:p>
            <w:pPr>
              <w:spacing w:after="80" w:before="80"/>
            </w:pPr>
            <w:r>
              <w:rPr>
                <w:sz w:val="17"/>
              </w:rPr>
              <w:t>931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品牌编码</w:t>
            </w:r>
          </w:p>
        </w:tc>
        <w:tc>
          <w:tcPr>
            <w:tcW w:type="dxa" w:w="5846"/>
          </w:tcPr>
          <w:p>
            <w:pPr>
              <w:spacing w:after="80" w:before="80"/>
            </w:pPr>
            <w:r>
              <w:rPr>
                <w:sz w:val="17"/>
              </w:rPr>
              <w:t>4,895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ATC4 / ATC5</w:t>
            </w:r>
          </w:p>
        </w:tc>
        <w:tc>
          <w:tcPr>
            <w:tcW w:type="dxa" w:w="5846"/>
          </w:tcPr>
          <w:p>
            <w:pPr>
              <w:spacing w:after="80" w:before="80"/>
            </w:pPr>
            <w:r>
              <w:rPr>
                <w:sz w:val="17"/>
              </w:rPr>
              <w:t>587 / 1563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月份 / SKU 月观测</w:t>
            </w:r>
          </w:p>
        </w:tc>
        <w:tc>
          <w:tcPr>
            <w:tcW w:type="dxa" w:w="5846"/>
          </w:tcPr>
          <w:p>
            <w:pPr>
              <w:spacing w:after="80" w:before="80"/>
            </w:pPr>
            <w:r>
              <w:rPr>
                <w:sz w:val="17"/>
              </w:rPr>
              <w:t>60 / 825,720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2019至2023累计销量</w:t>
            </w:r>
          </w:p>
        </w:tc>
        <w:tc>
          <w:tcPr>
            <w:tcW w:type="dxa" w:w="5846"/>
          </w:tcPr>
          <w:p>
            <w:pPr>
              <w:spacing w:after="80" w:before="80"/>
            </w:pPr>
            <w:r>
              <w:rPr>
                <w:sz w:val="17"/>
              </w:rPr>
              <w:t>4,932.12 百万原始单位</w:t>
            </w:r>
          </w:p>
        </w:tc>
      </w:tr>
    </w:tbl>
    <w:p>
      <w:r>
        <w:t>INN 占位符归一化后视为未知；每个未知 SKU 保留独立键，不把 931 个 SKU 合并成一个虚构分子。这部分占五年总销量的 2.6%，仍纳入组合总量与 SKU 预测。</w:t>
      </w:r>
    </w:p>
    <w:p>
      <w:r>
        <w:t>数据源为 teva_sales.csv；上下文材料为 MLapps_Teva_Pharma.pdf。品牌字段为编码，不含生产商身份。样本覆盖率、全国市场边界、产品历史上下架名单均未给出，因而不能将样本组合解释为 Teva 公司全部销量，也不能将同类份额称为全国市场份额。</w:t>
      </w:r>
    </w:p>
    <w:p>
      <w:r>
        <w:t>本次使用全量 13,762 个 SKU。过去的小样本数字和模型结果均未作为本次结论依据。源文件 SHA256 与运行环境版本保存在 QA 清单，可用于复核。</w:t>
      </w:r>
    </w:p>
    <w:p>
      <w:r>
        <w:br w:type="page"/>
      </w:r>
    </w:p>
    <w:p>
      <w:pPr>
        <w:pStyle w:val="Heading1"/>
      </w:pPr>
      <w:r>
        <w:t>二 数据质量与产品信息标准化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5904"/>
        <w:gridCol w:w="4262"/>
      </w:tblGrid>
      <w:tr>
        <w:trPr>
          <w:tblHeader/>
          <w:cantSplit/>
        </w:trPr>
        <w:tc>
          <w:tcPr>
            <w:tcW w:type="dxa" w:w="5904"/>
          </w:tcPr>
          <w:p>
            <w:pPr>
              <w:spacing w:after="80" w:before="80"/>
            </w:pPr>
            <w:r>
              <w:rPr>
                <w:sz w:val="17"/>
              </w:rPr>
              <w:t>检查</w:t>
            </w:r>
          </w:p>
        </w:tc>
        <w:tc>
          <w:tcPr>
            <w:tcW w:type="dxa" w:w="4262"/>
          </w:tcPr>
          <w:p>
            <w:pPr>
              <w:spacing w:after="80" w:before="80"/>
            </w:pPr>
            <w:r>
              <w:rPr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5904"/>
          </w:tcPr>
          <w:p>
            <w:pPr>
              <w:spacing w:after="80" w:before="80"/>
            </w:pPr>
            <w:r>
              <w:rPr>
                <w:sz w:val="17"/>
              </w:rPr>
              <w:t>重复 SKU / 缺失销量 / 负销量</w:t>
            </w:r>
          </w:p>
        </w:tc>
        <w:tc>
          <w:tcPr>
            <w:tcW w:type="dxa" w:w="4262"/>
          </w:tcPr>
          <w:p>
            <w:pPr>
              <w:spacing w:after="80" w:before="80"/>
            </w:pPr>
            <w:r>
              <w:rPr>
                <w:sz w:val="17"/>
              </w:rPr>
              <w:t>0 / 0 / 0</w:t>
            </w:r>
          </w:p>
        </w:tc>
      </w:tr>
      <w:tr>
        <w:trPr>
          <w:cantSplit/>
        </w:trPr>
        <w:tc>
          <w:tcPr>
            <w:tcW w:type="dxa" w:w="5904"/>
          </w:tcPr>
          <w:p>
            <w:pPr>
              <w:spacing w:after="80" w:before="80"/>
            </w:pPr>
            <w:r>
              <w:rPr>
                <w:sz w:val="17"/>
              </w:rPr>
              <w:t>零销量观测</w:t>
            </w:r>
          </w:p>
        </w:tc>
        <w:tc>
          <w:tcPr>
            <w:tcW w:type="dxa" w:w="4262"/>
          </w:tcPr>
          <w:p>
            <w:pPr>
              <w:spacing w:after="80" w:before="80"/>
            </w:pPr>
            <w:r>
              <w:rPr>
                <w:sz w:val="17"/>
              </w:rPr>
              <w:t>261,130，占 31.6%</w:t>
            </w:r>
          </w:p>
        </w:tc>
      </w:tr>
      <w:tr>
        <w:trPr>
          <w:cantSplit/>
        </w:trPr>
        <w:tc>
          <w:tcPr>
            <w:tcW w:type="dxa" w:w="5904"/>
          </w:tcPr>
          <w:p>
            <w:pPr>
              <w:spacing w:after="80" w:before="80"/>
            </w:pPr>
            <w:r>
              <w:rPr>
                <w:sz w:val="17"/>
              </w:rPr>
              <w:t>含小数的销量观测</w:t>
            </w:r>
          </w:p>
        </w:tc>
        <w:tc>
          <w:tcPr>
            <w:tcW w:type="dxa" w:w="4262"/>
          </w:tcPr>
          <w:p>
            <w:pPr>
              <w:spacing w:after="80" w:before="80"/>
            </w:pPr>
            <w:r>
              <w:rPr>
                <w:sz w:val="17"/>
              </w:rPr>
              <w:t>562,352</w:t>
            </w:r>
          </w:p>
        </w:tc>
      </w:tr>
      <w:tr>
        <w:trPr>
          <w:cantSplit/>
        </w:trPr>
        <w:tc>
          <w:tcPr>
            <w:tcW w:type="dxa" w:w="5904"/>
          </w:tcPr>
          <w:p>
            <w:pPr>
              <w:spacing w:after="80" w:before="80"/>
            </w:pPr>
            <w:r>
              <w:rPr>
                <w:sz w:val="17"/>
              </w:rPr>
              <w:t>出现内部零间隔的 SKU</w:t>
            </w:r>
          </w:p>
        </w:tc>
        <w:tc>
          <w:tcPr>
            <w:tcW w:type="dxa" w:w="4262"/>
          </w:tcPr>
          <w:p>
            <w:pPr>
              <w:spacing w:after="80" w:before="80"/>
            </w:pPr>
            <w:r>
              <w:rPr>
                <w:sz w:val="17"/>
              </w:rPr>
              <w:t>3,254</w:t>
            </w:r>
          </w:p>
        </w:tc>
      </w:tr>
      <w:tr>
        <w:trPr>
          <w:cantSplit/>
        </w:trPr>
        <w:tc>
          <w:tcPr>
            <w:tcW w:type="dxa" w:w="5904"/>
          </w:tcPr>
          <w:p>
            <w:pPr>
              <w:spacing w:after="80" w:before="80"/>
            </w:pPr>
            <w:r>
              <w:rPr>
                <w:sz w:val="17"/>
              </w:rPr>
              <w:t>末端连续零销量至少6个月的 SKU</w:t>
            </w:r>
          </w:p>
        </w:tc>
        <w:tc>
          <w:tcPr>
            <w:tcW w:type="dxa" w:w="4262"/>
          </w:tcPr>
          <w:p>
            <w:pPr>
              <w:spacing w:after="80" w:before="80"/>
            </w:pPr>
            <w:r>
              <w:rPr>
                <w:sz w:val="17"/>
              </w:rPr>
              <w:t>3,627</w:t>
            </w:r>
          </w:p>
        </w:tc>
      </w:tr>
      <w:tr>
        <w:trPr>
          <w:cantSplit/>
        </w:trPr>
        <w:tc>
          <w:tcPr>
            <w:tcW w:type="dxa" w:w="5904"/>
          </w:tcPr>
          <w:p>
            <w:pPr>
              <w:spacing w:after="80" w:before="80"/>
            </w:pPr>
            <w:r>
              <w:rPr>
                <w:sz w:val="17"/>
              </w:rPr>
              <w:t>可比较单一质量剂量解析率</w:t>
            </w:r>
          </w:p>
        </w:tc>
        <w:tc>
          <w:tcPr>
            <w:tcW w:type="dxa" w:w="4262"/>
          </w:tcPr>
          <w:p>
            <w:pPr>
              <w:spacing w:after="80" w:before="80"/>
            </w:pPr>
            <w:r>
              <w:rPr>
                <w:sz w:val="17"/>
              </w:rPr>
              <w:t>45.8%</w:t>
            </w:r>
          </w:p>
        </w:tc>
      </w:tr>
      <w:tr>
        <w:trPr>
          <w:cantSplit/>
        </w:trPr>
        <w:tc>
          <w:tcPr>
            <w:tcW w:type="dxa" w:w="5904"/>
          </w:tcPr>
          <w:p>
            <w:pPr>
              <w:spacing w:after="80" w:before="80"/>
            </w:pPr>
            <w:r>
              <w:rPr>
                <w:sz w:val="17"/>
              </w:rPr>
              <w:t>包装数量解析率</w:t>
            </w:r>
          </w:p>
        </w:tc>
        <w:tc>
          <w:tcPr>
            <w:tcW w:type="dxa" w:w="4262"/>
          </w:tcPr>
          <w:p>
            <w:pPr>
              <w:spacing w:after="80" w:before="80"/>
            </w:pPr>
            <w:r>
              <w:rPr>
                <w:sz w:val="17"/>
              </w:rPr>
              <w:t>88.2%</w:t>
            </w:r>
          </w:p>
        </w:tc>
      </w:tr>
    </w:tbl>
    <w:p>
      <w:r>
        <w:t>数据工程将 60 个月宽表转换为 SKU × Month 长面板，并单独保存产品属性。剂量归一化为 mg；1 g 转为 1,000 mg，1 mcg 转为 0.001 mg。mg/ml 浓度、复方多剂量和容器重量不会强行合并为单一剂量。包装数量按 #20、pack of 30 等表达解析；无法可靠解析的值保留缺失标记。</w:t>
      </w:r>
    </w:p>
    <w:p>
      <w:r>
        <w:t>前导零表示首次可观测销售前的空窗，不能确认实际上市日期；内部零间隔表示正销量之间的零销量月份，称为潜在可用性事件；末端零可能涉及退出、停供或需求减弱，统一作为生命周期核查信号。全零 SKU 单独分类。</w:t>
      </w:r>
    </w:p>
    <w:p>
      <w:r>
        <w:t>原始零值不会被库存假设替换。由于缺少缺货标签、库存、处方或订单数据，预测对象是观测销量而非不受供给限制的潜在需求。质量标记用于分层与解释，不能证明真实断供。</w:t>
      </w:r>
    </w:p>
    <w:p>
      <w:r>
        <w:br w:type="page"/>
      </w:r>
    </w:p>
    <w:p>
      <w:pPr>
        <w:pStyle w:val="Heading1"/>
      </w:pPr>
      <w:r>
        <w:t>三 全组合需求变化</w:t>
      </w:r>
    </w:p>
    <w:p>
      <w:r>
        <w:drawing>
          <wp:inline xmlns:a="http://schemas.openxmlformats.org/drawingml/2006/main" xmlns:pic="http://schemas.openxmlformats.org/drawingml/2006/picture">
            <wp:extent cx="6355080" cy="1958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folio_s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958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组合年度与月度销量，单位为百万原始销量单位。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4320"/>
        <w:gridCol w:w="3974"/>
      </w:tblGrid>
      <w:tr>
        <w:trPr>
          <w:tblHeader/>
          <w:cantSplit/>
        </w:trPr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年份</w:t>
            </w:r>
          </w:p>
        </w:tc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销量 百万</w:t>
            </w:r>
          </w:p>
        </w:tc>
        <w:tc>
          <w:tcPr>
            <w:tcW w:type="dxa" w:w="3974"/>
          </w:tcPr>
          <w:p>
            <w:pPr>
              <w:spacing w:after="80" w:before="80"/>
            </w:pPr>
            <w:r>
              <w:rPr>
                <w:sz w:val="17"/>
              </w:rPr>
              <w:t>同比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2019</w:t>
            </w:r>
          </w:p>
        </w:tc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1,107.30</w:t>
            </w:r>
          </w:p>
        </w:tc>
        <w:tc>
          <w:tcPr>
            <w:tcW w:type="dxa" w:w="3974"/>
          </w:tcPr>
          <w:p>
            <w:pPr>
              <w:spacing w:after="80" w:before="80"/>
            </w:pPr>
            <w:r>
              <w:rPr>
                <w:sz w:val="17"/>
              </w:rPr>
              <w:t>不适用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2020</w:t>
            </w:r>
          </w:p>
        </w:tc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1,062.89</w:t>
            </w:r>
          </w:p>
        </w:tc>
        <w:tc>
          <w:tcPr>
            <w:tcW w:type="dxa" w:w="3974"/>
          </w:tcPr>
          <w:p>
            <w:pPr>
              <w:spacing w:after="80" w:before="80"/>
            </w:pPr>
            <w:r>
              <w:rPr>
                <w:sz w:val="17"/>
              </w:rPr>
              <w:t>-4.0%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2021</w:t>
            </w:r>
          </w:p>
        </w:tc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1,068.06</w:t>
            </w:r>
          </w:p>
        </w:tc>
        <w:tc>
          <w:tcPr>
            <w:tcW w:type="dxa" w:w="3974"/>
          </w:tcPr>
          <w:p>
            <w:pPr>
              <w:spacing w:after="80" w:before="80"/>
            </w:pPr>
            <w:r>
              <w:rPr>
                <w:sz w:val="17"/>
              </w:rPr>
              <w:t>0.5%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2022</w:t>
            </w:r>
          </w:p>
        </w:tc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845.10</w:t>
            </w:r>
          </w:p>
        </w:tc>
        <w:tc>
          <w:tcPr>
            <w:tcW w:type="dxa" w:w="3974"/>
          </w:tcPr>
          <w:p>
            <w:pPr>
              <w:spacing w:after="80" w:before="80"/>
            </w:pPr>
            <w:r>
              <w:rPr>
                <w:sz w:val="17"/>
              </w:rPr>
              <w:t>-20.9%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2023</w:t>
            </w:r>
          </w:p>
        </w:tc>
        <w:tc>
          <w:tcPr>
            <w:tcW w:type="dxa" w:w="4320"/>
          </w:tcPr>
          <w:p>
            <w:pPr>
              <w:spacing w:after="80" w:before="80"/>
            </w:pPr>
            <w:r>
              <w:rPr>
                <w:sz w:val="17"/>
              </w:rPr>
              <w:t>848.78</w:t>
            </w:r>
          </w:p>
        </w:tc>
        <w:tc>
          <w:tcPr>
            <w:tcW w:type="dxa" w:w="3974"/>
          </w:tcPr>
          <w:p>
            <w:pPr>
              <w:spacing w:after="80" w:before="80"/>
            </w:pPr>
            <w:r>
              <w:rPr>
                <w:sz w:val="17"/>
              </w:rPr>
              <w:t>0.4%</w:t>
            </w:r>
          </w:p>
        </w:tc>
      </w:tr>
    </w:tbl>
    <w:p>
      <w:r>
        <w:t>2019—2023 年组合复合增长率为 -6.4%。2022 年同比变化为 -20.9%，是年度总量变化的主要转折；2023 年的小幅回升尚不足以恢复此前规模。</w:t>
      </w:r>
    </w:p>
    <w:p>
      <w:r>
        <w:t>月度序列存在重复波动及明显年度水平变化。图中转折仅为描述性观察，未使用外部事件、政策或疫情变量识别因果，也未将趋势断点等同于某项外部事件的影响。</w:t>
      </w:r>
    </w:p>
    <w:p>
      <w:r>
        <w:br w:type="page"/>
      </w:r>
    </w:p>
    <w:p>
      <w:pPr>
        <w:pStyle w:val="Heading1"/>
      </w:pPr>
      <w:r>
        <w:t>四 治疗领域贡献与市场定义</w:t>
      </w:r>
    </w:p>
    <w:p>
      <w:r>
        <w:drawing>
          <wp:inline xmlns:a="http://schemas.openxmlformats.org/drawingml/2006/main" xmlns:pic="http://schemas.openxmlformats.org/drawingml/2006/picture">
            <wp:extent cx="6355080" cy="2168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tc_land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16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ATC1 治疗领域贡献，按2023年销量排序。</w:t>
      </w:r>
    </w:p>
    <w:p>
      <w:r>
        <w:t>2023 年已知 INN 前10名和前20名分别占完整组合的 19.7% 与 30.2%。在已知 INN 销量内重新归一化后，HHI 为 0.0077，即 77.2 点。此处反映分子销量集中度，不用于监管意义上的市场集中度认定。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6912"/>
        <w:gridCol w:w="3254"/>
      </w:tblGrid>
      <w:tr>
        <w:trPr>
          <w:tblHeader/>
          <w:cantSplit/>
        </w:trPr>
        <w:tc>
          <w:tcPr>
            <w:tcW w:type="dxa" w:w="6912"/>
          </w:tcPr>
          <w:p>
            <w:pPr>
              <w:spacing w:after="80" w:before="80"/>
            </w:pPr>
            <w:r>
              <w:rPr>
                <w:sz w:val="17"/>
              </w:rPr>
              <w:t>分子竞争映射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sz w:val="17"/>
              </w:rPr>
              <w:t>INN 数</w:t>
            </w:r>
          </w:p>
        </w:tc>
      </w:tr>
      <w:tr>
        <w:trPr>
          <w:cantSplit/>
        </w:trPr>
        <w:tc>
          <w:tcPr>
            <w:tcW w:type="dxa" w:w="6912"/>
          </w:tcPr>
          <w:p>
            <w:pPr>
              <w:spacing w:after="80" w:before="80"/>
            </w:pPr>
            <w:r>
              <w:rPr>
                <w:sz w:val="17"/>
              </w:rPr>
              <w:t>ATC4 同类市场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sz w:val="17"/>
              </w:rPr>
              <w:t>1236</w:t>
            </w:r>
          </w:p>
        </w:tc>
      </w:tr>
      <w:tr>
        <w:trPr>
          <w:cantSplit/>
        </w:trPr>
        <w:tc>
          <w:tcPr>
            <w:tcW w:type="dxa" w:w="6912"/>
          </w:tcPr>
          <w:p>
            <w:pPr>
              <w:spacing w:after="80" w:before="80"/>
            </w:pPr>
            <w:r>
              <w:rPr>
                <w:sz w:val="17"/>
              </w:rPr>
              <w:t>ATC3 回退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sz w:val="17"/>
              </w:rPr>
              <w:t>332</w:t>
            </w:r>
          </w:p>
        </w:tc>
      </w:tr>
      <w:tr>
        <w:trPr>
          <w:cantSplit/>
        </w:trPr>
        <w:tc>
          <w:tcPr>
            <w:tcW w:type="dxa" w:w="6912"/>
          </w:tcPr>
          <w:p>
            <w:pPr>
              <w:spacing w:after="80" w:before="80"/>
            </w:pPr>
            <w:r>
              <w:rPr>
                <w:sz w:val="17"/>
              </w:rPr>
              <w:t>不报告分子级竞争份额</w:t>
            </w:r>
          </w:p>
        </w:tc>
        <w:tc>
          <w:tcPr>
            <w:tcW w:type="dxa" w:w="3254"/>
          </w:tcPr>
          <w:p>
            <w:pPr>
              <w:spacing w:after="80" w:before="80"/>
            </w:pPr>
            <w:r>
              <w:rPr>
                <w:sz w:val="17"/>
              </w:rPr>
              <w:t>208</w:t>
            </w:r>
          </w:p>
        </w:tc>
      </w:tr>
    </w:tbl>
    <w:p>
      <w:r>
        <w:t>优先使用唯一 ATC4；同类可识别 INN 不足3个时回退 ATC3。跨多个 ATC4 但全部属于同一 ATC3 的分子，在 ATC3 比较；跨多个 ATC3 的分子不输出单一竞争份额。历史机会锚点进一步按当时已有正销量的 INN 重新检查最低同类要求。</w:t>
      </w:r>
    </w:p>
    <w:p>
      <w:r>
        <w:t>分母包括相应类别内全部样本 SKU，含 INN 未知项。年度报告份额按全年销量相除；机会预测目标使用月末对应月份的销量份额。两者时间口径不同，结果表已分别命名。</w:t>
      </w:r>
    </w:p>
    <w:p>
      <w:r>
        <w:br w:type="page"/>
      </w:r>
    </w:p>
    <w:p>
      <w:pPr>
        <w:pStyle w:val="Heading1"/>
      </w:pPr>
      <w:r>
        <w:t>五 市场增长与竞争位置分解</w:t>
      </w:r>
    </w:p>
    <w:p>
      <w:r>
        <w:drawing>
          <wp:inline xmlns:a="http://schemas.openxmlformats.org/drawingml/2006/main" xmlns:pic="http://schemas.openxmlformats.org/drawingml/2006/picture">
            <wp:extent cx="6355080" cy="2321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rket_vs_sh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321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样本市场增长与年度份额变化，气泡大小表示分子销量规模。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2160"/>
        <w:gridCol w:w="2160"/>
        <w:gridCol w:w="2174"/>
      </w:tblGrid>
      <w:tr>
        <w:trPr>
          <w:tblHeader/>
          <w:cantSplit/>
        </w:trPr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7"/>
              </w:rPr>
              <w:t>INN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市场效应 百万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份额效应 百万</w:t>
            </w:r>
          </w:p>
        </w:tc>
        <w:tc>
          <w:tcPr>
            <w:tcW w:type="dxa" w:w="2174"/>
          </w:tcPr>
          <w:p>
            <w:pPr>
              <w:spacing w:after="80" w:before="80"/>
            </w:pPr>
            <w:r>
              <w:rPr>
                <w:sz w:val="17"/>
              </w:rPr>
              <w:t>份额变化 百分点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7"/>
              </w:rPr>
              <w:t>PREGABALINUM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-0.07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1.03</w:t>
            </w:r>
          </w:p>
        </w:tc>
        <w:tc>
          <w:tcPr>
            <w:tcW w:type="dxa" w:w="2174"/>
          </w:tcPr>
          <w:p>
            <w:pPr>
              <w:spacing w:after="80" w:before="80"/>
            </w:pPr>
            <w:r>
              <w:rPr>
                <w:sz w:val="17"/>
              </w:rPr>
              <w:t>+1.02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7"/>
              </w:rPr>
              <w:t>AMLODIPINUM+INDAPAMIDUM+PERINDOPRILUM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0.15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0.63</w:t>
            </w:r>
          </w:p>
        </w:tc>
        <w:tc>
          <w:tcPr>
            <w:tcW w:type="dxa" w:w="2174"/>
          </w:tcPr>
          <w:p>
            <w:pPr>
              <w:spacing w:after="80" w:before="80"/>
            </w:pPr>
            <w:r>
              <w:rPr>
                <w:sz w:val="17"/>
              </w:rPr>
              <w:t>+3.58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7"/>
              </w:rPr>
              <w:t>GENTIANA LUTEA&amp;+PRIMULA&amp;+RUMEX CONFERTUS&amp;+SAMBUCUS NIGRA*&amp;+VERBENA OFFICINALIS&amp;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0.01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0.57</w:t>
            </w:r>
          </w:p>
        </w:tc>
        <w:tc>
          <w:tcPr>
            <w:tcW w:type="dxa" w:w="2174"/>
          </w:tcPr>
          <w:p>
            <w:pPr>
              <w:spacing w:after="80" w:before="80"/>
            </w:pPr>
            <w:r>
              <w:rPr>
                <w:sz w:val="17"/>
              </w:rPr>
              <w:t>+9.00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7"/>
              </w:rPr>
              <w:t>VITAMIN C+PARACETAMOLUM+PHENIRAMINUM+PHENYLEPHRINUM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-0.09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0.53</w:t>
            </w:r>
          </w:p>
        </w:tc>
        <w:tc>
          <w:tcPr>
            <w:tcW w:type="dxa" w:w="2174"/>
          </w:tcPr>
          <w:p>
            <w:pPr>
              <w:spacing w:after="80" w:before="80"/>
            </w:pPr>
            <w:r>
              <w:rPr>
                <w:sz w:val="17"/>
              </w:rPr>
              <w:t>+1.85</w:t>
            </w:r>
          </w:p>
        </w:tc>
      </w:tr>
      <w:tr>
        <w:trPr>
          <w:cantSplit/>
        </w:trPr>
        <w:tc>
          <w:tcPr>
            <w:tcW w:type="dxa" w:w="3672"/>
          </w:tcPr>
          <w:p>
            <w:pPr>
              <w:spacing w:after="80" w:before="80"/>
            </w:pPr>
            <w:r>
              <w:rPr>
                <w:sz w:val="17"/>
              </w:rPr>
              <w:t>TRIMETAZIDINUM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-0.33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0.47</w:t>
            </w:r>
          </w:p>
        </w:tc>
        <w:tc>
          <w:tcPr>
            <w:tcW w:type="dxa" w:w="2174"/>
          </w:tcPr>
          <w:p>
            <w:pPr>
              <w:spacing w:after="80" w:before="80"/>
            </w:pPr>
            <w:r>
              <w:rPr>
                <w:sz w:val="17"/>
              </w:rPr>
              <w:t>+3.13</w:t>
            </w:r>
          </w:p>
        </w:tc>
      </w:tr>
    </w:tbl>
    <w:p>
      <w:r>
        <w:t>对每个可比较分子，将销量表示为份额与样本市场规模的乘积。2022到2023年的变化分为三项：原份额乘市场规模变化、原市场规模乘份额变化，以及两种变化的交互项。三项之和与实际销量变化逐行核对。</w:t>
      </w:r>
    </w:p>
    <w:p>
      <w:r>
        <w:t>市场扩大但分子份额下降，提示需要诊断相对竞争位置；市场稳定或下降时仍获得份额，才更接近相对增长信号。销量与份额同时下降的分子进入风险核查。上述标签是观测结果分类，不能确定竞争营销、价格或疗效是原因。</w:t>
      </w:r>
    </w:p>
    <w:p>
      <w:r>
        <w:br w:type="page"/>
      </w:r>
    </w:p>
    <w:p>
      <w:pPr>
        <w:pStyle w:val="Heading1"/>
      </w:pPr>
      <w:r>
        <w:t>六 需求形态与生命周期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1728"/>
        <w:gridCol w:w="1944"/>
        <w:gridCol w:w="2030"/>
      </w:tblGrid>
      <w:tr>
        <w:trPr>
          <w:tblHeader/>
          <w:cantSplit/>
        </w:trPr>
        <w:tc>
          <w:tcPr>
            <w:tcW w:type="dxa" w:w="4464"/>
          </w:tcPr>
          <w:p>
            <w:pPr>
              <w:spacing w:after="80" w:before="80"/>
            </w:pPr>
            <w:r>
              <w:rPr>
                <w:sz w:val="17"/>
              </w:rPr>
              <w:t>需求形态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SKU 数</w:t>
            </w:r>
          </w:p>
        </w:tc>
        <w:tc>
          <w:tcPr>
            <w:tcW w:type="dxa" w:w="1944"/>
          </w:tcPr>
          <w:p>
            <w:pPr>
              <w:spacing w:after="80" w:before="80"/>
            </w:pPr>
            <w:r>
              <w:rPr>
                <w:sz w:val="17"/>
              </w:rPr>
              <w:t>平均零值率</w:t>
            </w:r>
          </w:p>
        </w:tc>
        <w:tc>
          <w:tcPr>
            <w:tcW w:type="dxa" w:w="2030"/>
          </w:tcPr>
          <w:p>
            <w:pPr>
              <w:spacing w:after="80" w:before="80"/>
            </w:pPr>
            <w:r>
              <w:rPr>
                <w:sz w:val="17"/>
              </w:rPr>
              <w:t>平均 CV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80" w:before="80"/>
            </w:pPr>
            <w:r>
              <w:rPr>
                <w:sz w:val="17"/>
              </w:rPr>
              <w:t>Intermittent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865</w:t>
            </w:r>
          </w:p>
        </w:tc>
        <w:tc>
          <w:tcPr>
            <w:tcW w:type="dxa" w:w="1944"/>
          </w:tcPr>
          <w:p>
            <w:pPr>
              <w:spacing w:after="80" w:before="80"/>
            </w:pPr>
            <w:r>
              <w:rPr>
                <w:sz w:val="17"/>
              </w:rPr>
              <w:t>53.1%</w:t>
            </w:r>
          </w:p>
        </w:tc>
        <w:tc>
          <w:tcPr>
            <w:tcW w:type="dxa" w:w="2030"/>
          </w:tcPr>
          <w:p>
            <w:pPr>
              <w:spacing w:after="80" w:before="80"/>
            </w:pPr>
            <w:r>
              <w:rPr>
                <w:sz w:val="17"/>
              </w:rPr>
              <w:t>1.42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80" w:before="80"/>
            </w:pPr>
            <w:r>
              <w:rPr>
                <w:sz w:val="17"/>
              </w:rPr>
              <w:t>Launch / lifecycle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594</w:t>
            </w:r>
          </w:p>
        </w:tc>
        <w:tc>
          <w:tcPr>
            <w:tcW w:type="dxa" w:w="1944"/>
          </w:tcPr>
          <w:p>
            <w:pPr>
              <w:spacing w:after="80" w:before="80"/>
            </w:pPr>
            <w:r>
              <w:rPr>
                <w:sz w:val="17"/>
              </w:rPr>
              <w:t>89.4%</w:t>
            </w:r>
          </w:p>
        </w:tc>
        <w:tc>
          <w:tcPr>
            <w:tcW w:type="dxa" w:w="2030"/>
          </w:tcPr>
          <w:p>
            <w:pPr>
              <w:spacing w:after="80" w:before="80"/>
            </w:pPr>
            <w:r>
              <w:rPr>
                <w:sz w:val="17"/>
              </w:rPr>
              <w:t>4.19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80" w:before="80"/>
            </w:pPr>
            <w:r>
              <w:rPr>
                <w:sz w:val="17"/>
              </w:rPr>
              <w:t>Lumpy / volatile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1937</w:t>
            </w:r>
          </w:p>
        </w:tc>
        <w:tc>
          <w:tcPr>
            <w:tcW w:type="dxa" w:w="1944"/>
          </w:tcPr>
          <w:p>
            <w:pPr>
              <w:spacing w:after="80" w:before="80"/>
            </w:pPr>
            <w:r>
              <w:rPr>
                <w:sz w:val="17"/>
              </w:rPr>
              <w:t>33.8%</w:t>
            </w:r>
          </w:p>
        </w:tc>
        <w:tc>
          <w:tcPr>
            <w:tcW w:type="dxa" w:w="2030"/>
          </w:tcPr>
          <w:p>
            <w:pPr>
              <w:spacing w:after="80" w:before="80"/>
            </w:pPr>
            <w:r>
              <w:rPr>
                <w:sz w:val="17"/>
              </w:rPr>
              <w:t>1.89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80" w:before="80"/>
            </w:pPr>
            <w:r>
              <w:rPr>
                <w:sz w:val="17"/>
              </w:rPr>
              <w:t>Potential discontinued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3627</w:t>
            </w:r>
          </w:p>
        </w:tc>
        <w:tc>
          <w:tcPr>
            <w:tcW w:type="dxa" w:w="1944"/>
          </w:tcPr>
          <w:p>
            <w:pPr>
              <w:spacing w:after="80" w:before="80"/>
            </w:pPr>
            <w:r>
              <w:rPr>
                <w:sz w:val="17"/>
              </w:rPr>
              <w:t>72.6%</w:t>
            </w:r>
          </w:p>
        </w:tc>
        <w:tc>
          <w:tcPr>
            <w:tcW w:type="dxa" w:w="2030"/>
          </w:tcPr>
          <w:p>
            <w:pPr>
              <w:spacing w:after="80" w:before="80"/>
            </w:pPr>
            <w:r>
              <w:rPr>
                <w:sz w:val="17"/>
              </w:rPr>
              <w:t>3.53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80" w:before="80"/>
            </w:pPr>
            <w:r>
              <w:rPr>
                <w:sz w:val="17"/>
              </w:rPr>
              <w:t>Seasonal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826</w:t>
            </w:r>
          </w:p>
        </w:tc>
        <w:tc>
          <w:tcPr>
            <w:tcW w:type="dxa" w:w="1944"/>
          </w:tcPr>
          <w:p>
            <w:pPr>
              <w:spacing w:after="80" w:before="80"/>
            </w:pPr>
            <w:r>
              <w:rPr>
                <w:sz w:val="17"/>
              </w:rPr>
              <w:t>0.0%</w:t>
            </w:r>
          </w:p>
        </w:tc>
        <w:tc>
          <w:tcPr>
            <w:tcW w:type="dxa" w:w="2030"/>
          </w:tcPr>
          <w:p>
            <w:pPr>
              <w:spacing w:after="80" w:before="80"/>
            </w:pPr>
            <w:r>
              <w:rPr>
                <w:sz w:val="17"/>
              </w:rPr>
              <w:t>0.50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80" w:before="80"/>
            </w:pPr>
            <w:r>
              <w:rPr>
                <w:sz w:val="17"/>
              </w:rPr>
              <w:t>Stable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5913</w:t>
            </w:r>
          </w:p>
        </w:tc>
        <w:tc>
          <w:tcPr>
            <w:tcW w:type="dxa" w:w="1944"/>
          </w:tcPr>
          <w:p>
            <w:pPr>
              <w:spacing w:after="80" w:before="80"/>
            </w:pPr>
            <w:r>
              <w:rPr>
                <w:sz w:val="17"/>
              </w:rPr>
              <w:t>1.2%</w:t>
            </w:r>
          </w:p>
        </w:tc>
        <w:tc>
          <w:tcPr>
            <w:tcW w:type="dxa" w:w="2030"/>
          </w:tcPr>
          <w:p>
            <w:pPr>
              <w:spacing w:after="80" w:before="80"/>
            </w:pPr>
            <w:r>
              <w:rPr>
                <w:sz w:val="17"/>
              </w:rPr>
              <w:t>0.47</w:t>
            </w:r>
          </w:p>
        </w:tc>
      </w:tr>
    </w:tbl>
    <w:p>
      <w:r>
        <w:t>需求特征在 SKU 和 INN 两级分别计算，包括零值率、均值、CV、正销量大小的 CV²、平均需求间隔 ADI、季节性强度、趋势强度和12阶自相关。ADI 等于观测月份数除以正销量月份数；全零序列不把 ADI 填成正常数值。</w:t>
      </w:r>
    </w:p>
    <w:p>
      <w:r>
        <w:t>规则先识别全零、末端连续6个月零销量、最近12个月才出现首次正销量等生命周期模式，再按 ADI 1.32 和正销量 CV² 0.49 区分间歇与块状波动；其余使用季节性强度0.5和 CV 1作为描述性分界。阈值是建模规则，不能视为普遍临床或业务标准。</w:t>
      </w:r>
    </w:p>
    <w:p>
      <w:r>
        <w:t>季节性与趋势强度基于 log1p 销量的线性趋势和月份虚拟变量分解，并用残差方差构造0到1指标；本实现没有将该指标冒称为 STL。预测回测时仅用起点前历史重新计算分层，避免拿2023年的生命周期结果指导2022年底模型选择。</w:t>
      </w:r>
    </w:p>
    <w:p>
      <w:r>
        <w:t>稳定需求通常更适合平滑基线；间歇需求需要对发生概率和非零规模分别处理。具有末端零或极短历史的品种，数值预测仅供人工复核，不能自动解释为停产。</w:t>
      </w:r>
    </w:p>
    <w:p>
      <w:r>
        <w:br w:type="page"/>
      </w:r>
    </w:p>
    <w:p>
      <w:pPr>
        <w:pStyle w:val="Heading1"/>
      </w:pPr>
      <w:r>
        <w:t>七 产品属性与销量的关联</w:t>
      </w:r>
    </w:p>
    <w:p>
      <w:r>
        <w:t>解释模型使用 6,190 个剂量和包装均可解析、INN 已知的 SKU，共 371,400 条月度观测。因变量为 log1p 销量，解释变量为 log1p 包装数、log1p 剂量和剂型；吸收 INN 与日历月份的交互固定效应，标准误按 SKU 聚类。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1584"/>
        <w:gridCol w:w="3326"/>
      </w:tblGrid>
      <w:tr>
        <w:trPr>
          <w:tblHeader/>
          <w:cantSplit/>
        </w:trPr>
        <w:tc>
          <w:tcPr>
            <w:tcW w:type="dxa" w:w="5256"/>
          </w:tcPr>
          <w:p>
            <w:pPr>
              <w:spacing w:after="80" w:before="80"/>
            </w:pPr>
            <w:r>
              <w:rPr>
                <w:sz w:val="17"/>
              </w:rPr>
              <w:t>变量</w:t>
            </w:r>
          </w:p>
        </w:tc>
        <w:tc>
          <w:tcPr>
            <w:tcW w:type="dxa" w:w="1584"/>
          </w:tcPr>
          <w:p>
            <w:pPr>
              <w:spacing w:after="80" w:before="80"/>
            </w:pPr>
            <w:r>
              <w:rPr>
                <w:sz w:val="17"/>
              </w:rPr>
              <w:t>系数</w:t>
            </w:r>
          </w:p>
        </w:tc>
        <w:tc>
          <w:tcPr>
            <w:tcW w:type="dxa" w:w="3326"/>
          </w:tcPr>
          <w:p>
            <w:pPr>
              <w:spacing w:after="80" w:before="80"/>
            </w:pPr>
            <w:r>
              <w:rPr>
                <w:sz w:val="17"/>
              </w:rPr>
              <w:t>95%区间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80" w:before="80"/>
            </w:pPr>
            <w:r>
              <w:rPr>
                <w:sz w:val="17"/>
              </w:rPr>
              <w:t>log1p_pack_size</w:t>
            </w:r>
          </w:p>
        </w:tc>
        <w:tc>
          <w:tcPr>
            <w:tcW w:type="dxa" w:w="1584"/>
          </w:tcPr>
          <w:p>
            <w:pPr>
              <w:spacing w:after="80" w:before="80"/>
            </w:pPr>
            <w:r>
              <w:rPr>
                <w:sz w:val="17"/>
              </w:rPr>
              <w:t>-0.178</w:t>
            </w:r>
          </w:p>
        </w:tc>
        <w:tc>
          <w:tcPr>
            <w:tcW w:type="dxa" w:w="3326"/>
          </w:tcPr>
          <w:p>
            <w:pPr>
              <w:spacing w:after="80" w:before="80"/>
            </w:pPr>
            <w:r>
              <w:rPr>
                <w:sz w:val="17"/>
              </w:rPr>
              <w:t>[-0.340, -0.017]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80" w:before="80"/>
            </w:pPr>
            <w:r>
              <w:rPr>
                <w:sz w:val="17"/>
              </w:rPr>
              <w:t>log1p_strength_mg</w:t>
            </w:r>
          </w:p>
        </w:tc>
        <w:tc>
          <w:tcPr>
            <w:tcW w:type="dxa" w:w="1584"/>
          </w:tcPr>
          <w:p>
            <w:pPr>
              <w:spacing w:after="80" w:before="80"/>
            </w:pPr>
            <w:r>
              <w:rPr>
                <w:sz w:val="17"/>
              </w:rPr>
              <w:t>-0.038</w:t>
            </w:r>
          </w:p>
        </w:tc>
        <w:tc>
          <w:tcPr>
            <w:tcW w:type="dxa" w:w="3326"/>
          </w:tcPr>
          <w:p>
            <w:pPr>
              <w:spacing w:after="80" w:before="80"/>
            </w:pPr>
            <w:r>
              <w:rPr>
                <w:sz w:val="17"/>
              </w:rPr>
              <w:t>[-0.184, +0.107]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80" w:before="80"/>
            </w:pPr>
            <w:r>
              <w:rPr>
                <w:sz w:val="17"/>
              </w:rPr>
              <w:t>form_Oral liquid</w:t>
            </w:r>
          </w:p>
        </w:tc>
        <w:tc>
          <w:tcPr>
            <w:tcW w:type="dxa" w:w="1584"/>
          </w:tcPr>
          <w:p>
            <w:pPr>
              <w:spacing w:after="80" w:before="80"/>
            </w:pPr>
            <w:r>
              <w:rPr>
                <w:sz w:val="17"/>
              </w:rPr>
              <w:t>+0.436</w:t>
            </w:r>
          </w:p>
        </w:tc>
        <w:tc>
          <w:tcPr>
            <w:tcW w:type="dxa" w:w="3326"/>
          </w:tcPr>
          <w:p>
            <w:pPr>
              <w:spacing w:after="80" w:before="80"/>
            </w:pPr>
            <w:r>
              <w:rPr>
                <w:sz w:val="17"/>
              </w:rPr>
              <w:t>[-0.575, +1.448]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80" w:before="80"/>
            </w:pPr>
            <w:r>
              <w:rPr>
                <w:sz w:val="17"/>
              </w:rPr>
              <w:t>form_Other</w:t>
            </w:r>
          </w:p>
        </w:tc>
        <w:tc>
          <w:tcPr>
            <w:tcW w:type="dxa" w:w="1584"/>
          </w:tcPr>
          <w:p>
            <w:pPr>
              <w:spacing w:after="80" w:before="80"/>
            </w:pPr>
            <w:r>
              <w:rPr>
                <w:sz w:val="17"/>
              </w:rPr>
              <w:t>-1.020</w:t>
            </w:r>
          </w:p>
        </w:tc>
        <w:tc>
          <w:tcPr>
            <w:tcW w:type="dxa" w:w="3326"/>
          </w:tcPr>
          <w:p>
            <w:pPr>
              <w:spacing w:after="80" w:before="80"/>
            </w:pPr>
            <w:r>
              <w:rPr>
                <w:sz w:val="17"/>
              </w:rPr>
              <w:t>[-1.917, -0.123]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80" w:before="80"/>
            </w:pPr>
            <w:r>
              <w:rPr>
                <w:sz w:val="17"/>
              </w:rPr>
              <w:t>form_Parenteral</w:t>
            </w:r>
          </w:p>
        </w:tc>
        <w:tc>
          <w:tcPr>
            <w:tcW w:type="dxa" w:w="1584"/>
          </w:tcPr>
          <w:p>
            <w:pPr>
              <w:spacing w:after="80" w:before="80"/>
            </w:pPr>
            <w:r>
              <w:rPr>
                <w:sz w:val="17"/>
              </w:rPr>
              <w:t>-1.479</w:t>
            </w:r>
          </w:p>
        </w:tc>
        <w:tc>
          <w:tcPr>
            <w:tcW w:type="dxa" w:w="3326"/>
          </w:tcPr>
          <w:p>
            <w:pPr>
              <w:spacing w:after="80" w:before="80"/>
            </w:pPr>
            <w:r>
              <w:rPr>
                <w:sz w:val="17"/>
              </w:rPr>
              <w:t>[-2.051, -0.907]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80" w:before="80"/>
            </w:pPr>
            <w:r>
              <w:rPr>
                <w:sz w:val="17"/>
              </w:rPr>
              <w:t>form_Respiratory</w:t>
            </w:r>
          </w:p>
        </w:tc>
        <w:tc>
          <w:tcPr>
            <w:tcW w:type="dxa" w:w="1584"/>
          </w:tcPr>
          <w:p>
            <w:pPr>
              <w:spacing w:after="80" w:before="80"/>
            </w:pPr>
            <w:r>
              <w:rPr>
                <w:sz w:val="17"/>
              </w:rPr>
              <w:t>-0.395</w:t>
            </w:r>
          </w:p>
        </w:tc>
        <w:tc>
          <w:tcPr>
            <w:tcW w:type="dxa" w:w="3326"/>
          </w:tcPr>
          <w:p>
            <w:pPr>
              <w:spacing w:after="80" w:before="80"/>
            </w:pPr>
            <w:r>
              <w:rPr>
                <w:sz w:val="17"/>
              </w:rPr>
              <w:t>[-2.631, +1.841]</w:t>
            </w:r>
          </w:p>
        </w:tc>
      </w:tr>
      <w:tr>
        <w:trPr>
          <w:cantSplit/>
        </w:trPr>
        <w:tc>
          <w:tcPr>
            <w:tcW w:type="dxa" w:w="5256"/>
          </w:tcPr>
          <w:p>
            <w:pPr>
              <w:spacing w:after="80" w:before="80"/>
            </w:pPr>
            <w:r>
              <w:rPr>
                <w:sz w:val="17"/>
              </w:rPr>
              <w:t>form_Topical</w:t>
            </w:r>
          </w:p>
        </w:tc>
        <w:tc>
          <w:tcPr>
            <w:tcW w:type="dxa" w:w="1584"/>
          </w:tcPr>
          <w:p>
            <w:pPr>
              <w:spacing w:after="80" w:before="80"/>
            </w:pPr>
            <w:r>
              <w:rPr>
                <w:sz w:val="17"/>
              </w:rPr>
              <w:t>-3.574</w:t>
            </w:r>
          </w:p>
        </w:tc>
        <w:tc>
          <w:tcPr>
            <w:tcW w:type="dxa" w:w="3326"/>
          </w:tcPr>
          <w:p>
            <w:pPr>
              <w:spacing w:after="80" w:before="80"/>
            </w:pPr>
            <w:r>
              <w:rPr>
                <w:sz w:val="17"/>
              </w:rPr>
              <w:t>[-5.462, -1.686]</w:t>
            </w:r>
          </w:p>
        </w:tc>
      </w:tr>
    </w:tbl>
    <w:p>
      <w:r>
        <w:t>包装数系数为 -0.178，剂量强度系数为 -0.038。剂量区间是否包含零：是。包装数与包装销量的关系包含计量机制：大包装每盒可提供更多用量，销量盒数较低并不等于治疗用量或患者偏好较低。</w:t>
      </w:r>
    </w:p>
    <w:p>
      <w:r>
        <w:t>在同一分子与同一月份内比较不同 SKU，以避免把不同分子的规模与时间变化当成属性效应。SKU 固定效应未加入，因为包装、剂量等时间不变属性会被其完全吸收。所得系数属于条件相关关系；价格、渠道和厂家缺失，不能解释为改变包装或剂量会造成相同幅度销量变化。</w:t>
      </w:r>
    </w:p>
    <w:p>
      <w:r>
        <w:t>补充模型为全局梯度提升树，使用产品属性、分子/ATC编码、月份、已知滞后销量和滚动均值。训练截至2021年，2022年用于置换重要度；2023年仅作一步预测评估。每个月允许使用此前已经发生的实际销量，因此其误差不可与一次性12个月预测直接比较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6710"/>
      </w:tblGrid>
      <w:tr>
        <w:trPr>
          <w:tblHeader/>
          <w:cantSplit/>
        </w:trPr>
        <w:tc>
          <w:tcPr>
            <w:tcW w:type="dxa" w:w="3456"/>
          </w:tcPr>
          <w:p>
            <w:pPr>
              <w:spacing w:after="80" w:before="80"/>
            </w:pPr>
            <w:r>
              <w:rPr>
                <w:sz w:val="17"/>
              </w:rPr>
              <w:t>2023 一步预测</w:t>
            </w:r>
          </w:p>
        </w:tc>
        <w:tc>
          <w:tcPr>
            <w:tcW w:type="dxa" w:w="6710"/>
          </w:tcPr>
          <w:p>
            <w:pPr>
              <w:spacing w:after="80" w:before="80"/>
            </w:pPr>
            <w:r>
              <w:rPr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80" w:before="80"/>
            </w:pPr>
            <w:r>
              <w:rPr>
                <w:sz w:val="17"/>
              </w:rPr>
              <w:t>WAPE</w:t>
            </w:r>
          </w:p>
        </w:tc>
        <w:tc>
          <w:tcPr>
            <w:tcW w:type="dxa" w:w="6710"/>
          </w:tcPr>
          <w:p>
            <w:pPr>
              <w:spacing w:after="80" w:before="80"/>
            </w:pPr>
            <w:r>
              <w:rPr>
                <w:sz w:val="17"/>
              </w:rPr>
              <w:t>20.5%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after="80" w:before="80"/>
            </w:pPr>
            <w:r>
              <w:rPr>
                <w:sz w:val="17"/>
              </w:rPr>
              <w:t>置换重要度前3项</w:t>
            </w:r>
          </w:p>
        </w:tc>
        <w:tc>
          <w:tcPr>
            <w:tcW w:type="dxa" w:w="6710"/>
          </w:tcPr>
          <w:p>
            <w:pPr>
              <w:spacing w:after="80" w:before="80"/>
            </w:pPr>
            <w:r>
              <w:rPr>
                <w:sz w:val="17"/>
              </w:rPr>
              <w:t>log_lag1、log_roll3、log_roll12</w:t>
            </w:r>
          </w:p>
        </w:tc>
      </w:tr>
    </w:tbl>
    <w:p>
      <w:r>
        <w:br w:type="page"/>
      </w:r>
    </w:p>
    <w:p>
      <w:pPr>
        <w:pStyle w:val="Heading1"/>
      </w:pPr>
      <w:r>
        <w:t>八 商业组合分群</w:t>
      </w:r>
    </w:p>
    <w:p>
      <w:r>
        <w:drawing>
          <wp:inline xmlns:a="http://schemas.openxmlformats.org/drawingml/2006/main" xmlns:pic="http://schemas.openxmlformats.org/drawingml/2006/picture">
            <wp:extent cx="6355080" cy="2288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rtfolio_p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288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标准化特征的 PCA 投影，颜色表示描述性聚类。</w:t>
      </w:r>
    </w:p>
    <w:p>
      <w:r>
        <w:t>K-means 比较 K=3到6，以轮廓系数选择 K=5。输入包含规模、增长、同类份额变化、市场增长、波动、季节性、零值率、SKU与品牌及属性覆盖、预测增长。对极端比例按1%和99%分位截尾、缺失值中位数填补，再做 Z 标准化。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5040"/>
        <w:gridCol w:w="1440"/>
        <w:gridCol w:w="2750"/>
      </w:tblGrid>
      <w:tr>
        <w:trPr>
          <w:tblHeader/>
          <w:cantSplit/>
        </w:trPr>
        <w:tc>
          <w:tcPr>
            <w:tcW w:type="dxa" w:w="936"/>
          </w:tcPr>
          <w:p>
            <w:pPr>
              <w:spacing w:after="80" w:before="80"/>
            </w:pPr>
            <w:r>
              <w:rPr>
                <w:sz w:val="17"/>
              </w:rPr>
              <w:t>群组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sz w:val="17"/>
              </w:rPr>
              <w:t>描述</w:t>
            </w:r>
          </w:p>
        </w:tc>
        <w:tc>
          <w:tcPr>
            <w:tcW w:type="dxa" w:w="1440"/>
          </w:tcPr>
          <w:p>
            <w:pPr>
              <w:spacing w:after="80" w:before="80"/>
            </w:pPr>
            <w:r>
              <w:rPr>
                <w:sz w:val="17"/>
              </w:rPr>
              <w:t>INN 数</w:t>
            </w:r>
          </w:p>
        </w:tc>
        <w:tc>
          <w:tcPr>
            <w:tcW w:type="dxa" w:w="2750"/>
          </w:tcPr>
          <w:p>
            <w:pPr>
              <w:spacing w:after="80" w:before="80"/>
            </w:pPr>
            <w:r>
              <w:rPr>
                <w:sz w:val="17"/>
              </w:rPr>
              <w:t>销量占比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80"/>
            </w:pPr>
            <w:r>
              <w:rPr>
                <w:sz w:val="17"/>
              </w:rPr>
              <w:t>C0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sz w:val="17"/>
              </w:rPr>
              <w:t>Niche / Volatile</w:t>
            </w:r>
          </w:p>
        </w:tc>
        <w:tc>
          <w:tcPr>
            <w:tcW w:type="dxa" w:w="1440"/>
          </w:tcPr>
          <w:p>
            <w:pPr>
              <w:spacing w:after="80" w:before="80"/>
            </w:pPr>
            <w:r>
              <w:rPr>
                <w:sz w:val="17"/>
              </w:rPr>
              <w:t>25</w:t>
            </w:r>
          </w:p>
        </w:tc>
        <w:tc>
          <w:tcPr>
            <w:tcW w:type="dxa" w:w="2750"/>
          </w:tcPr>
          <w:p>
            <w:pPr>
              <w:spacing w:after="80" w:before="80"/>
            </w:pPr>
            <w:r>
              <w:rPr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80"/>
            </w:pPr>
            <w:r>
              <w:rPr>
                <w:sz w:val="17"/>
              </w:rPr>
              <w:t>C1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sz w:val="17"/>
              </w:rPr>
              <w:t>Niche / Volatile</w:t>
            </w:r>
          </w:p>
        </w:tc>
        <w:tc>
          <w:tcPr>
            <w:tcW w:type="dxa" w:w="1440"/>
          </w:tcPr>
          <w:p>
            <w:pPr>
              <w:spacing w:after="80" w:before="80"/>
            </w:pPr>
            <w:r>
              <w:rPr>
                <w:sz w:val="17"/>
              </w:rPr>
              <w:t>262</w:t>
            </w:r>
          </w:p>
        </w:tc>
        <w:tc>
          <w:tcPr>
            <w:tcW w:type="dxa" w:w="2750"/>
          </w:tcPr>
          <w:p>
            <w:pPr>
              <w:spacing w:after="80" w:before="80"/>
            </w:pPr>
            <w:r>
              <w:rPr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80"/>
            </w:pPr>
            <w:r>
              <w:rPr>
                <w:sz w:val="17"/>
              </w:rPr>
              <w:t>C2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sz w:val="17"/>
              </w:rPr>
              <w:t>Niche / Volatile</w:t>
            </w:r>
          </w:p>
        </w:tc>
        <w:tc>
          <w:tcPr>
            <w:tcW w:type="dxa" w:w="1440"/>
          </w:tcPr>
          <w:p>
            <w:pPr>
              <w:spacing w:after="80" w:before="80"/>
            </w:pPr>
            <w:r>
              <w:rPr>
                <w:sz w:val="17"/>
              </w:rPr>
              <w:t>26</w:t>
            </w:r>
          </w:p>
        </w:tc>
        <w:tc>
          <w:tcPr>
            <w:tcW w:type="dxa" w:w="2750"/>
          </w:tcPr>
          <w:p>
            <w:pPr>
              <w:spacing w:after="80" w:before="80"/>
            </w:pPr>
            <w:r>
              <w:rPr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80"/>
            </w:pPr>
            <w:r>
              <w:rPr>
                <w:sz w:val="17"/>
              </w:rPr>
              <w:t>C3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sz w:val="17"/>
              </w:rPr>
              <w:t>Emerging / Mixed</w:t>
            </w:r>
          </w:p>
        </w:tc>
        <w:tc>
          <w:tcPr>
            <w:tcW w:type="dxa" w:w="1440"/>
          </w:tcPr>
          <w:p>
            <w:pPr>
              <w:spacing w:after="80" w:before="80"/>
            </w:pPr>
            <w:r>
              <w:rPr>
                <w:sz w:val="17"/>
              </w:rPr>
              <w:t>1244</w:t>
            </w:r>
          </w:p>
        </w:tc>
        <w:tc>
          <w:tcPr>
            <w:tcW w:type="dxa" w:w="2750"/>
          </w:tcPr>
          <w:p>
            <w:pPr>
              <w:spacing w:after="80" w:before="80"/>
            </w:pPr>
            <w:r>
              <w:rPr>
                <w:sz w:val="17"/>
              </w:rPr>
              <w:t>39.8%</w:t>
            </w:r>
          </w:p>
        </w:tc>
      </w:tr>
      <w:tr>
        <w:trPr>
          <w:cantSplit/>
        </w:trPr>
        <w:tc>
          <w:tcPr>
            <w:tcW w:type="dxa" w:w="936"/>
          </w:tcPr>
          <w:p>
            <w:pPr>
              <w:spacing w:after="80" w:before="80"/>
            </w:pPr>
            <w:r>
              <w:rPr>
                <w:sz w:val="17"/>
              </w:rPr>
              <w:t>C4</w:t>
            </w:r>
          </w:p>
        </w:tc>
        <w:tc>
          <w:tcPr>
            <w:tcW w:type="dxa" w:w="5040"/>
          </w:tcPr>
          <w:p>
            <w:pPr>
              <w:spacing w:after="80" w:before="80"/>
            </w:pPr>
            <w:r>
              <w:rPr>
                <w:sz w:val="17"/>
              </w:rPr>
              <w:t>Mature Leaders</w:t>
            </w:r>
          </w:p>
        </w:tc>
        <w:tc>
          <w:tcPr>
            <w:tcW w:type="dxa" w:w="1440"/>
          </w:tcPr>
          <w:p>
            <w:pPr>
              <w:spacing w:after="80" w:before="80"/>
            </w:pPr>
            <w:r>
              <w:rPr>
                <w:sz w:val="17"/>
              </w:rPr>
              <w:t>219</w:t>
            </w:r>
          </w:p>
        </w:tc>
        <w:tc>
          <w:tcPr>
            <w:tcW w:type="dxa" w:w="2750"/>
          </w:tcPr>
          <w:p>
            <w:pPr>
              <w:spacing w:after="80" w:before="80"/>
            </w:pPr>
            <w:r>
              <w:rPr>
                <w:sz w:val="17"/>
              </w:rPr>
              <w:t>60.2%</w:t>
            </w:r>
          </w:p>
        </w:tc>
      </w:tr>
    </w:tbl>
    <w:p>
      <w:r>
        <w:t>前两个主成分解释标准化特征方差的 38.0%，只用于展示，不参与聚类或行动规则。群组名称依据中位特征描述，不强行制造六种商业原型。同一原型可包含多个群组，聚类结果不直接等于投资建议。</w:t>
      </w:r>
    </w:p>
    <w:p>
      <w:r>
        <w:br w:type="page"/>
      </w:r>
    </w:p>
    <w:p>
      <w:pPr>
        <w:pStyle w:val="Heading1"/>
      </w:pPr>
      <w:r>
        <w:t>九 未来商业机会的定义与验证</w:t>
      </w:r>
    </w:p>
    <w:p>
      <w:r>
        <w:t>观察单位为 INN × 锚点月。主目标是6个月后单月同类份额减锚点月份额；辅助目标为份额增量为正、且在同锚点合格分子中位列前25%的未来赢家。边界并列按 INN 排序，保证标签可复现。</w:t>
      </w:r>
    </w:p>
    <w:p>
      <w:r>
        <w:t>特征只使用锚点月结束前可观测的信息：销量窗口、历史增长、同类份额及动量、市场增长、相对增长、波动、季节相关性、零值率、ADI、已出现销售的产品结构及生命周期。静态治疗分类来自文件提供的分类快照，历史名录完整性仍是限制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90"/>
      </w:tblGrid>
      <w:tr>
        <w:trPr>
          <w:tblHeader/>
          <w:cantSplit/>
        </w:trPr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阶段</w:t>
            </w:r>
          </w:p>
        </w:tc>
        <w:tc>
          <w:tcPr>
            <w:tcW w:type="dxa" w:w="7790"/>
          </w:tcPr>
          <w:p>
            <w:pPr>
              <w:spacing w:after="80" w:before="80"/>
            </w:pPr>
            <w:r>
              <w:rPr>
                <w:sz w:val="17"/>
              </w:rPr>
              <w:t>锚点与标签边界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开发训练</w:t>
            </w:r>
          </w:p>
        </w:tc>
        <w:tc>
          <w:tcPr>
            <w:tcW w:type="dxa" w:w="7790"/>
          </w:tcPr>
          <w:p>
            <w:pPr>
              <w:spacing w:after="80" w:before="80"/>
            </w:pPr>
            <w:r>
              <w:rPr>
                <w:sz w:val="17"/>
              </w:rPr>
              <w:t>2020年1月至12月锚点；最晚标签为2021年6月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验证选型</w:t>
            </w:r>
          </w:p>
        </w:tc>
        <w:tc>
          <w:tcPr>
            <w:tcW w:type="dxa" w:w="7790"/>
          </w:tcPr>
          <w:p>
            <w:pPr>
              <w:spacing w:after="80" w:before="80"/>
            </w:pPr>
            <w:r>
              <w:rPr>
                <w:sz w:val="17"/>
              </w:rPr>
              <w:t>2021年7月至12月锚点；标签落在2022年上半年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测试前重拟合</w:t>
            </w:r>
          </w:p>
        </w:tc>
        <w:tc>
          <w:tcPr>
            <w:tcW w:type="dxa" w:w="7790"/>
          </w:tcPr>
          <w:p>
            <w:pPr>
              <w:spacing w:after="80" w:before="80"/>
            </w:pPr>
            <w:r>
              <w:rPr>
                <w:sz w:val="17"/>
              </w:rPr>
              <w:t>使用最晚2022年6月锚点；标签截至2022年12月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冻结留出</w:t>
            </w:r>
          </w:p>
        </w:tc>
        <w:tc>
          <w:tcPr>
            <w:tcW w:type="dxa" w:w="7790"/>
          </w:tcPr>
          <w:p>
            <w:pPr>
              <w:spacing w:after="80" w:before="80"/>
            </w:pPr>
            <w:r>
              <w:rPr>
                <w:sz w:val="17"/>
              </w:rPr>
              <w:t>2023年1月至6月锚点；标签在2023年7月至12月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最终规划</w:t>
            </w:r>
          </w:p>
        </w:tc>
        <w:tc>
          <w:tcPr>
            <w:tcW w:type="dxa" w:w="7790"/>
          </w:tcPr>
          <w:p>
            <w:pPr>
              <w:spacing w:after="80" w:before="80"/>
            </w:pPr>
            <w:r>
              <w:rPr>
                <w:sz w:val="17"/>
              </w:rPr>
              <w:t>截至2023年12月已知标签重拟合，预测2024年6月份额变化</w:t>
            </w:r>
          </w:p>
        </w:tc>
      </w:tr>
    </w:tbl>
    <w:p>
      <w:r>
        <w:t>训练与验证之间保留6个月标签隔离，防止未来份额变化跨入下一阶段。分类以逐锚点平均 Lift@20%选型，PR-AUC用于辅助；回归以验证 MAE选型。模型池包含基线、正则化线性模型、随机森林和梯度提升。未来同类市场销量为零时，份额目标不可定义，该观察不参与监督评价，不将其强行填成零。</w:t>
      </w:r>
    </w:p>
    <w:p>
      <w:r>
        <w:t>Precision@10%与@20%、Lift、NDCG逐锚点排序后平均；PR-AUC、ROC-AUC和 Brier 使用合并留出观测。校准表展示预测概率与实际频率，但没有把未校准分类输出宣称为可靠的绝对发生概率。</w:t>
      </w:r>
    </w:p>
    <w:p>
      <w:r>
        <w:br w:type="page"/>
      </w:r>
    </w:p>
    <w:p>
      <w:pPr>
        <w:pStyle w:val="Heading1"/>
      </w:pPr>
      <w:r>
        <w:t>十 商业机会模型的结果</w:t>
      </w:r>
    </w:p>
    <w:p>
      <w:r>
        <w:drawing>
          <wp:inline xmlns:a="http://schemas.openxmlformats.org/drawingml/2006/main" xmlns:pic="http://schemas.openxmlformats.org/drawingml/2006/picture">
            <wp:extent cx="6355080" cy="21719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pportunity_lif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171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机会排名的验证与留出表现，随机基准的 Lift 约为1。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512"/>
        <w:gridCol w:w="1872"/>
        <w:gridCol w:w="1872"/>
        <w:gridCol w:w="1742"/>
      </w:tblGrid>
      <w:tr>
        <w:trPr>
          <w:tblHeader/>
          <w:cantSplit/>
        </w:trPr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7"/>
              </w:rPr>
              <w:t>模型</w:t>
            </w:r>
          </w:p>
        </w:tc>
        <w:tc>
          <w:tcPr>
            <w:tcW w:type="dxa" w:w="1512"/>
          </w:tcPr>
          <w:p>
            <w:pPr>
              <w:spacing w:after="80" w:before="80"/>
            </w:pPr>
            <w:r>
              <w:rPr>
                <w:sz w:val="17"/>
              </w:rPr>
              <w:t>PR-AUC</w:t>
            </w:r>
          </w:p>
        </w:tc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P@20%</w:t>
            </w:r>
          </w:p>
        </w:tc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Lift@20%</w:t>
            </w:r>
          </w:p>
        </w:tc>
        <w:tc>
          <w:tcPr>
            <w:tcW w:type="dxa" w:w="1742"/>
          </w:tcPr>
          <w:p>
            <w:pPr>
              <w:spacing w:after="80" w:before="80"/>
            </w:pPr>
            <w:r>
              <w:rPr>
                <w:sz w:val="17"/>
              </w:rPr>
              <w:t>Brier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7"/>
              </w:rPr>
              <w:t>Base rate</w:t>
            </w:r>
          </w:p>
        </w:tc>
        <w:tc>
          <w:tcPr>
            <w:tcW w:type="dxa" w:w="1512"/>
          </w:tcPr>
          <w:p>
            <w:pPr>
              <w:spacing w:after="80" w:before="80"/>
            </w:pPr>
            <w:r>
              <w:rPr>
                <w:sz w:val="17"/>
              </w:rPr>
              <w:t>0.250</w:t>
            </w:r>
          </w:p>
        </w:tc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24.5%</w:t>
            </w:r>
          </w:p>
        </w:tc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0.98</w:t>
            </w:r>
          </w:p>
        </w:tc>
        <w:tc>
          <w:tcPr>
            <w:tcW w:type="dxa" w:w="1742"/>
          </w:tcPr>
          <w:p>
            <w:pPr>
              <w:spacing w:after="80" w:before="80"/>
            </w:pPr>
            <w:r>
              <w:rPr>
                <w:sz w:val="17"/>
              </w:rPr>
              <w:t>0.188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7"/>
              </w:rPr>
              <w:t>Logistic L2</w:t>
            </w:r>
          </w:p>
        </w:tc>
        <w:tc>
          <w:tcPr>
            <w:tcW w:type="dxa" w:w="1512"/>
          </w:tcPr>
          <w:p>
            <w:pPr>
              <w:spacing w:after="80" w:before="80"/>
            </w:pPr>
            <w:r>
              <w:rPr>
                <w:sz w:val="17"/>
              </w:rPr>
              <w:t>0.437</w:t>
            </w:r>
          </w:p>
        </w:tc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48.2%</w:t>
            </w:r>
          </w:p>
        </w:tc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1.92</w:t>
            </w:r>
          </w:p>
        </w:tc>
        <w:tc>
          <w:tcPr>
            <w:tcW w:type="dxa" w:w="1742"/>
          </w:tcPr>
          <w:p>
            <w:pPr>
              <w:spacing w:after="80" w:before="80"/>
            </w:pPr>
            <w:r>
              <w:rPr>
                <w:sz w:val="17"/>
              </w:rPr>
              <w:t>0.168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7"/>
              </w:rPr>
              <w:t>Elastic Net</w:t>
            </w:r>
          </w:p>
        </w:tc>
        <w:tc>
          <w:tcPr>
            <w:tcW w:type="dxa" w:w="1512"/>
          </w:tcPr>
          <w:p>
            <w:pPr>
              <w:spacing w:after="80" w:before="80"/>
            </w:pPr>
            <w:r>
              <w:rPr>
                <w:sz w:val="17"/>
              </w:rPr>
              <w:t>0.437</w:t>
            </w:r>
          </w:p>
        </w:tc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48.2%</w:t>
            </w:r>
          </w:p>
        </w:tc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1.93</w:t>
            </w:r>
          </w:p>
        </w:tc>
        <w:tc>
          <w:tcPr>
            <w:tcW w:type="dxa" w:w="1742"/>
          </w:tcPr>
          <w:p>
            <w:pPr>
              <w:spacing w:after="80" w:before="80"/>
            </w:pPr>
            <w:r>
              <w:rPr>
                <w:sz w:val="17"/>
              </w:rPr>
              <w:t>0.168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7"/>
              </w:rPr>
              <w:t>Random Forest</w:t>
            </w:r>
          </w:p>
        </w:tc>
        <w:tc>
          <w:tcPr>
            <w:tcW w:type="dxa" w:w="1512"/>
          </w:tcPr>
          <w:p>
            <w:pPr>
              <w:spacing w:after="80" w:before="80"/>
            </w:pPr>
            <w:r>
              <w:rPr>
                <w:sz w:val="17"/>
              </w:rPr>
              <w:t>0.554</w:t>
            </w:r>
          </w:p>
        </w:tc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55.5%</w:t>
            </w:r>
          </w:p>
        </w:tc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2.22</w:t>
            </w:r>
          </w:p>
        </w:tc>
        <w:tc>
          <w:tcPr>
            <w:tcW w:type="dxa" w:w="1742"/>
          </w:tcPr>
          <w:p>
            <w:pPr>
              <w:spacing w:after="80" w:before="80"/>
            </w:pPr>
            <w:r>
              <w:rPr>
                <w:sz w:val="17"/>
              </w:rPr>
              <w:t>0.145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after="80" w:before="80"/>
            </w:pPr>
            <w:r>
              <w:rPr>
                <w:sz w:val="17"/>
              </w:rPr>
              <w:t>Gradient Boosting</w:t>
            </w:r>
          </w:p>
        </w:tc>
        <w:tc>
          <w:tcPr>
            <w:tcW w:type="dxa" w:w="1512"/>
          </w:tcPr>
          <w:p>
            <w:pPr>
              <w:spacing w:after="80" w:before="80"/>
            </w:pPr>
            <w:r>
              <w:rPr>
                <w:sz w:val="17"/>
              </w:rPr>
              <w:t>0.560</w:t>
            </w:r>
          </w:p>
        </w:tc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55.0%</w:t>
            </w:r>
          </w:p>
        </w:tc>
        <w:tc>
          <w:tcPr>
            <w:tcW w:type="dxa" w:w="1872"/>
          </w:tcPr>
          <w:p>
            <w:pPr>
              <w:spacing w:after="80" w:before="80"/>
            </w:pPr>
            <w:r>
              <w:rPr>
                <w:sz w:val="17"/>
              </w:rPr>
              <w:t>2.20</w:t>
            </w:r>
          </w:p>
        </w:tc>
        <w:tc>
          <w:tcPr>
            <w:tcW w:type="dxa" w:w="1742"/>
          </w:tcPr>
          <w:p>
            <w:pPr>
              <w:spacing w:after="80" w:before="80"/>
            </w:pPr>
            <w:r>
              <w:rPr>
                <w:sz w:val="17"/>
              </w:rPr>
              <w:t>0.144</w:t>
            </w:r>
          </w:p>
        </w:tc>
      </w:tr>
    </w:tbl>
    <w:p>
      <w:r>
        <w:t>数值诊断：Elastic Net 在验证拟合中达到迭代上限，结果仅作诊断参考，不参与最终选型。收敛状态已逐模型写入指标表。</w:t>
      </w:r>
    </w:p>
    <w:p>
      <w:r>
        <w:t>锁定模型 Random Forest 的前20%名单精确率为 55.5%，测试基础赢家率为 25.0%。Lift 大于1表示在该历史样本中优于随机挑选，并不表示新增商业投入会获得同等倍数回报。</w:t>
      </w:r>
    </w:p>
    <w:p>
      <w:r>
        <w:t>主回归目标的最佳模型 Zero change 在留出集 MAE 为 1.87 个百分点，相比零变化基线 1.87 个百分点。若基线更好，应承认连续增量预测尚无稳定优势，同时单独检查排序任务是否仍有筛选价值。</w:t>
      </w:r>
    </w:p>
    <w:p>
      <w:r>
        <w:t>按6个测试锚点重采样得到的 Lift@20% 描述性95%范围为 2.11—2.33。未来窗口彼此重叠，因此这不是独立样本意义上的显著性证据；可用测试年份不足以支撑稳定泛化承诺。</w:t>
      </w:r>
    </w:p>
    <w:p>
      <w:r>
        <w:br w:type="page"/>
      </w:r>
    </w:p>
    <w:p>
      <w:pPr>
        <w:pStyle w:val="Heading1"/>
      </w:pPr>
      <w:r>
        <w:t>十一 十二个月销量预测</w:t>
      </w:r>
    </w:p>
    <w:p>
      <w:r>
        <w:drawing>
          <wp:inline xmlns:a="http://schemas.openxmlformats.org/drawingml/2006/main" xmlns:pic="http://schemas.openxmlformats.org/drawingml/2006/picture">
            <wp:extent cx="6355080" cy="21710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orecast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171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图6 验证与冻结留出集 WAPE。最终模型由验证结果选定。</w:t>
      </w:r>
    </w:p>
    <w:p>
      <w:r>
        <w:t>模型包括季节性朴素法、加性季节调整后的阻尼 ETS、Ridge ARX 和全局梯度提升树。全局模型使用标准化销量滞后、滚动均值和标准差、零值率、ADI、月份、INN、主导ATC3/ATC4与剂型及剂量包装特征。高基数类别按起点销量保留前254类，其余合并；岭回归独热编码，提升树使用原生类别分裂。预测递归推进，不注入未来实际销量。</w:t>
      </w:r>
    </w:p>
    <w:p>
      <w:r>
        <w:t>验证的12个月起点为2020年12月、2021年6月和2021年12月；2022年3月与6月增加6个月检验，2022年9月增加3个月检验。所有验证目标均截至2022年底。12个月选型按三个起点 WAPE的平均值，模型锁定后才计算2023年排名。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1728"/>
        <w:gridCol w:w="1728"/>
        <w:gridCol w:w="1742"/>
      </w:tblGrid>
      <w:tr>
        <w:trPr>
          <w:tblHeader/>
          <w:cantSplit/>
        </w:trPr>
        <w:tc>
          <w:tcPr>
            <w:tcW w:type="dxa" w:w="4968"/>
          </w:tcPr>
          <w:p>
            <w:pPr>
              <w:spacing w:after="80" w:before="80"/>
            </w:pPr>
            <w:r>
              <w:rPr>
                <w:sz w:val="17"/>
              </w:rPr>
              <w:t>模型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WAPE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Bias</w:t>
            </w:r>
          </w:p>
        </w:tc>
        <w:tc>
          <w:tcPr>
            <w:tcW w:type="dxa" w:w="1742"/>
          </w:tcPr>
          <w:p>
            <w:pPr>
              <w:spacing w:after="80" w:before="80"/>
            </w:pPr>
            <w:r>
              <w:rPr>
                <w:sz w:val="17"/>
              </w:rPr>
              <w:t>MASE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80"/>
            </w:pPr>
            <w:r>
              <w:rPr>
                <w:sz w:val="17"/>
              </w:rPr>
              <w:t>Seasonal Naive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25.0%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-0.4%</w:t>
            </w:r>
          </w:p>
        </w:tc>
        <w:tc>
          <w:tcPr>
            <w:tcW w:type="dxa" w:w="1742"/>
          </w:tcPr>
          <w:p>
            <w:pPr>
              <w:spacing w:after="80" w:before="80"/>
            </w:pPr>
            <w:r>
              <w:rPr>
                <w:sz w:val="17"/>
              </w:rPr>
              <w:t>6.23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80"/>
            </w:pPr>
            <w:r>
              <w:rPr>
                <w:sz w:val="17"/>
              </w:rPr>
              <w:t>Damped ETS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19.0%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-10.9%</w:t>
            </w:r>
          </w:p>
        </w:tc>
        <w:tc>
          <w:tcPr>
            <w:tcW w:type="dxa" w:w="1742"/>
          </w:tcPr>
          <w:p>
            <w:pPr>
              <w:spacing w:after="80" w:before="80"/>
            </w:pPr>
            <w:r>
              <w:rPr>
                <w:sz w:val="17"/>
              </w:rPr>
              <w:t>6.06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80"/>
            </w:pPr>
            <w:r>
              <w:rPr>
                <w:sz w:val="17"/>
              </w:rPr>
              <w:t>Ridge ARX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35.7%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-18.5%</w:t>
            </w:r>
          </w:p>
        </w:tc>
        <w:tc>
          <w:tcPr>
            <w:tcW w:type="dxa" w:w="1742"/>
          </w:tcPr>
          <w:p>
            <w:pPr>
              <w:spacing w:after="80" w:before="80"/>
            </w:pPr>
            <w:r>
              <w:rPr>
                <w:sz w:val="17"/>
              </w:rPr>
              <w:t>7.27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80"/>
            </w:pPr>
            <w:r>
              <w:rPr>
                <w:sz w:val="17"/>
              </w:rPr>
              <w:t>Global Gradient Boosting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21.0%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-11.3%</w:t>
            </w:r>
          </w:p>
        </w:tc>
        <w:tc>
          <w:tcPr>
            <w:tcW w:type="dxa" w:w="1742"/>
          </w:tcPr>
          <w:p>
            <w:pPr>
              <w:spacing w:after="80" w:before="80"/>
            </w:pPr>
            <w:r>
              <w:rPr>
                <w:sz w:val="17"/>
              </w:rPr>
              <w:t>19.33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before="80"/>
            </w:pPr>
            <w:r>
              <w:rPr>
                <w:sz w:val="17"/>
              </w:rPr>
              <w:t>Segmented models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18.9%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-10.9%</w:t>
            </w:r>
          </w:p>
        </w:tc>
        <w:tc>
          <w:tcPr>
            <w:tcW w:type="dxa" w:w="1742"/>
          </w:tcPr>
          <w:p>
            <w:pPr>
              <w:spacing w:after="80" w:before="80"/>
            </w:pPr>
            <w:r>
              <w:rPr>
                <w:sz w:val="17"/>
              </w:rPr>
              <w:t>15.65</w:t>
            </w:r>
          </w:p>
        </w:tc>
      </w:tr>
    </w:tbl>
    <w:p>
      <w:r>
        <w:t>WAPE按分子月绝对误差汇总，不允许不同分子的高估与低估互相抵销；Bias保留方向；MASE以各序列训练期12阶季节差分绝对值均值缩放，分母为零的序列不计入 MASE，并单独记录数量。另提供 RMSE 与按需求形态选模的敏感性结果。</w:t>
      </w:r>
    </w:p>
    <w:p>
      <w:r>
        <w:br w:type="page"/>
      </w:r>
    </w:p>
    <w:p>
      <w:pPr>
        <w:pStyle w:val="Heading1"/>
      </w:pPr>
      <w:r>
        <w:t>十二 不确定性与层级一致性</w:t>
      </w:r>
    </w:p>
    <w:p>
      <w:r>
        <w:t>年度上下界使用验证期完整12个月路径的年度误差校准，月度上下界使用对应预测步长误差；按销量规模分层并将下界截断为零。P50_proxy 是规划点预测，不是严格估计的条件中位数。P10和P90为经验残差规划范围，有限且重叠的起点使其概率解释较弱。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160"/>
        <w:gridCol w:w="5990"/>
      </w:tblGrid>
      <w:tr>
        <w:trPr>
          <w:tblHeader/>
          <w:cantSplit/>
        </w:trPr>
        <w:tc>
          <w:tcPr>
            <w:tcW w:type="dxa" w:w="2016"/>
          </w:tcPr>
          <w:p>
            <w:pPr>
              <w:spacing w:after="80" w:before="80"/>
            </w:pPr>
            <w:r>
              <w:rPr>
                <w:sz w:val="17"/>
              </w:rPr>
              <w:t>规模组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序列数</w:t>
            </w:r>
          </w:p>
        </w:tc>
        <w:tc>
          <w:tcPr>
            <w:tcW w:type="dxa" w:w="5990"/>
          </w:tcPr>
          <w:p>
            <w:pPr>
              <w:spacing w:after="80" w:before="80"/>
            </w:pPr>
            <w:r>
              <w:rPr>
                <w:sz w:val="17"/>
              </w:rPr>
              <w:t>2023年度80%范围覆盖率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80"/>
            </w:pPr>
            <w:r>
              <w:rPr>
                <w:sz w:val="17"/>
              </w:rPr>
              <w:t>0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1353</w:t>
            </w:r>
          </w:p>
        </w:tc>
        <w:tc>
          <w:tcPr>
            <w:tcW w:type="dxa" w:w="5990"/>
          </w:tcPr>
          <w:p>
            <w:pPr>
              <w:spacing w:after="80" w:before="80"/>
            </w:pPr>
            <w:r>
              <w:rPr>
                <w:sz w:val="17"/>
              </w:rPr>
              <w:t>68.1%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80"/>
            </w:pPr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1083</w:t>
            </w:r>
          </w:p>
        </w:tc>
        <w:tc>
          <w:tcPr>
            <w:tcW w:type="dxa" w:w="5990"/>
          </w:tcPr>
          <w:p>
            <w:pPr>
              <w:spacing w:after="80" w:before="80"/>
            </w:pPr>
            <w:r>
              <w:rPr>
                <w:sz w:val="17"/>
              </w:rPr>
              <w:t>65.5%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80" w:before="80"/>
            </w:pPr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pPr>
              <w:spacing w:after="80" w:before="80"/>
            </w:pPr>
            <w:r>
              <w:rPr>
                <w:sz w:val="17"/>
              </w:rPr>
              <w:t>271</w:t>
            </w:r>
          </w:p>
        </w:tc>
        <w:tc>
          <w:tcPr>
            <w:tcW w:type="dxa" w:w="5990"/>
          </w:tcPr>
          <w:p>
            <w:pPr>
              <w:spacing w:after="80" w:before="80"/>
            </w:pPr>
            <w:r>
              <w:rPr>
                <w:sz w:val="17"/>
              </w:rPr>
              <w:t>64.6%</w:t>
            </w:r>
          </w:p>
        </w:tc>
      </w:tr>
    </w:tbl>
    <w:p>
      <w:r>
        <w:t>不能把各月或各分子的分位数直接相加并称为组合分位数。组合年度范围另用组合年度误差构造，只有三个验证路径，应按情景范围使用；点预测可以正常加总。范围覆盖率用于揭示不确定性估计的不足，不用2023年结果回头修改已锁定方法。</w:t>
      </w:r>
    </w:p>
    <w:p>
      <w:r>
        <w:t>三个规模组的实际年度覆盖率为 64.6% 至 68.1%，均低于名义80%。经验范围的校准不足，业务使用时应保留额外的人工情景审查，不应把P10/P90当作已充分校准的承诺。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2563"/>
        <w:gridCol w:w="2563"/>
      </w:tblGrid>
      <w:tr>
        <w:trPr>
          <w:tblHeader/>
          <w:cantSplit/>
        </w:trPr>
        <w:tc>
          <w:tcPr>
            <w:tcW w:type="dxa" w:w="5040"/>
          </w:tcPr>
          <w:p>
            <w:pPr>
              <w:spacing w:after="80" w:before="80"/>
            </w:pPr>
            <w:r>
              <w:rPr>
                <w:sz w:val="17"/>
              </w:rPr>
              <w:t>层级方案</w:t>
            </w:r>
          </w:p>
        </w:tc>
        <w:tc>
          <w:tcPr>
            <w:tcW w:type="dxa" w:w="2563"/>
          </w:tcPr>
          <w:p>
            <w:pPr>
              <w:spacing w:after="80" w:before="80"/>
            </w:pPr>
            <w:r>
              <w:rPr>
                <w:sz w:val="17"/>
              </w:rPr>
              <w:t>2023 WAPE</w:t>
            </w:r>
          </w:p>
        </w:tc>
        <w:tc>
          <w:tcPr>
            <w:tcW w:type="dxa" w:w="2563"/>
          </w:tcPr>
          <w:p>
            <w:pPr>
              <w:spacing w:after="80" w:before="80"/>
            </w:pPr>
            <w:r>
              <w:rPr>
                <w:sz w:val="17"/>
              </w:rPr>
              <w:t>Bias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/>
            </w:pPr>
            <w:r>
              <w:rPr>
                <w:sz w:val="17"/>
              </w:rPr>
              <w:t>Direct INN</w:t>
            </w:r>
          </w:p>
        </w:tc>
        <w:tc>
          <w:tcPr>
            <w:tcW w:type="dxa" w:w="2563"/>
          </w:tcPr>
          <w:p>
            <w:pPr>
              <w:spacing w:after="80" w:before="80"/>
            </w:pPr>
            <w:r>
              <w:rPr>
                <w:sz w:val="17"/>
              </w:rPr>
              <w:t>19.0%</w:t>
            </w:r>
          </w:p>
        </w:tc>
        <w:tc>
          <w:tcPr>
            <w:tcW w:type="dxa" w:w="2563"/>
          </w:tcPr>
          <w:p>
            <w:pPr>
              <w:spacing w:after="80" w:before="80"/>
            </w:pPr>
            <w:r>
              <w:rPr>
                <w:sz w:val="17"/>
              </w:rPr>
              <w:t>-10.9%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80" w:before="80"/>
            </w:pPr>
            <w:r>
              <w:rPr>
                <w:sz w:val="17"/>
              </w:rPr>
              <w:t>Bottom-up SKU</w:t>
            </w:r>
          </w:p>
        </w:tc>
        <w:tc>
          <w:tcPr>
            <w:tcW w:type="dxa" w:w="2563"/>
          </w:tcPr>
          <w:p>
            <w:pPr>
              <w:spacing w:after="80" w:before="80"/>
            </w:pPr>
            <w:r>
              <w:rPr>
                <w:sz w:val="17"/>
              </w:rPr>
              <w:t>25.0%</w:t>
            </w:r>
          </w:p>
        </w:tc>
        <w:tc>
          <w:tcPr>
            <w:tcW w:type="dxa" w:w="2563"/>
          </w:tcPr>
          <w:p>
            <w:pPr>
              <w:spacing w:after="80" w:before="80"/>
            </w:pPr>
            <w:r>
              <w:rPr>
                <w:sz w:val="17"/>
              </w:rPr>
              <w:t>-0.4%</w:t>
            </w:r>
          </w:p>
        </w:tc>
      </w:tr>
    </w:tbl>
    <w:p>
      <w:r>
        <w:t>底层 SKU 的间歇需求比较 Croston、SBA、TSB 与季节朴素法，验证选定 Seasonal Naive；非间歇 SKU 使用季节朴素法。底层预测汇总到 INN，与直接 INN 预测进行同口径比较。</w:t>
      </w:r>
    </w:p>
    <w:p>
      <w:r>
        <w:t>最终规划仍保留预先选定的直接 INN 模型，再按最近12个月 SKU 销量结构分配，分别汇总到 ATC5、ATC4 与组合。这保证加总一致，但固定产品结构假设可能遗漏新品或产品迁移；分配结果不能当作独立优化过的 SKU 预测。</w:t>
      </w:r>
    </w:p>
    <w:p>
      <w:r>
        <w:br w:type="page"/>
      </w:r>
    </w:p>
    <w:p>
      <w:pPr>
        <w:pStyle w:val="Heading1"/>
      </w:pPr>
      <w:r>
        <w:t>十三 潜在供给空窗与替代线索</w:t>
      </w:r>
    </w:p>
    <w:p>
      <w:r>
        <w:t>同一可识别 INN 内检出 6,460 个内部零销量事件，覆盖 782 个分子。以事件前3个月同分子其他 SKU 的月均销量为基线，47.3% 的有效事件出现其他 SKU 销量上升；中位变化为 -1.4%。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1728"/>
        <w:gridCol w:w="2376"/>
        <w:gridCol w:w="1886"/>
      </w:tblGrid>
      <w:tr>
        <w:trPr>
          <w:tblHeader/>
          <w:cantSplit/>
        </w:trPr>
        <w:tc>
          <w:tcPr>
            <w:tcW w:type="dxa" w:w="4176"/>
          </w:tcPr>
          <w:p>
            <w:pPr>
              <w:spacing w:after="80" w:before="80"/>
            </w:pPr>
            <w:r>
              <w:rPr>
                <w:sz w:val="17"/>
              </w:rPr>
              <w:t>INN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内部零事件</w:t>
            </w:r>
          </w:p>
        </w:tc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正向同类提升占比</w:t>
            </w:r>
          </w:p>
        </w:tc>
        <w:tc>
          <w:tcPr>
            <w:tcW w:type="dxa" w:w="1886"/>
          </w:tcPr>
          <w:p>
            <w:pPr>
              <w:spacing w:after="80" w:before="80"/>
            </w:pPr>
            <w:r>
              <w:rPr>
                <w:sz w:val="17"/>
              </w:rPr>
              <w:t>中位提升</w:t>
            </w:r>
          </w:p>
        </w:tc>
      </w:tr>
      <w:tr>
        <w:trPr>
          <w:cantSplit/>
        </w:trPr>
        <w:tc>
          <w:tcPr>
            <w:tcW w:type="dxa" w:w="4176"/>
          </w:tcPr>
          <w:p>
            <w:pPr>
              <w:spacing w:after="80" w:before="80"/>
            </w:pPr>
            <w:r>
              <w:rPr>
                <w:sz w:val="17"/>
              </w:rPr>
              <w:t>CITICOLINUM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72</w:t>
            </w:r>
          </w:p>
        </w:tc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68.1%</w:t>
            </w:r>
          </w:p>
        </w:tc>
        <w:tc>
          <w:tcPr>
            <w:tcW w:type="dxa" w:w="1886"/>
          </w:tcPr>
          <w:p>
            <w:pPr>
              <w:spacing w:after="80" w:before="80"/>
            </w:pPr>
            <w:r>
              <w:rPr>
                <w:sz w:val="17"/>
              </w:rPr>
              <w:t>4.2%</w:t>
            </w:r>
          </w:p>
        </w:tc>
      </w:tr>
      <w:tr>
        <w:trPr>
          <w:cantSplit/>
        </w:trPr>
        <w:tc>
          <w:tcPr>
            <w:tcW w:type="dxa" w:w="4176"/>
          </w:tcPr>
          <w:p>
            <w:pPr>
              <w:spacing w:after="80" w:before="80"/>
            </w:pPr>
            <w:r>
              <w:rPr>
                <w:sz w:val="17"/>
              </w:rPr>
              <w:t>PROPOFOLUM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71</w:t>
            </w:r>
          </w:p>
        </w:tc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46.5%</w:t>
            </w:r>
          </w:p>
        </w:tc>
        <w:tc>
          <w:tcPr>
            <w:tcW w:type="dxa" w:w="1886"/>
          </w:tcPr>
          <w:p>
            <w:pPr>
              <w:spacing w:after="80" w:before="80"/>
            </w:pPr>
            <w:r>
              <w:rPr>
                <w:sz w:val="17"/>
              </w:rPr>
              <w:t>-15.3%</w:t>
            </w:r>
          </w:p>
        </w:tc>
      </w:tr>
      <w:tr>
        <w:trPr>
          <w:cantSplit/>
        </w:trPr>
        <w:tc>
          <w:tcPr>
            <w:tcW w:type="dxa" w:w="4176"/>
          </w:tcPr>
          <w:p>
            <w:pPr>
              <w:spacing w:after="80" w:before="80"/>
            </w:pPr>
            <w:r>
              <w:rPr>
                <w:sz w:val="17"/>
              </w:rPr>
              <w:t>SILDENAFILUM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61</w:t>
            </w:r>
          </w:p>
        </w:tc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63.9%</w:t>
            </w:r>
          </w:p>
        </w:tc>
        <w:tc>
          <w:tcPr>
            <w:tcW w:type="dxa" w:w="1886"/>
          </w:tcPr>
          <w:p>
            <w:pPr>
              <w:spacing w:after="80" w:before="80"/>
            </w:pPr>
            <w:r>
              <w:rPr>
                <w:sz w:val="17"/>
              </w:rPr>
              <w:t>4.6%</w:t>
            </w:r>
          </w:p>
        </w:tc>
      </w:tr>
      <w:tr>
        <w:trPr>
          <w:cantSplit/>
        </w:trPr>
        <w:tc>
          <w:tcPr>
            <w:tcW w:type="dxa" w:w="4176"/>
          </w:tcPr>
          <w:p>
            <w:pPr>
              <w:spacing w:after="80" w:before="80"/>
            </w:pPr>
            <w:r>
              <w:rPr>
                <w:sz w:val="17"/>
              </w:rPr>
              <w:t>SPIRITUS AETHYLICUS*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61</w:t>
            </w:r>
          </w:p>
        </w:tc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42.6%</w:t>
            </w:r>
          </w:p>
        </w:tc>
        <w:tc>
          <w:tcPr>
            <w:tcW w:type="dxa" w:w="1886"/>
          </w:tcPr>
          <w:p>
            <w:pPr>
              <w:spacing w:after="80" w:before="80"/>
            </w:pPr>
            <w:r>
              <w:rPr>
                <w:sz w:val="17"/>
              </w:rPr>
              <w:t>-2.7%</w:t>
            </w:r>
          </w:p>
        </w:tc>
      </w:tr>
      <w:tr>
        <w:trPr>
          <w:cantSplit/>
        </w:trPr>
        <w:tc>
          <w:tcPr>
            <w:tcW w:type="dxa" w:w="4176"/>
          </w:tcPr>
          <w:p>
            <w:pPr>
              <w:spacing w:after="80" w:before="80"/>
            </w:pPr>
            <w:r>
              <w:rPr>
                <w:sz w:val="17"/>
              </w:rPr>
              <w:t>CEFEPIMUM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60</w:t>
            </w:r>
          </w:p>
        </w:tc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31.7%</w:t>
            </w:r>
          </w:p>
        </w:tc>
        <w:tc>
          <w:tcPr>
            <w:tcW w:type="dxa" w:w="1886"/>
          </w:tcPr>
          <w:p>
            <w:pPr>
              <w:spacing w:after="80" w:before="80"/>
            </w:pPr>
            <w:r>
              <w:rPr>
                <w:sz w:val="17"/>
              </w:rPr>
              <w:t>-16.5%</w:t>
            </w:r>
          </w:p>
        </w:tc>
      </w:tr>
      <w:tr>
        <w:trPr>
          <w:cantSplit/>
        </w:trPr>
        <w:tc>
          <w:tcPr>
            <w:tcW w:type="dxa" w:w="4176"/>
          </w:tcPr>
          <w:p>
            <w:pPr>
              <w:spacing w:after="80" w:before="80"/>
            </w:pPr>
            <w:r>
              <w:rPr>
                <w:sz w:val="17"/>
              </w:rPr>
              <w:t>CEFTRIAXONUM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57</w:t>
            </w:r>
          </w:p>
        </w:tc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38.6%</w:t>
            </w:r>
          </w:p>
        </w:tc>
        <w:tc>
          <w:tcPr>
            <w:tcW w:type="dxa" w:w="1886"/>
          </w:tcPr>
          <w:p>
            <w:pPr>
              <w:spacing w:after="80" w:before="80"/>
            </w:pPr>
            <w:r>
              <w:rPr>
                <w:sz w:val="17"/>
              </w:rPr>
              <w:t>-6.3%</w:t>
            </w:r>
          </w:p>
        </w:tc>
      </w:tr>
      <w:tr>
        <w:trPr>
          <w:cantSplit/>
        </w:trPr>
        <w:tc>
          <w:tcPr>
            <w:tcW w:type="dxa" w:w="4176"/>
          </w:tcPr>
          <w:p>
            <w:pPr>
              <w:spacing w:after="80" w:before="80"/>
            </w:pPr>
            <w:r>
              <w:rPr>
                <w:sz w:val="17"/>
              </w:rPr>
              <w:t>PACLITAXELUM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52</w:t>
            </w:r>
          </w:p>
        </w:tc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38.5%</w:t>
            </w:r>
          </w:p>
        </w:tc>
        <w:tc>
          <w:tcPr>
            <w:tcW w:type="dxa" w:w="1886"/>
          </w:tcPr>
          <w:p>
            <w:pPr>
              <w:spacing w:after="80" w:before="80"/>
            </w:pPr>
            <w:r>
              <w:rPr>
                <w:sz w:val="17"/>
              </w:rPr>
              <w:t>-16.5%</w:t>
            </w:r>
          </w:p>
        </w:tc>
      </w:tr>
      <w:tr>
        <w:trPr>
          <w:cantSplit/>
        </w:trPr>
        <w:tc>
          <w:tcPr>
            <w:tcW w:type="dxa" w:w="4176"/>
          </w:tcPr>
          <w:p>
            <w:pPr>
              <w:spacing w:after="80" w:before="80"/>
            </w:pPr>
            <w:r>
              <w:rPr>
                <w:sz w:val="17"/>
              </w:rPr>
              <w:t>MEROPENEMUM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51</w:t>
            </w:r>
          </w:p>
        </w:tc>
        <w:tc>
          <w:tcPr>
            <w:tcW w:type="dxa" w:w="2376"/>
          </w:tcPr>
          <w:p>
            <w:pPr>
              <w:spacing w:after="80" w:before="80"/>
            </w:pPr>
            <w:r>
              <w:rPr>
                <w:sz w:val="17"/>
              </w:rPr>
              <w:t>39.2%</w:t>
            </w:r>
          </w:p>
        </w:tc>
        <w:tc>
          <w:tcPr>
            <w:tcW w:type="dxa" w:w="1886"/>
          </w:tcPr>
          <w:p>
            <w:pPr>
              <w:spacing w:after="80" w:before="80"/>
            </w:pPr>
            <w:r>
              <w:rPr>
                <w:sz w:val="17"/>
              </w:rPr>
              <w:t>-8.5%</w:t>
            </w:r>
          </w:p>
        </w:tc>
      </w:tr>
    </w:tbl>
    <w:p>
      <w:r>
        <w:t>事件要求零销量前后均有正销量，不把前导零和末端零混作短期可用性问题。输出包含零间隔起止、时长、焦点 SKU 事前规模、其他 SKU 事前与期间规模、同比同月份基线、表观吸收比例。</w:t>
      </w:r>
    </w:p>
    <w:p>
      <w:r>
        <w:t>另对每个分子规模前8个 SKU 的 log1p 销量一阶差分计算相关性，保留低于−0.2的探索性边，并记录剂型及剂量。该列表可支持后续产品关系可视化；未训练图神经网络。</w:t>
      </w:r>
    </w:p>
    <w:p>
      <w:r>
        <w:t>这些结果没有未受影响的对照组，也未剔除全部季节、促销和共同冲击。其他 SKU 的同期增长只是待验证的替代线索，不能认定因果性蚕食或已确认缺货。同分子不同给药途径、剂型和剂量也不必然能够临床互换。</w:t>
      </w:r>
    </w:p>
    <w:p>
      <w:r>
        <w:t>建议下一步将重点事件与库存、发货、停供和渠道记录连接，再按同剂型、可比剂量及包装建立更严格的对照事件研究。</w:t>
      </w:r>
    </w:p>
    <w:p>
      <w:r>
        <w:br w:type="page"/>
      </w:r>
    </w:p>
    <w:p>
      <w:pPr>
        <w:pStyle w:val="Heading1"/>
      </w:pPr>
      <w:r>
        <w:t>十四 从模型到商业行动</w:t>
      </w:r>
    </w:p>
    <w:p>
      <w:r>
        <w:drawing>
          <wp:inline xmlns:a="http://schemas.openxmlformats.org/drawingml/2006/main" xmlns:pic="http://schemas.openxmlformats.org/drawingml/2006/picture">
            <wp:extent cx="6355080" cy="23232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rowth_and_a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32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图7 增长预期与份额动量。行动由公开阈值生成，聚类不参与决策。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2736"/>
        <w:gridCol w:w="2822"/>
      </w:tblGrid>
      <w:tr>
        <w:trPr>
          <w:tblHeader/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sz w:val="17"/>
              </w:rPr>
              <w:t>行动</w:t>
            </w:r>
          </w:p>
        </w:tc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7"/>
              </w:rPr>
              <w:t>分子或未知SKU数</w:t>
            </w:r>
          </w:p>
        </w:tc>
        <w:tc>
          <w:tcPr>
            <w:tcW w:type="dxa" w:w="2822"/>
          </w:tcPr>
          <w:p>
            <w:pPr>
              <w:spacing w:after="80" w:before="80"/>
            </w:pPr>
            <w:r>
              <w:rPr>
                <w:sz w:val="17"/>
              </w:rPr>
              <w:t>2023销量占比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sz w:val="17"/>
              </w:rPr>
              <w:t>At Risk</w:t>
            </w:r>
          </w:p>
        </w:tc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7"/>
              </w:rPr>
              <w:t>344</w:t>
            </w:r>
          </w:p>
        </w:tc>
        <w:tc>
          <w:tcPr>
            <w:tcW w:type="dxa" w:w="2822"/>
          </w:tcPr>
          <w:p>
            <w:pPr>
              <w:spacing w:after="80" w:before="80"/>
            </w:pPr>
            <w:r>
              <w:rPr>
                <w:sz w:val="17"/>
              </w:rPr>
              <w:t>2.3%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sz w:val="17"/>
              </w:rPr>
              <w:t>Data Review</w:t>
            </w:r>
          </w:p>
        </w:tc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7"/>
              </w:rPr>
              <w:t>931</w:t>
            </w:r>
          </w:p>
        </w:tc>
        <w:tc>
          <w:tcPr>
            <w:tcW w:type="dxa" w:w="2822"/>
          </w:tcPr>
          <w:p>
            <w:pPr>
              <w:spacing w:after="80" w:before="80"/>
            </w:pPr>
            <w:r>
              <w:rPr>
                <w:sz w:val="17"/>
              </w:rPr>
              <w:t>2.3%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sz w:val="17"/>
              </w:rPr>
              <w:t>Defend</w:t>
            </w:r>
          </w:p>
        </w:tc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7"/>
              </w:rPr>
              <w:t>163</w:t>
            </w:r>
          </w:p>
        </w:tc>
        <w:tc>
          <w:tcPr>
            <w:tcW w:type="dxa" w:w="2822"/>
          </w:tcPr>
          <w:p>
            <w:pPr>
              <w:spacing w:after="80" w:before="80"/>
            </w:pPr>
            <w:r>
              <w:rPr>
                <w:sz w:val="17"/>
              </w:rPr>
              <w:t>35.1%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sz w:val="17"/>
              </w:rPr>
              <w:t>Emerging Opportunity</w:t>
            </w:r>
          </w:p>
        </w:tc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7"/>
              </w:rPr>
              <w:t>128</w:t>
            </w:r>
          </w:p>
        </w:tc>
        <w:tc>
          <w:tcPr>
            <w:tcW w:type="dxa" w:w="2822"/>
          </w:tcPr>
          <w:p>
            <w:pPr>
              <w:spacing w:after="80" w:before="80"/>
            </w:pPr>
            <w:r>
              <w:rPr>
                <w:sz w:val="17"/>
              </w:rPr>
              <w:t>1.4%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sz w:val="17"/>
              </w:rPr>
              <w:t>Invest</w:t>
            </w:r>
          </w:p>
        </w:tc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7"/>
              </w:rPr>
              <w:t>25</w:t>
            </w:r>
          </w:p>
        </w:tc>
        <w:tc>
          <w:tcPr>
            <w:tcW w:type="dxa" w:w="2822"/>
          </w:tcPr>
          <w:p>
            <w:pPr>
              <w:spacing w:after="80" w:before="80"/>
            </w:pPr>
            <w:r>
              <w:rPr>
                <w:sz w:val="17"/>
              </w:rPr>
              <w:t>3.3%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sz w:val="17"/>
              </w:rPr>
              <w:t>Market-led Growth</w:t>
            </w:r>
          </w:p>
        </w:tc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7"/>
              </w:rPr>
              <w:t>182</w:t>
            </w:r>
          </w:p>
        </w:tc>
        <w:tc>
          <w:tcPr>
            <w:tcW w:type="dxa" w:w="2822"/>
          </w:tcPr>
          <w:p>
            <w:pPr>
              <w:spacing w:after="80" w:before="80"/>
            </w:pPr>
            <w:r>
              <w:rPr>
                <w:sz w:val="17"/>
              </w:rPr>
              <w:t>2.5%</w:t>
            </w:r>
          </w:p>
        </w:tc>
      </w:tr>
      <w:tr>
        <w:trPr>
          <w:cantSplit/>
        </w:trPr>
        <w:tc>
          <w:tcPr>
            <w:tcW w:type="dxa" w:w="4608"/>
          </w:tcPr>
          <w:p>
            <w:pPr>
              <w:spacing w:after="80" w:before="80"/>
            </w:pPr>
            <w:r>
              <w:rPr>
                <w:sz w:val="17"/>
              </w:rPr>
              <w:t>Monitor</w:t>
            </w:r>
          </w:p>
        </w:tc>
        <w:tc>
          <w:tcPr>
            <w:tcW w:type="dxa" w:w="2736"/>
          </w:tcPr>
          <w:p>
            <w:pPr>
              <w:spacing w:after="80" w:before="80"/>
            </w:pPr>
            <w:r>
              <w:rPr>
                <w:sz w:val="17"/>
              </w:rPr>
              <w:t>934</w:t>
            </w:r>
          </w:p>
        </w:tc>
        <w:tc>
          <w:tcPr>
            <w:tcW w:type="dxa" w:w="2822"/>
          </w:tcPr>
          <w:p>
            <w:pPr>
              <w:spacing w:after="80" w:before="80"/>
            </w:pPr>
            <w:r>
              <w:rPr>
                <w:sz w:val="17"/>
              </w:rPr>
              <w:t>53.2%</w:t>
            </w:r>
          </w:p>
        </w:tc>
      </w:tr>
    </w:tbl>
    <w:p>
      <w:r>
        <w:t>Invest：规模前25%、份额上升、预测增长为正且机会概率前20%；Emerging Opportunity：规模尚未进入前25%、份额上升且机会概率前20%，先验证增长驱动；Defend：规模前25%但份额下降；At Risk：份额与预测销量同时下降。市场带动增长定义为销量增长且份额变化不超过0.2个百分点。</w:t>
      </w:r>
    </w:p>
    <w:p>
      <w:r>
        <w:t>Supply Watch 是可叠加标签：预测增长超过10%，同时 CV&gt;1或零值率&gt;20%，且历史偏差低于−10%。本次有 191 个序列符合。未知 INN 进入 Data Review；竞争份额不适用的分子进入 Monitor。</w:t>
      </w:r>
    </w:p>
    <w:p>
      <w:r>
        <w:br w:type="page"/>
      </w:r>
    </w:p>
    <w:p>
      <w:pPr>
        <w:pStyle w:val="Heading1"/>
      </w:pPr>
      <w:r>
        <w:t>十五 2024 年规划表与优先核查名单</w:t>
      </w:r>
    </w:p>
    <w:p>
      <w:r>
        <w:t>组合点预测为 805.35 百万原始单位，增长 -5.1%。组合经验情景范围为 685.54 至 814.15 百万，基于三个历史年度误差路径，不能视为经过充分验证的80%概率区间。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1656"/>
        <w:gridCol w:w="1728"/>
        <w:gridCol w:w="1238"/>
        <w:gridCol w:w="1728"/>
      </w:tblGrid>
      <w:tr>
        <w:trPr>
          <w:tblHeader/>
          <w:cantSplit/>
        </w:trPr>
        <w:tc>
          <w:tcPr>
            <w:tcW w:type="dxa" w:w="3816"/>
          </w:tcPr>
          <w:p>
            <w:pPr>
              <w:spacing w:after="80" w:before="80"/>
            </w:pPr>
            <w:r>
              <w:rPr>
                <w:sz w:val="17"/>
              </w:rPr>
              <w:t>INN</w:t>
            </w:r>
          </w:p>
        </w:tc>
        <w:tc>
          <w:tcPr>
            <w:tcW w:type="dxa" w:w="1656"/>
          </w:tcPr>
          <w:p>
            <w:pPr>
              <w:spacing w:after="80" w:before="80"/>
            </w:pPr>
            <w:r>
              <w:rPr>
                <w:sz w:val="17"/>
              </w:rPr>
              <w:t>2023实际 百万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2024点预测 百万</w:t>
            </w:r>
          </w:p>
        </w:tc>
        <w:tc>
          <w:tcPr>
            <w:tcW w:type="dxa" w:w="1238"/>
          </w:tcPr>
          <w:p>
            <w:pPr>
              <w:spacing w:after="80" w:before="80"/>
            </w:pPr>
            <w:r>
              <w:rPr>
                <w:sz w:val="17"/>
              </w:rPr>
              <w:t>增长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行动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80" w:before="80"/>
            </w:pPr>
            <w:r>
              <w:rPr>
                <w:sz w:val="17"/>
              </w:rPr>
              <w:t>ACIDUM ACETYLSALICYLICUM*+COFFEINUM*+PARACETAMOLUM</w:t>
            </w:r>
          </w:p>
        </w:tc>
        <w:tc>
          <w:tcPr>
            <w:tcW w:type="dxa" w:w="1656"/>
          </w:tcPr>
          <w:p>
            <w:pPr>
              <w:spacing w:after="80" w:before="80"/>
            </w:pPr>
            <w:r>
              <w:rPr>
                <w:sz w:val="17"/>
              </w:rPr>
              <w:t>36.14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33.66</w:t>
            </w:r>
          </w:p>
        </w:tc>
        <w:tc>
          <w:tcPr>
            <w:tcW w:type="dxa" w:w="1238"/>
          </w:tcPr>
          <w:p>
            <w:pPr>
              <w:spacing w:after="80" w:before="80"/>
            </w:pPr>
            <w:r>
              <w:rPr>
                <w:sz w:val="17"/>
              </w:rPr>
              <w:t>-6.9%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Defend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80" w:before="80"/>
            </w:pPr>
            <w:r>
              <w:rPr>
                <w:sz w:val="17"/>
              </w:rPr>
              <w:t>ACIDUM ACETYLSALICYLICUM*</w:t>
            </w:r>
          </w:p>
        </w:tc>
        <w:tc>
          <w:tcPr>
            <w:tcW w:type="dxa" w:w="1656"/>
          </w:tcPr>
          <w:p>
            <w:pPr>
              <w:spacing w:after="80" w:before="80"/>
            </w:pPr>
            <w:r>
              <w:rPr>
                <w:sz w:val="17"/>
              </w:rPr>
              <w:t>22.35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21.24</w:t>
            </w:r>
          </w:p>
        </w:tc>
        <w:tc>
          <w:tcPr>
            <w:tcW w:type="dxa" w:w="1238"/>
          </w:tcPr>
          <w:p>
            <w:pPr>
              <w:spacing w:after="80" w:before="80"/>
            </w:pPr>
            <w:r>
              <w:rPr>
                <w:sz w:val="17"/>
              </w:rPr>
              <w:t>-5.0%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Monitor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80" w:before="80"/>
            </w:pPr>
            <w:r>
              <w:rPr>
                <w:sz w:val="17"/>
              </w:rPr>
              <w:t>XYLOMETAZOLINUM</w:t>
            </w:r>
          </w:p>
        </w:tc>
        <w:tc>
          <w:tcPr>
            <w:tcW w:type="dxa" w:w="1656"/>
          </w:tcPr>
          <w:p>
            <w:pPr>
              <w:spacing w:after="80" w:before="80"/>
            </w:pPr>
            <w:r>
              <w:rPr>
                <w:sz w:val="17"/>
              </w:rPr>
              <w:t>17.56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17.30</w:t>
            </w:r>
          </w:p>
        </w:tc>
        <w:tc>
          <w:tcPr>
            <w:tcW w:type="dxa" w:w="1238"/>
          </w:tcPr>
          <w:p>
            <w:pPr>
              <w:spacing w:after="80" w:before="80"/>
            </w:pPr>
            <w:r>
              <w:rPr>
                <w:sz w:val="17"/>
              </w:rPr>
              <w:t>-1.5%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Monitor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80" w:before="80"/>
            </w:pPr>
            <w:r>
              <w:rPr>
                <w:sz w:val="17"/>
              </w:rPr>
              <w:t>NATRII CHLORIDUM*</w:t>
            </w:r>
          </w:p>
        </w:tc>
        <w:tc>
          <w:tcPr>
            <w:tcW w:type="dxa" w:w="1656"/>
          </w:tcPr>
          <w:p>
            <w:pPr>
              <w:spacing w:after="80" w:before="80"/>
            </w:pPr>
            <w:r>
              <w:rPr>
                <w:sz w:val="17"/>
              </w:rPr>
              <w:t>15.45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12.70</w:t>
            </w:r>
          </w:p>
        </w:tc>
        <w:tc>
          <w:tcPr>
            <w:tcW w:type="dxa" w:w="1238"/>
          </w:tcPr>
          <w:p>
            <w:pPr>
              <w:spacing w:after="80" w:before="80"/>
            </w:pPr>
            <w:r>
              <w:rPr>
                <w:sz w:val="17"/>
              </w:rPr>
              <w:t>-17.8%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Monitor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80" w:before="80"/>
            </w:pPr>
            <w:r>
              <w:rPr>
                <w:sz w:val="17"/>
              </w:rPr>
              <w:t>ASCORBIC ACID</w:t>
            </w:r>
          </w:p>
        </w:tc>
        <w:tc>
          <w:tcPr>
            <w:tcW w:type="dxa" w:w="1656"/>
          </w:tcPr>
          <w:p>
            <w:pPr>
              <w:spacing w:after="80" w:before="80"/>
            </w:pPr>
            <w:r>
              <w:rPr>
                <w:sz w:val="17"/>
              </w:rPr>
              <w:t>14.46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12.03</w:t>
            </w:r>
          </w:p>
        </w:tc>
        <w:tc>
          <w:tcPr>
            <w:tcW w:type="dxa" w:w="1238"/>
          </w:tcPr>
          <w:p>
            <w:pPr>
              <w:spacing w:after="80" w:before="80"/>
            </w:pPr>
            <w:r>
              <w:rPr>
                <w:sz w:val="17"/>
              </w:rPr>
              <w:t>-16.8%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Monitor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80" w:before="80"/>
            </w:pPr>
            <w:r>
              <w:rPr>
                <w:sz w:val="17"/>
              </w:rPr>
              <w:t>IBUPROFENUM</w:t>
            </w:r>
          </w:p>
        </w:tc>
        <w:tc>
          <w:tcPr>
            <w:tcW w:type="dxa" w:w="1656"/>
          </w:tcPr>
          <w:p>
            <w:pPr>
              <w:spacing w:after="80" w:before="80"/>
            </w:pPr>
            <w:r>
              <w:rPr>
                <w:sz w:val="17"/>
              </w:rPr>
              <w:t>13.42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14.43</w:t>
            </w:r>
          </w:p>
        </w:tc>
        <w:tc>
          <w:tcPr>
            <w:tcW w:type="dxa" w:w="1238"/>
          </w:tcPr>
          <w:p>
            <w:pPr>
              <w:spacing w:after="80" w:before="80"/>
            </w:pPr>
            <w:r>
              <w:rPr>
                <w:sz w:val="17"/>
              </w:rPr>
              <w:t>7.6%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Monitor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80" w:before="80"/>
            </w:pPr>
            <w:r>
              <w:rPr>
                <w:sz w:val="17"/>
              </w:rPr>
              <w:t>METAMIZOLUM NATRICUM</w:t>
            </w:r>
          </w:p>
        </w:tc>
        <w:tc>
          <w:tcPr>
            <w:tcW w:type="dxa" w:w="1656"/>
          </w:tcPr>
          <w:p>
            <w:pPr>
              <w:spacing w:after="80" w:before="80"/>
            </w:pPr>
            <w:r>
              <w:rPr>
                <w:sz w:val="17"/>
              </w:rPr>
              <w:t>13.01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12.58</w:t>
            </w:r>
          </w:p>
        </w:tc>
        <w:tc>
          <w:tcPr>
            <w:tcW w:type="dxa" w:w="1238"/>
          </w:tcPr>
          <w:p>
            <w:pPr>
              <w:spacing w:after="80" w:before="80"/>
            </w:pPr>
            <w:r>
              <w:rPr>
                <w:sz w:val="17"/>
              </w:rPr>
              <w:t>-3.3%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Monitor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80" w:before="80"/>
            </w:pPr>
            <w:r>
              <w:rPr>
                <w:sz w:val="17"/>
              </w:rPr>
              <w:t>PARACETAMOLUM</w:t>
            </w:r>
          </w:p>
        </w:tc>
        <w:tc>
          <w:tcPr>
            <w:tcW w:type="dxa" w:w="1656"/>
          </w:tcPr>
          <w:p>
            <w:pPr>
              <w:spacing w:after="80" w:before="80"/>
            </w:pPr>
            <w:r>
              <w:rPr>
                <w:sz w:val="17"/>
              </w:rPr>
              <w:t>12.02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12.20</w:t>
            </w:r>
          </w:p>
        </w:tc>
        <w:tc>
          <w:tcPr>
            <w:tcW w:type="dxa" w:w="1238"/>
          </w:tcPr>
          <w:p>
            <w:pPr>
              <w:spacing w:after="80" w:before="80"/>
            </w:pPr>
            <w:r>
              <w:rPr>
                <w:sz w:val="17"/>
              </w:rPr>
              <w:t>1.6%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Defend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80" w:before="80"/>
            </w:pPr>
            <w:r>
              <w:rPr>
                <w:sz w:val="17"/>
              </w:rPr>
              <w:t>DICLOFENACUM</w:t>
            </w:r>
          </w:p>
        </w:tc>
        <w:tc>
          <w:tcPr>
            <w:tcW w:type="dxa" w:w="1656"/>
          </w:tcPr>
          <w:p>
            <w:pPr>
              <w:spacing w:after="80" w:before="80"/>
            </w:pPr>
            <w:r>
              <w:rPr>
                <w:sz w:val="17"/>
              </w:rPr>
              <w:t>11.77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11.23</w:t>
            </w:r>
          </w:p>
        </w:tc>
        <w:tc>
          <w:tcPr>
            <w:tcW w:type="dxa" w:w="1238"/>
          </w:tcPr>
          <w:p>
            <w:pPr>
              <w:spacing w:after="80" w:before="80"/>
            </w:pPr>
            <w:r>
              <w:rPr>
                <w:sz w:val="17"/>
              </w:rPr>
              <w:t>-4.6%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Monitor</w:t>
            </w:r>
          </w:p>
        </w:tc>
      </w:tr>
      <w:tr>
        <w:trPr>
          <w:cantSplit/>
        </w:trPr>
        <w:tc>
          <w:tcPr>
            <w:tcW w:type="dxa" w:w="3816"/>
          </w:tcPr>
          <w:p>
            <w:pPr>
              <w:spacing w:after="80" w:before="80"/>
            </w:pPr>
            <w:r>
              <w:rPr>
                <w:sz w:val="17"/>
              </w:rPr>
              <w:t>PANCREATINUM*</w:t>
            </w:r>
          </w:p>
        </w:tc>
        <w:tc>
          <w:tcPr>
            <w:tcW w:type="dxa" w:w="1656"/>
          </w:tcPr>
          <w:p>
            <w:pPr>
              <w:spacing w:after="80" w:before="80"/>
            </w:pPr>
            <w:r>
              <w:rPr>
                <w:sz w:val="17"/>
              </w:rPr>
              <w:t>11.21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10.98</w:t>
            </w:r>
          </w:p>
        </w:tc>
        <w:tc>
          <w:tcPr>
            <w:tcW w:type="dxa" w:w="1238"/>
          </w:tcPr>
          <w:p>
            <w:pPr>
              <w:spacing w:after="80" w:before="80"/>
            </w:pPr>
            <w:r>
              <w:rPr>
                <w:sz w:val="17"/>
              </w:rPr>
              <w:t>-2.1%</w:t>
            </w:r>
          </w:p>
        </w:tc>
        <w:tc>
          <w:tcPr>
            <w:tcW w:type="dxa" w:w="1728"/>
          </w:tcPr>
          <w:p>
            <w:pPr>
              <w:spacing w:after="80" w:before="80"/>
            </w:pPr>
            <w:r>
              <w:rPr>
                <w:sz w:val="17"/>
              </w:rPr>
              <w:t>Market-led Growth</w:t>
            </w:r>
          </w:p>
        </w:tc>
      </w:tr>
    </w:tbl>
    <w:p>
      <w:pPr>
        <w:pStyle w:val="Heading2"/>
      </w:pPr>
      <w:r>
        <w:t>重点名单的使用顺序</w:t>
      </w:r>
    </w:p>
    <w:p>
      <w:r>
        <w:t>优先防守诊断：ACIDUM ACETYLSALICYLICUM*+COFFEINUM*+PARACETAMOLUM、PARACETAMOLUM、OXYMETAZOLINUM。首先核查同治疗类别竞争品、渠道覆盖与供给变化，区分样本市场下行和自身份额流失。</w:t>
      </w:r>
    </w:p>
    <w:p>
      <w:r>
        <w:t>增长驱动核查：LEVOCETIRIZINUM+MONTELUKASTUM、ASCORBIC ACID+HESPERIDINUM+RUSCUS ACULEATUS&amp;、BACITRACINUM+NEOMYCINUM。结合价格、营销触达、订单与渠道数据后，再讨论增量资源配置。</w:t>
      </w:r>
    </w:p>
    <w:p>
      <w:r>
        <w:t>完整规划表包含每个 INN 的2023实际、2024点预测、年度经验上下界、预测增长、年度份额动量、机会模型输出、行动与 Supply Watch。所有未知 INN 的销量与预测也保留在表中，但不作为分子商业推荐。</w:t>
      </w:r>
    </w:p>
    <w:p>
      <w:r>
        <w:br w:type="page"/>
      </w:r>
    </w:p>
    <w:p>
      <w:pPr>
        <w:pStyle w:val="Heading1"/>
      </w:pPr>
      <w:r>
        <w:t>十六 治疗领域深入分析</w:t>
      </w:r>
    </w:p>
    <w:p>
      <w:r>
        <w:t>选取 R01A A Sympathomimetics, plain。该类别包含 5 个已知 INN。筛选要求4至12个分子、至少4个分子各占1%以上份额、最大分子份额低于70%，再选择2023销量最大的类别。市场规模为 37.82 百万原始单位，同比变化 11.9%。</w:t>
      </w:r>
    </w:p>
    <w:p>
      <w:r>
        <w:drawing>
          <wp:inline xmlns:a="http://schemas.openxmlformats.org/drawingml/2006/main" xmlns:pic="http://schemas.openxmlformats.org/drawingml/2006/picture">
            <wp:extent cx="6217920" cy="44024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herapeutic_deep_d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图8 市场规模、主要分子份额、增长分解及2024分配预测。</w:t>
      </w:r>
    </w:p>
    <w:p>
      <w:r>
        <w:t>份额提升较明显：XYLOMETAZOLINUM +0.25 个百分点；OXYMETAZOLINUM +0.23 个百分点。份额下滑较明显：NAPHAZOLINUM -0.57 个百分点。</w:t>
      </w:r>
    </w:p>
    <w:p>
      <w:r>
        <w:t>此处竞争分析使用 INN × ATC4 切片，因此跨多个治疗类别的分子也可以在本类别内比较。2024预测由 SKU 分配后汇总，仅覆盖该治疗类别，避免把分子在其他适应类别的销量算入本市场。</w:t>
      </w:r>
    </w:p>
    <w:p>
      <w:r>
        <w:br w:type="page"/>
      </w:r>
    </w:p>
    <w:p>
      <w:pPr>
        <w:pStyle w:val="Heading1"/>
      </w:pPr>
      <w:r>
        <w:t>十七 解释边界与后续验证</w:t>
      </w:r>
    </w:p>
    <w:p>
      <w:pPr>
        <w:pStyle w:val="Heading2"/>
      </w:pPr>
      <w:r>
        <w:t>本研究能支持的结论</w:t>
      </w:r>
    </w:p>
    <w:p>
      <w:r>
        <w:t>可以回答样本组合的销量变化、治疗类别贡献、同类份额动量、需求形态，以及在规定历史回测中的模型表现。可将分子与 SKU 排入商业诊断、供给复核和数据完善名单。增长分解是代数恒等式，产品属性、替代关系和模型重要度均为相关性分析。</w:t>
      </w:r>
    </w:p>
    <w:p>
      <w:pPr>
        <w:pStyle w:val="Heading2"/>
      </w:pPr>
      <w:r>
        <w:t>必须保留的限制</w:t>
      </w:r>
    </w:p>
    <w:p>
      <w:r>
        <w:t>一是市场代表性与数据单位。缺少地区、渠道、样本覆盖率及单位倍率字典，同类份额仅在样本内成立。二是名录与历史分类。提供的是固定 SKU 和治疗分类快照，无法完整重建历史退市、变更及未纳入产品，可能存在幸存者偏差。</w:t>
      </w:r>
    </w:p>
    <w:p>
      <w:r>
        <w:t>三是销量不等于潜在需求。零销量可能反映需求、供给、产品生命周期或数据记录。没有真实 OOS 标签，无法确认缺货。四是属性解析和混杂。完整病例筛选会改变样本构成；同一 INN 不同剂型的剂量仍未必可比较，生产商、价格和渠道缺失限制解释。</w:t>
      </w:r>
    </w:p>
    <w:p>
      <w:r>
        <w:t>五是预测和分类的外推。只有五年历史，2023只提供一个冻结年份；短锚点和重叠未来窗口增加评价不确定性。树模型的类别编码只提供预测性编码，不能把其数值顺序视为治疗距离。六是区间校准。只有三个年度误差路径，不具备稳定尾部覆盖证据。</w:t>
      </w:r>
    </w:p>
    <w:p>
      <w:r>
        <w:t>七是经济决策范围。没有价格、成本、毛利、商业活动或战略重要性，因此没有计算利润、投资回报或停产建议。没有临床可替代性评估，不将观察到的同类提升用于患者治疗选择。</w:t>
      </w:r>
    </w:p>
    <w:p>
      <w:pPr>
        <w:pStyle w:val="Heading2"/>
      </w:pPr>
      <w:r>
        <w:t>建议新增的数据</w:t>
      </w:r>
    </w:p>
    <w:p>
      <w:r>
        <w:t>优先连接库存与供货事件、价格及渠道覆盖、厂家与促销投入、地区和外部市场规模、产品真实上市/退出时间。取得2024及以后实际销量后，应按预先锁定的代码进行新年度外部检验，而不是重新选择历史上最好看的模型。</w:t>
      </w:r>
    </w:p>
    <w:p>
      <w:r>
        <w:br w:type="page"/>
      </w:r>
    </w:p>
    <w:p>
      <w:pPr>
        <w:pStyle w:val="Heading1"/>
      </w:pPr>
      <w:r>
        <w:t>十八 复现方法与交付索引</w:t>
      </w:r>
    </w:p>
    <w:p>
      <w:r>
        <w:t>分析代码按数据审计、特征、组合、市场、需求形态、属性、机会、预测、层级、替代与决策拆分。所有 CSV 采用 UTF-8 BOM，可直接用 Excel 打开；长面板与中间矩阵使用 Parquet 和 NPY 保存。模型文件、选择记录与 QA 输出保留在项目中。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6854"/>
      </w:tblGrid>
      <w:tr>
        <w:trPr>
          <w:tblHeader/>
          <w:cantSplit/>
        </w:trPr>
        <w:tc>
          <w:tcPr>
            <w:tcW w:type="dxa" w:w="3312"/>
          </w:tcPr>
          <w:p>
            <w:pPr>
              <w:spacing w:after="80" w:before="80"/>
            </w:pPr>
            <w:r>
              <w:rPr>
                <w:sz w:val="17"/>
              </w:rPr>
              <w:t>内容</w:t>
            </w:r>
          </w:p>
        </w:tc>
        <w:tc>
          <w:tcPr>
            <w:tcW w:type="dxa" w:w="6854"/>
          </w:tcPr>
          <w:p>
            <w:pPr>
              <w:spacing w:after="80" w:before="80"/>
            </w:pPr>
            <w:r>
              <w:rPr>
                <w:sz w:val="17"/>
              </w:rPr>
              <w:t>位置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80"/>
            </w:pPr>
            <w:r>
              <w:rPr>
                <w:sz w:val="17"/>
              </w:rPr>
              <w:t>一键运行</w:t>
            </w:r>
          </w:p>
        </w:tc>
        <w:tc>
          <w:tcPr>
            <w:tcW w:type="dxa" w:w="6854"/>
          </w:tcPr>
          <w:p>
            <w:pPr>
              <w:spacing w:after="80" w:before="80"/>
            </w:pPr>
            <w:r>
              <w:rPr>
                <w:sz w:val="17"/>
              </w:rPr>
              <w:t>run_pipeline.py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80"/>
            </w:pPr>
            <w:r>
              <w:rPr>
                <w:sz w:val="17"/>
              </w:rPr>
              <w:t>模块化代码</w:t>
            </w:r>
          </w:p>
        </w:tc>
        <w:tc>
          <w:tcPr>
            <w:tcW w:type="dxa" w:w="6854"/>
          </w:tcPr>
          <w:p>
            <w:pPr>
              <w:spacing w:after="80" w:before="80"/>
            </w:pPr>
            <w:r>
              <w:rPr>
                <w:sz w:val="17"/>
              </w:rPr>
              <w:t>analysis/01 至 13，各模块职责见 README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80"/>
            </w:pPr>
            <w:r>
              <w:rPr>
                <w:sz w:val="17"/>
              </w:rPr>
              <w:t>十张核心表与辅助结果</w:t>
            </w:r>
          </w:p>
        </w:tc>
        <w:tc>
          <w:tcPr>
            <w:tcW w:type="dxa" w:w="6854"/>
          </w:tcPr>
          <w:p>
            <w:pPr>
              <w:spacing w:after="80" w:before="80"/>
            </w:pPr>
            <w:r>
              <w:rPr>
                <w:sz w:val="17"/>
              </w:rPr>
              <w:t>outputs/tables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80"/>
            </w:pPr>
            <w:r>
              <w:rPr>
                <w:sz w:val="17"/>
              </w:rPr>
              <w:t>八张核心图</w:t>
            </w:r>
          </w:p>
        </w:tc>
        <w:tc>
          <w:tcPr>
            <w:tcW w:type="dxa" w:w="6854"/>
          </w:tcPr>
          <w:p>
            <w:pPr>
              <w:spacing w:after="80" w:before="80"/>
            </w:pPr>
            <w:r>
              <w:rPr>
                <w:sz w:val="17"/>
              </w:rPr>
              <w:t>outputs/figures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80"/>
            </w:pPr>
            <w:r>
              <w:rPr>
                <w:sz w:val="17"/>
              </w:rPr>
              <w:t>模型与选型记录</w:t>
            </w:r>
          </w:p>
        </w:tc>
        <w:tc>
          <w:tcPr>
            <w:tcW w:type="dxa" w:w="6854"/>
          </w:tcPr>
          <w:p>
            <w:pPr>
              <w:spacing w:after="80" w:before="80"/>
            </w:pPr>
            <w:r>
              <w:rPr>
                <w:sz w:val="17"/>
              </w:rPr>
              <w:t>outputs/models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80"/>
            </w:pPr>
            <w:r>
              <w:rPr>
                <w:sz w:val="17"/>
              </w:rPr>
              <w:t>源文件指纹与核验</w:t>
            </w:r>
          </w:p>
        </w:tc>
        <w:tc>
          <w:tcPr>
            <w:tcW w:type="dxa" w:w="6854"/>
          </w:tcPr>
          <w:p>
            <w:pPr>
              <w:spacing w:after="80" w:before="80"/>
            </w:pPr>
            <w:r>
              <w:rPr>
                <w:sz w:val="17"/>
              </w:rPr>
              <w:t>outputs/qa</w:t>
            </w:r>
          </w:p>
        </w:tc>
      </w:tr>
      <w:tr>
        <w:trPr>
          <w:cantSplit/>
        </w:trPr>
        <w:tc>
          <w:tcPr>
            <w:tcW w:type="dxa" w:w="3312"/>
          </w:tcPr>
          <w:p>
            <w:pPr>
              <w:spacing w:after="80" w:before="80"/>
            </w:pPr>
            <w:r>
              <w:rPr>
                <w:sz w:val="17"/>
              </w:rPr>
              <w:t>中文报告</w:t>
            </w:r>
          </w:p>
        </w:tc>
        <w:tc>
          <w:tcPr>
            <w:tcW w:type="dxa" w:w="6854"/>
          </w:tcPr>
          <w:p>
            <w:pPr>
              <w:spacing w:after="80" w:before="80"/>
            </w:pPr>
            <w:r>
              <w:rPr>
                <w:sz w:val="17"/>
              </w:rPr>
              <w:t>report/中文分析报告.docx 和 .md</w:t>
            </w:r>
          </w:p>
        </w:tc>
      </w:tr>
    </w:tbl>
    <w:p>
      <w:r>
        <w:t>建议复现顺序：安装 requirements.txt；运行 python run_pipeline.py；运行 python analysis/verify_pipeline.py。也可用 --from-stage 和 --to-stage 从指定阶段重新执行。每个预测模型的选型配置先落盘，再计算留出结果，防止按2023年排名事后换模。</w:t>
      </w:r>
    </w:p>
    <w:p>
      <w:pPr>
        <w:pStyle w:val="Heading2"/>
      </w:pPr>
      <w:r>
        <w:t>资料与方法来源</w:t>
      </w:r>
    </w:p>
    <w:p>
      <w:r>
        <w:t>原始数据：teva_sales.csv，2019年1月至2023年12月。背景：Laura Tolosi-Halacheva，Machine Learning applications at Teva Pharma with focus on forecasting，2024年3月，重点参考第17至24页及第28至31页。</w:t>
      </w:r>
    </w:p>
    <w:p>
      <w:r>
        <w:t>预测验证和层级一致性参考 Hyndman 与 Athanasopoulos 的 Forecasting: Principles and Practice 第三版：https://otexts.com/fpp3/tscv.html 及 https://otexts.com/fpp3/reconciliation.html。</w:t>
      </w:r>
    </w:p>
    <w:p>
      <w:r>
        <w:t>置换重要度和轮廓系数实现参考 scikit-learn 官方文档：https://scikit-learn.org/stable/modules/permutation_importance.html 及 https://scikit-learn.org/stable/modules/generated/sklearn.metrics.silhouette_score.html。软件版本记录见 requirements.txt 和 QA 运行清单。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药品组合分析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40"/>
    </w:pPr>
    <w:rPr>
      <w:rFonts w:ascii="Microsoft YaHei" w:hAnsi="Microsoft YaHei" w:eastAsia="Microsoft YaHei"/>
      <w:color w:val="1724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42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4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color w:val="17242D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17242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药品组合市场分析与需求预测</dc:title>
  <dc:subject>2019至2023全量分析与2024历史规划预测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