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7.png" ContentType="image/png"/>
  <Override PartName="/word/media/rId2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17.</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 sich bereits jetzt an die WCAG 2.1 zu halten, da diese zu der Version 2.0 abwärtskompatibel gestaltet worden ist.</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richtlinie-20162016-eu-über-den-barrierefreien-zugang-zu-den-websites-und-mobilen-anwendungen-öffentlicher-stellen"/>
      <w:r>
        <w:t xml:space="preserve">Richtlinie 2016/2016 EU über den barrierefreien Zugang zu den Websites und mobilen Anwendungen öffentlicher Stellen</w:t>
      </w:r>
      <w:bookmarkEnd w:id="166"/>
    </w:p>
    <w:p>
      <w:pPr>
        <w:pStyle w:val="FirstParagraph"/>
      </w:pPr>
      <w:r>
        <w:t xml:space="preserve">Mit der Richtlinie 2016/2102 EU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Richtlinie 2016/2102 EU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Richtlinie 2016/2102 EU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richtlinie-20162102-eu"/>
      <w:r>
        <w:t xml:space="preserve">Barrierefreiheitserklärung gemäß der Richtlinie 2016/2102 EU</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bestandsaufnahme-und-innerorganistorische-gestaltung"/>
      <w:r>
        <w:t xml:space="preserve">Bestandsaufnahme und innerorganistorische Gestaltung</w:t>
      </w:r>
      <w:bookmarkEnd w:id="174"/>
    </w:p>
    <w:p>
      <w:pPr>
        <w:pStyle w:val="FirstParagraph"/>
      </w:pPr>
      <w:r>
        <w:t xml:space="preserve">Um auch den Gestaltungsspielraum, den die Richtlinie 2016/2102 EU beitet auszuschpöpfen, ist im ersten Schritt eine Bestandsaufanhme der wichtigsten Webseiten, Social-Media-Kanäle und Verwaltungsdokumente durchführen. Erste Schritte erhalten Sie im Kapitel</w:t>
      </w:r>
      <w:r>
        <w:t xml:space="preserve"> </w:t>
      </w:r>
      <w:r>
        <w:t xml:space="preserve">. Optimal beiten Sie für die Mitglieder der Hochschule Veranstaltungen zum Thema Barrierefreiheit an, und setzen ein Germium zur Begleitung der Umsetzungsprojekte ein und verzahnen Barrirefreiheit in die Schulungsprogramme. Gerade für Webseiten wäre zu Prüfen, ob eine höhere Konformität der Inhalte durch einen Freigabeprozess oder zentral organisierte Redaktion erreichbar ist.</w:t>
      </w:r>
    </w:p>
    <w:p>
      <w:pPr>
        <w:pStyle w:val="berschrift4"/>
      </w:pPr>
      <w:bookmarkStart w:id="175" w:name="feeback-mechanismus"/>
      <w:r>
        <w:t xml:space="preserve">Feeback-Mechanismus</w:t>
      </w:r>
      <w:bookmarkEnd w:id="175"/>
    </w:p>
    <w:p>
      <w:pPr>
        <w:pStyle w:val="FirstParagraph"/>
      </w:pPr>
      <w:r>
        <w:t xml:space="preserve">Über die konkrete Umsetzung des Feedback-Verfahrens äußert sich die Richtlinie 2016/2102 EU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angemessenen Frist erfolgen. Bei einer nicht zufriedenstellenden Antwort können Betroffene ein Durchsetzungsverfahren einleiten.</w:t>
      </w:r>
    </w:p>
    <w:p>
      <w:pPr>
        <w:pStyle w:val="berschrift3"/>
      </w:pPr>
      <w:bookmarkStart w:id="176" w:name="fristen"/>
      <w:r>
        <w:t xml:space="preserve">Fristen </w:t>
      </w:r>
      <w:bookmarkEnd w:id="176"/>
    </w:p>
    <w:p>
      <w:pPr>
        <w:pStyle w:val="FirstParagraph"/>
      </w:pPr>
      <w:r>
        <w:t xml:space="preserve">Die Barrierefreiheit war bereits nach nationalem Recht umzusetzen. Werden jedoch die neuen Fristen aus der Richtlinie 2016/2102 EU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berschrift4"/>
      </w:pPr>
      <w:bookmarkStart w:id="178" w:name="ausnahmen"/>
      <w:r>
        <w:t xml:space="preserve">Ausnahmen</w:t>
      </w:r>
      <w:bookmarkEnd w:id="178"/>
    </w:p>
    <w:p>
      <w:pPr>
        <w:pStyle w:val="FirstParagraph"/>
      </w:pPr>
      <w:r>
        <w:t xml:space="preserve">Die Richtlinie 2016/2102 EU gewährt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9" w:name="rückausnahmen"/>
      <w:r>
        <w:t xml:space="preserve">Rückausnahmen</w:t>
      </w:r>
      <w:bookmarkEnd w:id="179"/>
    </w:p>
    <w:p>
      <w:pPr>
        <w:pStyle w:val="FirstParagraph"/>
      </w:pPr>
      <w:r>
        <w:t xml:space="preserve">Die Richtlinie 2016/2012 EU hat einen kleineren Anwendungsbereich als das BayBGG. Während die Richtlinie 2016/2102 EU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80" w:name="verhältnismäßigkeitsausnahme"/>
      <w:r>
        <w:t xml:space="preserve">Verhältnismäßigkeitsausnahme</w:t>
      </w:r>
      <w:bookmarkEnd w:id="180"/>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Richtlinie 2016/2012 EU,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abgelehnt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 Hier können auch die Ausnahmen der Richtlinie 2016/2102 EU wieder hineingelesen werden, wie sie etwa für Karten oder ditalisierte Kulturgüter vorgesehen sind.</w:t>
      </w:r>
    </w:p>
    <w:p>
      <w:pPr>
        <w:pStyle w:val="Textkrper"/>
      </w:pPr>
      <w:r>
        <w:t xml:space="preserve">Mit Blick auf Art. 5 der Richtlinie 2016/2012 EU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entstehen.</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1" w:name="durchsetzungsmöglichkeiten-für-betroffene"/>
      <w:r>
        <w:t xml:space="preserve">Durchsetzungsmöglichkeiten für Betroffene</w:t>
      </w:r>
      <w:bookmarkEnd w:id="181"/>
    </w:p>
    <w:p>
      <w:pPr>
        <w:pStyle w:val="FirstParagraph"/>
      </w:pPr>
      <w:r>
        <w:t xml:space="preserve">Die Ausgestaltung der neuen Richtlinien wird in einer angepassten BayBITV oder einer neuen Verordnung erfolgen.</w:t>
      </w:r>
    </w:p>
    <w:p>
      <w:pPr>
        <w:pStyle w:val="berschrift2"/>
      </w:pPr>
      <w:bookmarkStart w:id="182" w:name="vertragliche-anforderungen-bei-auftragsarbeiten"/>
      <w:r>
        <w:t xml:space="preserve">Vertragliche Anforderungen bei Auftragsarbeiten</w:t>
      </w:r>
      <w:bookmarkEnd w:id="182"/>
    </w:p>
    <w:p>
      <w:pPr>
        <w:pStyle w:val="FirstParagraph"/>
      </w:pPr>
      <w:r>
        <w:t xml:space="preserve">Werden Webseiten nicht hochschulintern, sondern extern entwickelt oder designt,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3" w:name="die-schritte-zum-auftrag-vereinfachte-darstellung"/>
      <w:r>
        <w:t xml:space="preserve">Die Schritte zum Auftrag (vereinfachte Darstellung)</w:t>
      </w:r>
      <w:bookmarkEnd w:id="183"/>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4">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5" w:name="die-schritte-nach-dem-auftrag"/>
      <w:r>
        <w:t xml:space="preserve">Die Schritte nach dem Auftrag</w:t>
      </w:r>
      <w:bookmarkEnd w:id="185"/>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von ca. zwei Wochen bis einem Monat zur Umsetzung der Barrierefreiheit</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numPr>
          <w:numId w:val="1058"/>
          <w:ilvl w:val="1"/>
        </w:numPr>
      </w:pPr>
      <w:r>
        <w:t xml:space="preserve">Verlangen eines Vorschusses in Höhe der Kosten für die Herstellung der Barrierefreiheit</w:t>
      </w:r>
    </w:p>
    <w:p>
      <w:pPr>
        <w:numPr>
          <w:numId w:val="1058"/>
          <w:ilvl w:val="1"/>
        </w:numPr>
      </w:pPr>
      <w:r>
        <w:t xml:space="preserve">Alternativ vom Vertrag auflösen oder teilweise die Vergütung zurückfordern</w:t>
      </w:r>
    </w:p>
    <w:p>
      <w:pPr>
        <w:numPr>
          <w:numId w:val="1058"/>
          <w:ilvl w:val="1"/>
        </w:numPr>
      </w:pPr>
      <w:r>
        <w:t xml:space="preserve">Geltendmachen von Schadensersatzansprüchen</w:t>
      </w:r>
    </w:p>
    <w:p>
      <w:pPr>
        <w:pStyle w:val="berschrift2"/>
      </w:pPr>
      <w:bookmarkStart w:id="186" w:name="weitere-pflichtangaben-auf-webseiten"/>
      <w:r>
        <w:t xml:space="preserve">Weitere Pflichtangaben auf Webseiten</w:t>
      </w:r>
      <w:bookmarkEnd w:id="186"/>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87" w:name="impressum"/>
      <w:r>
        <w:t xml:space="preserve">Impressum</w:t>
      </w:r>
      <w:bookmarkEnd w:id="187"/>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8">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9" w:name="datenschutzerklärung"/>
      <w:r>
        <w:t xml:space="preserve">Datenschutzerklärung</w:t>
      </w:r>
      <w:bookmarkEnd w:id="189"/>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90" w:name="handlungsempfehlungen"/>
      <w:r>
        <w:t xml:space="preserve">Handlungsempfehlungen</w:t>
      </w:r>
      <w:bookmarkEnd w:id="190"/>
    </w:p>
    <w:p>
      <w:pPr>
        <w:pStyle w:val="Compact"/>
        <w:numPr>
          <w:numId w:val="1059"/>
          <w:ilvl w:val="0"/>
        </w:numPr>
      </w:pPr>
      <w:r>
        <w:t xml:space="preserve">Abhalten einer Auftaktveranstaltung zur Barrierefreiheit</w:t>
      </w:r>
    </w:p>
    <w:p>
      <w:pPr>
        <w:pStyle w:val="Compact"/>
        <w:numPr>
          <w:numId w:val="1059"/>
          <w:ilvl w:val="0"/>
        </w:numPr>
      </w:pPr>
      <w:r>
        <w:t xml:space="preserve">Einsetzen eines Gremiums zur Umsetzung</w:t>
      </w:r>
    </w:p>
    <w:p>
      <w:pPr>
        <w:pStyle w:val="Compact"/>
        <w:numPr>
          <w:numId w:val="1060"/>
          <w:ilvl w:val="1"/>
        </w:numPr>
      </w:pPr>
      <w:r>
        <w:t xml:space="preserve">Festlegen von Verantwortlichkeiten für die Umsetzung der Barrierefreiheit</w:t>
      </w:r>
    </w:p>
    <w:p>
      <w:pPr>
        <w:pStyle w:val="Compact"/>
        <w:numPr>
          <w:numId w:val="1060"/>
          <w:ilvl w:val="1"/>
        </w:numPr>
      </w:pPr>
      <w:r>
        <w:t xml:space="preserve">Prüfung, ob eine Inhaltsfreigabe über eine zentrale Stelle koordiniert werden könnte</w:t>
      </w:r>
    </w:p>
    <w:p>
      <w:pPr>
        <w:pStyle w:val="Compact"/>
        <w:numPr>
          <w:numId w:val="1060"/>
          <w:ilvl w:val="1"/>
        </w:numPr>
      </w:pPr>
      <w:r>
        <w:t xml:space="preserve">Auswahl der Webseiten, die gemäß Annex C der Europäischen Norm EN 301 549 V1.1.2 geprüft werden</w:t>
      </w:r>
    </w:p>
    <w:p>
      <w:pPr>
        <w:pStyle w:val="Compact"/>
        <w:numPr>
          <w:numId w:val="1059"/>
          <w:ilvl w:val="0"/>
        </w:numPr>
      </w:pPr>
      <w:r>
        <w:t xml:space="preserve">Prüfung führender Systeme und aller neuen</w:t>
      </w:r>
    </w:p>
    <w:p>
      <w:pPr>
        <w:pStyle w:val="Compact"/>
        <w:numPr>
          <w:numId w:val="1059"/>
          <w:ilvl w:val="0"/>
        </w:numPr>
      </w:pPr>
      <w:r>
        <w:t xml:space="preserve">Konformität zur Europäischen Norm EN 301 549 V1.1.2 in der Regel als verpflichtendes Kriterium für Beschaffungen festlegen</w:t>
      </w:r>
    </w:p>
    <w:p>
      <w:pPr>
        <w:pStyle w:val="Compact"/>
        <w:numPr>
          <w:numId w:val="1059"/>
          <w:ilvl w:val="0"/>
        </w:numPr>
      </w:pPr>
      <w:r>
        <w:t xml:space="preserve">Beständige Information und Sensiblisierung für das Thema</w:t>
      </w:r>
    </w:p>
    <w:p>
      <w:pPr>
        <w:pStyle w:val="Compact"/>
        <w:numPr>
          <w:numId w:val="1059"/>
          <w:ilvl w:val="0"/>
        </w:numPr>
      </w:pPr>
      <w:r>
        <w:t xml:space="preserve">Barrierefreiheitserklärung und Feedback-Mechanismus auf Webseite und in mobilen Anwendungen veröffentlichen</w:t>
      </w:r>
    </w:p>
    <w:p>
      <w:pPr>
        <w:pStyle w:val="Compact"/>
        <w:numPr>
          <w:numId w:val="1059"/>
          <w:ilvl w:val="0"/>
        </w:numPr>
      </w:pPr>
      <w:r>
        <w:t xml:space="preserve">Etablieren von Schulungsangeboten</w:t>
      </w:r>
    </w:p>
    <w:p>
      <w:pPr>
        <w:pStyle w:val="Compact"/>
        <w:numPr>
          <w:numId w:val="1059"/>
          <w:ilvl w:val="0"/>
        </w:numPr>
      </w:pPr>
      <w:r>
        <w:t xml:space="preserve">Regelmäßiger hochschulübergreifender fachlicher Austausch der Wissensträger</w:t>
      </w:r>
    </w:p>
    <w:p>
      <w:pPr>
        <w:pStyle w:val="berschrift2"/>
      </w:pPr>
      <w:bookmarkStart w:id="191" w:name="vertiefung-7"/>
      <w:r>
        <w:t xml:space="preserve">Vertiefung</w:t>
      </w:r>
      <w:bookmarkEnd w:id="191"/>
    </w:p>
    <w:p>
      <w:pPr>
        <w:pStyle w:val="Compact"/>
        <w:numPr>
          <w:numId w:val="1061"/>
          <w:ilvl w:val="0"/>
        </w:numPr>
      </w:pPr>
      <w:r>
        <w:t xml:space="preserve">Stabsstelle IT-Recht für die bayerischen staatlichen Hochschulen und Universitäten,</w:t>
      </w:r>
      <w:r>
        <w:t xml:space="preserve"> </w:t>
      </w:r>
      <w:hyperlink r:id="rId184">
        <w:r>
          <w:rPr>
            <w:rStyle w:val="Hyperlink"/>
          </w:rPr>
          <w:t xml:space="preserve">https://www.rz.uni-wuerzburg.de/dienste/it-recht/</w:t>
        </w:r>
      </w:hyperlink>
    </w:p>
    <w:p>
      <w:pPr>
        <w:pStyle w:val="berschrift1"/>
      </w:pPr>
      <w:bookmarkStart w:id="192" w:name="satzungen"/>
      <w:r>
        <w:t xml:space="preserve">Satzungen</w:t>
      </w:r>
      <w:bookmarkEnd w:id="192"/>
    </w:p>
    <w:p>
      <w:pPr>
        <w:pStyle w:val="berschrift2"/>
      </w:pPr>
      <w:bookmarkStart w:id="193" w:name="aufgabenbereich-und-zielgruppe-3"/>
      <w:r>
        <w:t xml:space="preserve">Aufgabenbereich und Zielgruppe</w:t>
      </w:r>
      <w:bookmarkEnd w:id="193"/>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2"/>
          <w:ilvl w:val="0"/>
        </w:numPr>
      </w:pPr>
      <w:r>
        <w:t xml:space="preserve">Prüfungsämter</w:t>
      </w:r>
    </w:p>
    <w:p>
      <w:pPr>
        <w:pStyle w:val="Compact"/>
        <w:numPr>
          <w:numId w:val="106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4" w:name="grundlagen-3"/>
      <w:r>
        <w:t xml:space="preserve">Grundlagen</w:t>
      </w:r>
      <w:bookmarkEnd w:id="194"/>
    </w:p>
    <w:p>
      <w:pPr>
        <w:pStyle w:val="FirstParagraph"/>
      </w:pPr>
      <w:r>
        <w:t xml:space="preserve">Hochschulen gestalten viele ihrer eigenen und staatlichen Aufgaben durch Satzungen oder auch Ordnungen. Anders als der Gesetzgeber, der nur durch Menschenrechte, das Grundgesetz und höherrangiges Recht betrachtet,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195" w:name="umsetzung-3"/>
      <w:r>
        <w:t xml:space="preserve">Umsetzung</w:t>
      </w:r>
      <w:bookmarkEnd w:id="195"/>
    </w:p>
    <w:p>
      <w:pPr>
        <w:pStyle w:val="berschrift3"/>
      </w:pPr>
      <w:bookmarkStart w:id="196" w:name="allgemeines-zu-satzungen-und-prüfungsordnungen"/>
      <w:r>
        <w:t xml:space="preserve">Allgemeines zu Satzungen und Prüfungsordnungen</w:t>
      </w:r>
      <w:bookmarkEnd w:id="196"/>
    </w:p>
    <w:p>
      <w:pPr>
        <w:pStyle w:val="FirstParagraph"/>
      </w:pPr>
      <w:r>
        <w:t xml:space="preserve">Zu prüfen wäre, ob eine grundsätzliche Barrierefreiheit schon durch den Einsatz der</w:t>
      </w:r>
      <w:r>
        <w:t xml:space="preserve"> </w:t>
      </w:r>
      <w:hyperlink r:id="rId197">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8" w:name="neue-satzungen-und-prüfungsordnungen"/>
      <w:r>
        <w:t xml:space="preserve">Neue Satzungen und Prüfungsordnungen</w:t>
      </w:r>
      <w:bookmarkEnd w:id="198"/>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9" w:name="änderungssatzungen-und-änderungen-in-prüfungsordnungen"/>
      <w:r>
        <w:t xml:space="preserve">Änderungssatzungen und Änderungen in Prüfungsordnungen</w:t>
      </w:r>
      <w:bookmarkEnd w:id="199"/>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200" w:name="ordnungen-und-sonstige-rechtsdokumente"/>
      <w:r>
        <w:t xml:space="preserve">Ordnungen und sonstige Rechtsdokumente</w:t>
      </w:r>
      <w:bookmarkEnd w:id="200"/>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1" w:name="empfehlung"/>
      <w:r>
        <w:t xml:space="preserve">Empfehlung</w:t>
      </w:r>
      <w:bookmarkEnd w:id="201"/>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2" w:name="rechtsquellen"/>
      <w:r>
        <w:t xml:space="preserve">Rechtsquellen</w:t>
      </w:r>
      <w:bookmarkEnd w:id="202"/>
    </w:p>
    <w:p>
      <w:pPr>
        <w:pStyle w:val="berschrift3"/>
      </w:pPr>
      <w:bookmarkStart w:id="203" w:name="grundgesetz"/>
      <w:r>
        <w:t xml:space="preserve">Grundgesetz</w:t>
      </w:r>
      <w:bookmarkEnd w:id="203"/>
    </w:p>
    <w:p>
      <w:pPr>
        <w:pStyle w:val="Compact"/>
        <w:numPr>
          <w:numId w:val="1063"/>
          <w:ilvl w:val="0"/>
        </w:numPr>
      </w:pPr>
      <w:r>
        <w:t xml:space="preserve">Art. 3 Abs. 3 S. 2,</w:t>
      </w:r>
      <w:r>
        <w:t xml:space="preserve"> </w:t>
      </w:r>
      <w:hyperlink r:id="rId204">
        <w:r>
          <w:rPr>
            <w:rStyle w:val="Hyperlink"/>
          </w:rPr>
          <w:t xml:space="preserve">https://www.gesetze-im-internet.de/gg/art_3.html</w:t>
        </w:r>
      </w:hyperlink>
    </w:p>
    <w:p>
      <w:pPr>
        <w:pStyle w:val="Compact"/>
        <w:numPr>
          <w:numId w:val="1063"/>
          <w:ilvl w:val="0"/>
        </w:numPr>
      </w:pPr>
      <w:r>
        <w:t xml:space="preserve">Art. 5 Abs. 1 S. 1,</w:t>
      </w:r>
      <w:r>
        <w:t xml:space="preserve"> </w:t>
      </w:r>
      <w:hyperlink r:id="rId205">
        <w:r>
          <w:rPr>
            <w:rStyle w:val="Hyperlink"/>
          </w:rPr>
          <w:t xml:space="preserve">https://www.gesetze-im-internet.de/gg/art_5.html</w:t>
        </w:r>
      </w:hyperlink>
    </w:p>
    <w:p>
      <w:pPr>
        <w:pStyle w:val="berschrift3"/>
      </w:pPr>
      <w:bookmarkStart w:id="206" w:name="völkerrechtliche-vereinbarungen-und-verträge"/>
      <w:r>
        <w:t xml:space="preserve">Völkerrechtliche Vereinbarungen und Verträge</w:t>
      </w:r>
      <w:bookmarkEnd w:id="206"/>
    </w:p>
    <w:p>
      <w:pPr>
        <w:pStyle w:val="Compact"/>
        <w:numPr>
          <w:numId w:val="1064"/>
          <w:ilvl w:val="0"/>
        </w:numPr>
      </w:pPr>
      <w:r>
        <w:t xml:space="preserve">Art. 21 Buchstabe a Übereinkommen der Vereinten Nationen über die Rechte von Menschen mit Behinderungen,</w:t>
      </w:r>
      <w:r>
        <w:t xml:space="preserve"> </w:t>
      </w:r>
      <w:hyperlink r:id="rId207">
        <w:r>
          <w:rPr>
            <w:rStyle w:val="Hyperlink"/>
          </w:rPr>
          <w:t xml:space="preserve">http://www.bmas.de/SharedDocs/Downloads/DE/PDF-Publikationen/a729-un-konvention.pdf?__blob=publicationFile</w:t>
        </w:r>
      </w:hyperlink>
    </w:p>
    <w:p>
      <w:pPr>
        <w:pStyle w:val="berschrift3"/>
      </w:pPr>
      <w:bookmarkStart w:id="208" w:name="bundesgesetze"/>
      <w:r>
        <w:t xml:space="preserve">Bundesgesetze</w:t>
      </w:r>
      <w:bookmarkEnd w:id="208"/>
    </w:p>
    <w:p>
      <w:pPr>
        <w:pStyle w:val="FirstParagraph"/>
      </w:pPr>
      <w:r>
        <w:t xml:space="preserve">Gemeinsame Geschäftsordnung der Bundesministerien,</w:t>
      </w:r>
      <w:r>
        <w:t xml:space="preserve"> </w:t>
      </w:r>
      <w:hyperlink r:id="rId209">
        <w:r>
          <w:rPr>
            <w:rStyle w:val="Hyperlink"/>
          </w:rPr>
          <w:t xml:space="preserve">http://www.verwaltungsvorschriften-im-internet.de/bsvwvbund_21072009_O11313012.htm</w:t>
        </w:r>
      </w:hyperlink>
    </w:p>
    <w:p>
      <w:pPr>
        <w:pStyle w:val="Compact"/>
        <w:numPr>
          <w:numId w:val="1065"/>
          <w:ilvl w:val="0"/>
        </w:numPr>
      </w:pPr>
      <w:r>
        <w:t xml:space="preserve">§ 42 Abs. 6 für barrierefreie Gesetzesentwürfe</w:t>
      </w:r>
    </w:p>
    <w:p>
      <w:pPr>
        <w:pStyle w:val="Compact"/>
        <w:numPr>
          <w:numId w:val="1065"/>
          <w:ilvl w:val="0"/>
        </w:numPr>
      </w:pPr>
      <w:r>
        <w:t xml:space="preserve">§ 62 Abs. 2 für barrierefreie Verordnungsentwürfe</w:t>
      </w:r>
    </w:p>
    <w:p>
      <w:pPr>
        <w:pStyle w:val="berschrift3"/>
      </w:pPr>
      <w:bookmarkStart w:id="210" w:name="bayerische-verfassung"/>
      <w:r>
        <w:t xml:space="preserve">Bayerische Verfassung</w:t>
      </w:r>
      <w:bookmarkEnd w:id="210"/>
    </w:p>
    <w:p>
      <w:pPr>
        <w:pStyle w:val="Compact"/>
        <w:numPr>
          <w:numId w:val="1066"/>
          <w:ilvl w:val="0"/>
        </w:numPr>
      </w:pPr>
      <w:r>
        <w:t xml:space="preserve">Art. 118a S. 1</w:t>
      </w:r>
      <w:r>
        <w:t xml:space="preserve"> </w:t>
      </w:r>
      <w:hyperlink r:id="rId211">
        <w:r>
          <w:rPr>
            <w:rStyle w:val="Hyperlink"/>
          </w:rPr>
          <w:t xml:space="preserve">http://www.gesetze-bayern.de/Content/Document/BayVerf-118a</w:t>
        </w:r>
      </w:hyperlink>
    </w:p>
    <w:p>
      <w:pPr>
        <w:pStyle w:val="berschrift3"/>
      </w:pPr>
      <w:bookmarkStart w:id="212" w:name="bayerisches-hochschulgesetz"/>
      <w:r>
        <w:t xml:space="preserve">Bayerisches Hochschulgesetz</w:t>
      </w:r>
      <w:bookmarkEnd w:id="212"/>
    </w:p>
    <w:p>
      <w:pPr>
        <w:pStyle w:val="Compact"/>
        <w:numPr>
          <w:numId w:val="1067"/>
          <w:ilvl w:val="0"/>
        </w:numPr>
      </w:pPr>
      <w:r>
        <w:t xml:space="preserve">Art. 2 Abs. 3 S. 3 und 4,</w:t>
      </w:r>
      <w:r>
        <w:t xml:space="preserve"> </w:t>
      </w:r>
      <w:hyperlink r:id="rId213">
        <w:r>
          <w:rPr>
            <w:rStyle w:val="Hyperlink"/>
          </w:rPr>
          <w:t xml:space="preserve">http://www.gesetze-bayern.de/Content/Document/BayHSchG-2</w:t>
        </w:r>
      </w:hyperlink>
    </w:p>
    <w:p>
      <w:pPr>
        <w:pStyle w:val="Compact"/>
        <w:numPr>
          <w:numId w:val="1067"/>
          <w:ilvl w:val="0"/>
        </w:numPr>
      </w:pPr>
      <w:r>
        <w:t xml:space="preserve">Art. 13 Abs. 3 S. 2,</w:t>
      </w:r>
      <w:r>
        <w:t xml:space="preserve"> </w:t>
      </w:r>
      <w:hyperlink r:id="rId214">
        <w:r>
          <w:rPr>
            <w:rStyle w:val="Hyperlink"/>
          </w:rPr>
          <w:t xml:space="preserve">http://www.gesetze-bayern.de/Content/Document/BayHSchG-13</w:t>
        </w:r>
      </w:hyperlink>
    </w:p>
    <w:p>
      <w:pPr>
        <w:pStyle w:val="Compact"/>
        <w:numPr>
          <w:numId w:val="1067"/>
          <w:ilvl w:val="0"/>
        </w:numPr>
      </w:pPr>
      <w:r>
        <w:t xml:space="preserve">Verordnung über die Bekanntmachung von Hochschulsatzungen,</w:t>
      </w:r>
      <w:r>
        <w:t xml:space="preserve"> </w:t>
      </w:r>
      <w:hyperlink r:id="rId215">
        <w:r>
          <w:rPr>
            <w:rStyle w:val="Hyperlink"/>
          </w:rPr>
          <w:t xml:space="preserve">http://www.gesetze-bayern.de/Content/Document/BayHSchBekV/true</w:t>
        </w:r>
      </w:hyperlink>
    </w:p>
    <w:p>
      <w:pPr>
        <w:pStyle w:val="berschrift2"/>
      </w:pPr>
      <w:bookmarkStart w:id="216" w:name="vertiefung-8"/>
      <w:r>
        <w:t xml:space="preserve">Vertiefung</w:t>
      </w:r>
      <w:bookmarkEnd w:id="216"/>
    </w:p>
    <w:p>
      <w:pPr>
        <w:pStyle w:val="Compact"/>
        <w:numPr>
          <w:numId w:val="1068"/>
          <w:ilvl w:val="0"/>
        </w:numPr>
      </w:pPr>
      <w:r>
        <w:t xml:space="preserve">Handbuch der Rechtsförmigkeit,</w:t>
      </w:r>
      <w:r>
        <w:t xml:space="preserve"> </w:t>
      </w:r>
      <w:hyperlink r:id="rId217">
        <w:r>
          <w:rPr>
            <w:rStyle w:val="Hyperlink"/>
          </w:rPr>
          <w:t xml:space="preserve">http://hdr.bmj.de/vorwort.html</w:t>
        </w:r>
      </w:hyperlink>
    </w:p>
    <w:p>
      <w:pPr>
        <w:pStyle w:val="Compact"/>
        <w:numPr>
          <w:numId w:val="1068"/>
          <w:ilvl w:val="0"/>
        </w:numPr>
      </w:pPr>
      <w:r>
        <w:t xml:space="preserve">BeckOK HochschulR Bayern/Leiher BayHSchG Art. 13,</w:t>
      </w:r>
      <w:r>
        <w:t xml:space="preserve"> </w:t>
      </w:r>
      <w:hyperlink r:id="rId218">
        <w:r>
          <w:rPr>
            <w:rStyle w:val="Hyperlink"/>
          </w:rPr>
          <w:t xml:space="preserve">https://beck-online.beck.de/</w:t>
        </w:r>
      </w:hyperlink>
    </w:p>
    <w:p>
      <w:pPr>
        <w:pStyle w:val="berschrift1"/>
      </w:pPr>
      <w:bookmarkStart w:id="219" w:name="test-zur-barrierefreiheit"/>
      <w:r>
        <w:t xml:space="preserve">Test zur Barrierefreiheit</w:t>
      </w:r>
      <w:bookmarkEnd w:id="219"/>
    </w:p>
    <w:p>
      <w:pPr>
        <w:pStyle w:val="FirstParagraph"/>
      </w:pPr>
      <w:r>
        <w:t xml:space="preserve">Dieses Kapitel soll eine schnelle Hilfe und Übersicht zur Prüfung der Barrierefreiheit geben.</w:t>
      </w:r>
    </w:p>
    <w:p>
      <w:pPr>
        <w:pStyle w:val="berschrift2"/>
      </w:pPr>
      <w:bookmarkStart w:id="220" w:name="schnelle-jedermann-sichtprüfung"/>
      <w:r>
        <w:t xml:space="preserve">Schnelle</w:t>
      </w:r>
      <w:r>
        <w:t xml:space="preserve"> </w:t>
      </w:r>
      <w:r>
        <w:t xml:space="preserve">“</w:t>
      </w:r>
      <w:r>
        <w:t xml:space="preserve">Jedermann</w:t>
      </w:r>
      <w:r>
        <w:t xml:space="preserve">”</w:t>
      </w:r>
      <w:r>
        <w:t xml:space="preserve">-Sichtprüfung</w:t>
      </w:r>
      <w:bookmarkEnd w:id="220"/>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69"/>
          <w:ilvl w:val="0"/>
        </w:numPr>
      </w:pPr>
      <w:r>
        <w:rPr>
          <w:b/>
        </w:rPr>
        <w:t xml:space="preserve">Die Schrift auf 200% vergrößern!</w:t>
      </w:r>
    </w:p>
    <w:p>
      <w:pPr>
        <w:numPr>
          <w:numId w:val="1000"/>
          <w:ilvl w:val="0"/>
        </w:numPr>
      </w:pPr>
      <w:r>
        <w:t xml:space="preserve">Ist noch alles nutzbar und erkennbar? Kommt es zur Überlagerung von Innhalten, so dass diese nicht mehr erreicht oder gelesen werden können?</w:t>
      </w:r>
    </w:p>
    <w:p>
      <w:pPr>
        <w:numPr>
          <w:numId w:val="1069"/>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69"/>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69"/>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1">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2">
        <w:r>
          <w:rPr>
            <w:rStyle w:val="Hyperlink"/>
          </w:rPr>
          <w:t xml:space="preserve">Schnelltest zur Barrierefreiheit</w:t>
        </w:r>
      </w:hyperlink>
      <w:r>
        <w:t xml:space="preserve"> </w:t>
      </w:r>
      <w:r>
        <w:t xml:space="preserve">auf Webkrauts.de.</w:t>
      </w:r>
    </w:p>
    <w:p>
      <w:pPr>
        <w:pStyle w:val="berschrift2"/>
      </w:pPr>
      <w:bookmarkStart w:id="223" w:name="prüfung-zur-konformität-zur-wcag"/>
      <w:r>
        <w:t xml:space="preserve">Prüfung zur Konformität zur WCAG</w:t>
      </w:r>
      <w:bookmarkEnd w:id="223"/>
    </w:p>
    <w:p>
      <w:pPr>
        <w:pStyle w:val="FirstParagraph"/>
      </w:pPr>
      <w:r>
        <w:t xml:space="preserve">Das W3C hat eine eigene Seite zur Evaluierung der Barrierefreiheit eingerichtet: Unter</w:t>
      </w:r>
      <w:r>
        <w:t xml:space="preserve"> </w:t>
      </w:r>
      <w:hyperlink r:id="rId224">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25">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6">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7"/>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0"/>
          <w:ilvl w:val="0"/>
        </w:numPr>
      </w:pPr>
      <w:r>
        <w:t xml:space="preserve">Festlegung des Bewertungsumfangs</w:t>
      </w:r>
    </w:p>
    <w:p>
      <w:pPr>
        <w:pStyle w:val="Compact"/>
        <w:numPr>
          <w:numId w:val="1070"/>
          <w:ilvl w:val="0"/>
        </w:numPr>
      </w:pPr>
      <w:r>
        <w:t xml:space="preserve">Sichtung der zu bewertenden Webauftritts</w:t>
      </w:r>
    </w:p>
    <w:p>
      <w:pPr>
        <w:pStyle w:val="Compact"/>
        <w:numPr>
          <w:numId w:val="1070"/>
          <w:ilvl w:val="0"/>
        </w:numPr>
      </w:pPr>
      <w:r>
        <w:t xml:space="preserve">Festlegung eines repräsentativen Seitenauswahl</w:t>
      </w:r>
    </w:p>
    <w:p>
      <w:pPr>
        <w:pStyle w:val="Compact"/>
        <w:numPr>
          <w:numId w:val="1070"/>
          <w:ilvl w:val="0"/>
        </w:numPr>
      </w:pPr>
      <w:r>
        <w:t xml:space="preserve">Prüfung der Seitenauswahl</w:t>
      </w:r>
    </w:p>
    <w:p>
      <w:pPr>
        <w:pStyle w:val="Compact"/>
        <w:numPr>
          <w:numId w:val="107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8">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9">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30"/>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1" w:name="nachweis-gemäß-der-europäischen-norm-en-301-549-v1.1.2"/>
      <w:r>
        <w:t xml:space="preserve">Nachweis gemäß der Europäischen Norm EN 301 549 V1.1.2</w:t>
      </w:r>
      <w:bookmarkEnd w:id="231"/>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2" w:name="zertifikate"/>
      <w:r>
        <w:t xml:space="preserve">Zertifikate</w:t>
      </w:r>
      <w:bookmarkEnd w:id="232"/>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Gebrauch von Zertifikaten zu verzichten.</w:t>
      </w:r>
    </w:p>
    <w:p>
      <w:pPr>
        <w:pStyle w:val="berschrift1"/>
      </w:pPr>
      <w:bookmarkStart w:id="233" w:name="weitere-leitfäden-und-relevante-informationsangebote"/>
      <w:r>
        <w:t xml:space="preserve">Weitere Leitfäden und relevante Informationsangebote</w:t>
      </w:r>
      <w:bookmarkEnd w:id="233"/>
    </w:p>
    <w:p>
      <w:pPr>
        <w:pStyle w:val="berschrift2"/>
      </w:pPr>
      <w:bookmarkStart w:id="234" w:name="für-webseiten"/>
      <w:r>
        <w:t xml:space="preserve">Für Webseiten</w:t>
      </w:r>
      <w:bookmarkEnd w:id="234"/>
    </w:p>
    <w:p>
      <w:pPr>
        <w:pStyle w:val="Compact"/>
        <w:numPr>
          <w:numId w:val="1071"/>
          <w:ilvl w:val="0"/>
        </w:numPr>
      </w:pPr>
      <w:r>
        <w:t xml:space="preserve">The A11Y Project,</w:t>
      </w:r>
      <w:r>
        <w:t xml:space="preserve"> </w:t>
      </w:r>
      <w:hyperlink r:id="rId235">
        <w:r>
          <w:rPr>
            <w:rStyle w:val="Hyperlink"/>
          </w:rPr>
          <w:t xml:space="preserve">https://a11yproject.com/</w:t>
        </w:r>
      </w:hyperlink>
    </w:p>
    <w:p>
      <w:pPr>
        <w:pStyle w:val="Compact"/>
        <w:numPr>
          <w:numId w:val="1071"/>
          <w:ilvl w:val="0"/>
        </w:numPr>
      </w:pPr>
      <w:r>
        <w:t xml:space="preserve">Inklusion im World Wide Web – Eine Hilfestellung zur barrierefreien Gestaltung von Internetseiten, Bay. Staatsministerium für Bildung und Kultus, Wissenschaft und Kunst,</w:t>
      </w:r>
      <w:r>
        <w:t xml:space="preserve"> </w:t>
      </w:r>
      <w:hyperlink r:id="rId236">
        <w:r>
          <w:rPr>
            <w:rStyle w:val="Hyperlink"/>
          </w:rPr>
          <w:t xml:space="preserve">https://www.uni-wuerzburg.de/fileadmin/32500250/Inklusion_im_World_Wide_Web.pdf</w:t>
        </w:r>
      </w:hyperlink>
    </w:p>
    <w:p>
      <w:pPr>
        <w:pStyle w:val="Compact"/>
        <w:numPr>
          <w:numId w:val="1071"/>
          <w:ilvl w:val="0"/>
        </w:numPr>
      </w:pPr>
      <w:r>
        <w:t xml:space="preserve">Webinhalte barrierefrei pflegen – ein Leitfaden für Online-Redakteure, BIK,</w:t>
      </w:r>
      <w:r>
        <w:t xml:space="preserve"> </w:t>
      </w:r>
      <w:hyperlink r:id="rId237">
        <w:r>
          <w:rPr>
            <w:rStyle w:val="Hyperlink"/>
          </w:rPr>
          <w:t xml:space="preserve">http://www.bik-fuer-alle.de/webinhalte-barrierefrei-pflegen.html</w:t>
        </w:r>
      </w:hyperlink>
    </w:p>
    <w:p>
      <w:pPr>
        <w:pStyle w:val="Compact"/>
        <w:numPr>
          <w:numId w:val="1071"/>
          <w:ilvl w:val="0"/>
        </w:numPr>
      </w:pPr>
      <w:r>
        <w:t xml:space="preserve">Accessibility Cheatsheet von bitsofcode,,</w:t>
      </w:r>
      <w:r>
        <w:t xml:space="preserve"> </w:t>
      </w:r>
      <w:hyperlink r:id="rId238">
        <w:r>
          <w:rPr>
            <w:rStyle w:val="Hyperlink"/>
          </w:rPr>
          <w:t xml:space="preserve">https://bitsofco.de/the-accessibility-cheatsheet/</w:t>
        </w:r>
      </w:hyperlink>
    </w:p>
    <w:p>
      <w:pPr>
        <w:pStyle w:val="Compact"/>
        <w:numPr>
          <w:numId w:val="1071"/>
          <w:ilvl w:val="0"/>
        </w:numPr>
      </w:pPr>
      <w:r>
        <w:t xml:space="preserve">Accessibility Cheatsheet von Moritz Giessmann,</w:t>
      </w:r>
      <w:r>
        <w:t xml:space="preserve"> </w:t>
      </w:r>
      <w:hyperlink r:id="rId239">
        <w:r>
          <w:rPr>
            <w:rStyle w:val="Hyperlink"/>
          </w:rPr>
          <w:t xml:space="preserve">https://moritzgiessmann.de/accessibility-cheatsheet/</w:t>
        </w:r>
      </w:hyperlink>
    </w:p>
    <w:p>
      <w:pPr>
        <w:pStyle w:val="berschrift2"/>
      </w:pPr>
      <w:bookmarkStart w:id="240" w:name="social-media-kanäle"/>
      <w:r>
        <w:t xml:space="preserve">Social-Media-Kanäle</w:t>
      </w:r>
      <w:bookmarkEnd w:id="240"/>
    </w:p>
    <w:p>
      <w:pPr>
        <w:pStyle w:val="Compact"/>
        <w:numPr>
          <w:numId w:val="1072"/>
          <w:ilvl w:val="0"/>
        </w:numPr>
      </w:pPr>
      <w:r>
        <w:t xml:space="preserve">Facebook: Anbieterinformationen mit Umsetzungsempfehlungen,</w:t>
      </w:r>
      <w:r>
        <w:t xml:space="preserve"> </w:t>
      </w:r>
      <w:hyperlink r:id="rId241">
        <w:r>
          <w:rPr>
            <w:rStyle w:val="Hyperlink"/>
          </w:rPr>
          <w:t xml:space="preserve">https://www.facebook.com/help/accessibility</w:t>
        </w:r>
      </w:hyperlink>
    </w:p>
    <w:p>
      <w:pPr>
        <w:pStyle w:val="Compact"/>
        <w:numPr>
          <w:numId w:val="1072"/>
          <w:ilvl w:val="0"/>
        </w:numPr>
      </w:pPr>
      <w:r>
        <w:t xml:space="preserve">Google+: Anbieterinformationen,</w:t>
      </w:r>
      <w:r>
        <w:t xml:space="preserve"> </w:t>
      </w:r>
      <w:hyperlink r:id="rId242">
        <w:r>
          <w:rPr>
            <w:rStyle w:val="Hyperlink"/>
          </w:rPr>
          <w:t xml:space="preserve">https://support.google.com/plus/answer/6320404</w:t>
        </w:r>
      </w:hyperlink>
    </w:p>
    <w:p>
      <w:pPr>
        <w:pStyle w:val="Compact"/>
        <w:numPr>
          <w:numId w:val="1072"/>
          <w:ilvl w:val="0"/>
        </w:numPr>
      </w:pPr>
      <w:r>
        <w:t xml:space="preserve">Instagram: Offizelle Informationen nicht bekannt.</w:t>
      </w:r>
    </w:p>
    <w:p>
      <w:pPr>
        <w:pStyle w:val="Compact"/>
        <w:numPr>
          <w:numId w:val="1072"/>
          <w:ilvl w:val="0"/>
        </w:numPr>
      </w:pPr>
      <w:r>
        <w:t xml:space="preserve">LinkedIn: Anbieter hat guten Ruf hinsichtlich der Barrierefreiheit seines Angebotes, Informationen sind in der Hilfe</w:t>
      </w:r>
      <w:r>
        <w:t xml:space="preserve"> </w:t>
      </w:r>
      <w:hyperlink r:id="rId243">
        <w:r>
          <w:rPr>
            <w:rStyle w:val="Hyperlink"/>
          </w:rPr>
          <w:t xml:space="preserve">https://www.linkedin.com/help/linkedin</w:t>
        </w:r>
      </w:hyperlink>
      <w:r>
        <w:t xml:space="preserve"> </w:t>
      </w:r>
      <w:r>
        <w:t xml:space="preserve">verstreut.</w:t>
      </w:r>
    </w:p>
    <w:p>
      <w:pPr>
        <w:pStyle w:val="Compact"/>
        <w:numPr>
          <w:numId w:val="1072"/>
          <w:ilvl w:val="0"/>
        </w:numPr>
      </w:pPr>
      <w:r>
        <w:t xml:space="preserve">Pinterest: Anbieterinformationen mit Umsetzungsempfehlungen,</w:t>
      </w:r>
      <w:r>
        <w:t xml:space="preserve"> </w:t>
      </w:r>
      <w:hyperlink r:id="rId244">
        <w:r>
          <w:rPr>
            <w:rStyle w:val="Hyperlink"/>
          </w:rPr>
          <w:t xml:space="preserve">https://medium.com/@Pinterest_Engineering/seven-best-practices-for-inclusive-product-design-9476c61f1e17</w:t>
        </w:r>
      </w:hyperlink>
    </w:p>
    <w:p>
      <w:pPr>
        <w:pStyle w:val="Compact"/>
        <w:numPr>
          <w:numId w:val="1072"/>
          <w:ilvl w:val="0"/>
        </w:numPr>
      </w:pPr>
      <w:r>
        <w:t xml:space="preserve">Twitter: Anbieterinformationen</w:t>
      </w:r>
      <w:r>
        <w:t xml:space="preserve"> </w:t>
      </w:r>
      <w:hyperlink r:id="rId245">
        <w:r>
          <w:rPr>
            <w:rStyle w:val="Hyperlink"/>
          </w:rPr>
          <w:t xml:space="preserve">https://help.twitter.com/en/using-twitter/picture-descriptions</w:t>
        </w:r>
      </w:hyperlink>
    </w:p>
    <w:p>
      <w:pPr>
        <w:pStyle w:val="Compact"/>
        <w:numPr>
          <w:numId w:val="1072"/>
          <w:ilvl w:val="0"/>
        </w:numPr>
      </w:pPr>
      <w:r>
        <w:t xml:space="preserve">Xing: Derzeit keine Anbieterinformationen verfügbar; vereinzelt Erfahrungsberichte unter</w:t>
      </w:r>
      <w:r>
        <w:t xml:space="preserve"> </w:t>
      </w:r>
      <w:hyperlink r:id="rId246">
        <w:r>
          <w:rPr>
            <w:rStyle w:val="Hyperlink"/>
          </w:rPr>
          <w:t xml:space="preserve">http://www.oliveira-online.net/wordpress/index.php/2018/08/17/die-mangelhafte-barrierefreiheit-von-xing/</w:t>
        </w:r>
      </w:hyperlink>
    </w:p>
    <w:p>
      <w:pPr>
        <w:pStyle w:val="Compact"/>
        <w:numPr>
          <w:numId w:val="1072"/>
          <w:ilvl w:val="0"/>
        </w:numPr>
      </w:pPr>
      <w:r>
        <w:t xml:space="preserve">YouTube: Anbieterinformationen</w:t>
      </w:r>
      <w:r>
        <w:t xml:space="preserve"> </w:t>
      </w:r>
      <w:hyperlink r:id="rId247">
        <w:r>
          <w:rPr>
            <w:rStyle w:val="Hyperlink"/>
          </w:rPr>
          <w:t xml:space="preserve">https://www.google.com/accessibility/products-features.html</w:t>
        </w:r>
      </w:hyperlink>
      <w:r>
        <w:t xml:space="preserve"> </w:t>
      </w:r>
      <w:r>
        <w:t xml:space="preserve">und Entwicklerinformationen</w:t>
      </w:r>
      <w:r>
        <w:t xml:space="preserve"> </w:t>
      </w:r>
      <w:hyperlink r:id="rId248">
        <w:r>
          <w:rPr>
            <w:rStyle w:val="Hyperlink"/>
          </w:rPr>
          <w:t xml:space="preserve">https://www.google.com/accessibility/for-developers.html</w:t>
        </w:r>
      </w:hyperlink>
    </w:p>
    <w:p>
      <w:pPr>
        <w:pStyle w:val="berschrift2"/>
      </w:pPr>
      <w:bookmarkStart w:id="249" w:name="erstellung-von-dokumenten-aus-büroanwendungen-pdf-office-u.a."/>
      <w:r>
        <w:t xml:space="preserve">Erstellung von Dokumenten aus Büroanwendungen (PDF, Office, u.a.)</w:t>
      </w:r>
      <w:bookmarkEnd w:id="249"/>
    </w:p>
    <w:p>
      <w:pPr>
        <w:pStyle w:val="Compact"/>
        <w:numPr>
          <w:numId w:val="1073"/>
          <w:ilvl w:val="0"/>
        </w:numPr>
      </w:pPr>
      <w:r>
        <w:t xml:space="preserve">“</w:t>
      </w:r>
      <w:r>
        <w:t xml:space="preserve">PDF- und Word Dokumente barrierefrei umsetzen</w:t>
      </w:r>
      <w:r>
        <w:t xml:space="preserve">”</w:t>
      </w:r>
      <w:r>
        <w:t xml:space="preserve">, FernUniversität in Hagen,</w:t>
      </w:r>
      <w:r>
        <w:t xml:space="preserve"> </w:t>
      </w:r>
      <w:hyperlink r:id="rId250">
        <w:r>
          <w:rPr>
            <w:rStyle w:val="Hyperlink"/>
          </w:rPr>
          <w:t xml:space="preserve">http://www.fernuni-hagen.de/barrierefrei/pdf_word.shtml</w:t>
        </w:r>
      </w:hyperlink>
    </w:p>
    <w:p>
      <w:pPr>
        <w:pStyle w:val="Compact"/>
        <w:numPr>
          <w:numId w:val="1073"/>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51">
        <w:r>
          <w:rPr>
            <w:rStyle w:val="Hyperlink"/>
          </w:rPr>
          <w:t xml:space="preserve">https://www.uni-due.de/imperia/md/content/inklusionsportal/2013_05_barrierefreiepdfs_internetvorlage.pdf</w:t>
        </w:r>
      </w:hyperlink>
    </w:p>
    <w:p>
      <w:pPr>
        <w:pStyle w:val="Compact"/>
        <w:numPr>
          <w:numId w:val="1073"/>
          <w:ilvl w:val="0"/>
        </w:numPr>
      </w:pPr>
      <w:r>
        <w:t xml:space="preserve">“</w:t>
      </w:r>
      <w:r>
        <w:t xml:space="preserve">Leitfaden zur Erstellung barrierearmer Dokumente</w:t>
      </w:r>
      <w:r>
        <w:t xml:space="preserve">”</w:t>
      </w:r>
      <w:r>
        <w:t xml:space="preserve">, Universität Kassel,</w:t>
      </w:r>
      <w:r>
        <w:t xml:space="preserve"> </w:t>
      </w:r>
      <w:hyperlink r:id="rId252">
        <w:r>
          <w:rPr>
            <w:rStyle w:val="Hyperlink"/>
          </w:rPr>
          <w:t xml:space="preserve">http://www.uni-kassel.de/themen/fileadmin/datas/themen/Literaturumsetzung/Leitfaden_1315_Homepage_3.pdf</w:t>
        </w:r>
      </w:hyperlink>
    </w:p>
    <w:p>
      <w:pPr>
        <w:pStyle w:val="Compact"/>
        <w:numPr>
          <w:numId w:val="1073"/>
          <w:ilvl w:val="0"/>
        </w:numPr>
      </w:pPr>
      <w:r>
        <w:t xml:space="preserve">“</w:t>
      </w:r>
      <w:r>
        <w:t xml:space="preserve">Kurzanleitung zur Erstellung barrierefreier Word-Dateien</w:t>
      </w:r>
      <w:r>
        <w:t xml:space="preserve">”</w:t>
      </w:r>
      <w:r>
        <w:t xml:space="preserve">, Universität Kassel,</w:t>
      </w:r>
      <w:r>
        <w:t xml:space="preserve"> </w:t>
      </w:r>
      <w:hyperlink r:id="rId253">
        <w:r>
          <w:rPr>
            <w:rStyle w:val="Hyperlink"/>
          </w:rPr>
          <w:t xml:space="preserve">http://www.uni-kassel.de/themen/fileadmin/datas/themen/studium_behinderung/Literaturumsetzung/Kurzanleitung_2014.pdf</w:t>
        </w:r>
      </w:hyperlink>
    </w:p>
    <w:p>
      <w:pPr>
        <w:pStyle w:val="Compact"/>
        <w:numPr>
          <w:numId w:val="1073"/>
          <w:ilvl w:val="0"/>
        </w:numPr>
      </w:pPr>
      <w:r>
        <w:t xml:space="preserve">“</w:t>
      </w:r>
      <w:r>
        <w:t xml:space="preserve">Barrierefreies Publishing – PDF barrierefrei aus InDesign</w:t>
      </w:r>
      <w:r>
        <w:t xml:space="preserve">”</w:t>
      </w:r>
      <w:r>
        <w:t xml:space="preserve">, Vortragsfolien von Markus Erle,</w:t>
      </w:r>
      <w:r>
        <w:t xml:space="preserve"> </w:t>
      </w:r>
      <w:hyperlink r:id="rId254">
        <w:r>
          <w:rPr>
            <w:rStyle w:val="Hyperlink"/>
          </w:rPr>
          <w:t xml:space="preserve">https://de.slideshare.net/werteslide/140123-idug-stuttgartbarrierefreiespublizierenwertewerkkompakt</w:t>
        </w:r>
      </w:hyperlink>
    </w:p>
    <w:p>
      <w:pPr>
        <w:pStyle w:val="berschrift2"/>
      </w:pPr>
      <w:bookmarkStart w:id="255" w:name="erstellung-von-vorlesungs--und-lehrmaterialien"/>
      <w:r>
        <w:t xml:space="preserve">Erstellung von Vorlesungs- und Lehrmaterialien</w:t>
      </w:r>
      <w:bookmarkEnd w:id="255"/>
    </w:p>
    <w:p>
      <w:pPr>
        <w:pStyle w:val="Compact"/>
        <w:numPr>
          <w:numId w:val="1074"/>
          <w:ilvl w:val="0"/>
        </w:numPr>
      </w:pPr>
      <w:r>
        <w:t xml:space="preserve">“</w:t>
      </w:r>
      <w:r>
        <w:t xml:space="preserve">Handreichung zur Erstellung und Umsetzung barrierefreier Dokumente in der Lehre</w:t>
      </w:r>
      <w:r>
        <w:t xml:space="preserve">”</w:t>
      </w:r>
      <w:r>
        <w:t xml:space="preserve">, Uni Marburg,</w:t>
      </w:r>
      <w:r>
        <w:t xml:space="preserve"> </w:t>
      </w:r>
      <w:hyperlink r:id="rId256">
        <w:r>
          <w:rPr>
            <w:rStyle w:val="Hyperlink"/>
          </w:rPr>
          <w:t xml:space="preserve">https://www.uni-marburg.de/de/studium/service/sbs/sehgeschaedigte/hochschullehre.pdf</w:t>
        </w:r>
      </w:hyperlink>
    </w:p>
    <w:p>
      <w:pPr>
        <w:pStyle w:val="Compact"/>
        <w:numPr>
          <w:numId w:val="1074"/>
          <w:ilvl w:val="0"/>
        </w:numPr>
      </w:pPr>
      <w:r>
        <w:t xml:space="preserve">“</w:t>
      </w:r>
      <w:r>
        <w:t xml:space="preserve">Zeitschriftenreihe: Diversität konkret</w:t>
      </w:r>
      <w:r>
        <w:t xml:space="preserve">”</w:t>
      </w:r>
      <w:r>
        <w:t xml:space="preserve">, Universität Essen,</w:t>
      </w:r>
      <w:r>
        <w:t xml:space="preserve"> </w:t>
      </w:r>
      <w:hyperlink r:id="rId257">
        <w:r>
          <w:rPr>
            <w:rStyle w:val="Hyperlink"/>
          </w:rPr>
          <w:t xml:space="preserve">https://www.uni-due.de/diversity/prodiversitaet_diversitaetkonkret.shtml</w:t>
        </w:r>
      </w:hyperlink>
    </w:p>
    <w:p>
      <w:pPr>
        <w:pStyle w:val="Compact"/>
        <w:numPr>
          <w:numId w:val="1074"/>
          <w:ilvl w:val="0"/>
        </w:numPr>
      </w:pPr>
      <w:r>
        <w:t xml:space="preserve">“</w:t>
      </w:r>
      <w:r>
        <w:t xml:space="preserve">Barrierefreie Hochschullehre – Leitfaden für Lehrende</w:t>
      </w:r>
      <w:r>
        <w:t xml:space="preserve">”</w:t>
      </w:r>
      <w:r>
        <w:t xml:space="preserve">, TU Dresden,</w:t>
      </w:r>
      <w:r>
        <w:t xml:space="preserve"> </w:t>
      </w:r>
      <w:hyperlink r:id="rId258">
        <w:r>
          <w:rPr>
            <w:rStyle w:val="Hyperlink"/>
          </w:rPr>
          <w:t xml:space="preserve">https://tu-dresden.de/karriere/weiterbildung/ressourcen/dateien/2017/Broschuere-BF-Leitfaden-barrierefrei.pdf</w:t>
        </w:r>
      </w:hyperlink>
    </w:p>
    <w:p>
      <w:pPr>
        <w:pStyle w:val="Compact"/>
        <w:numPr>
          <w:numId w:val="1074"/>
          <w:ilvl w:val="0"/>
        </w:numPr>
      </w:pPr>
      <w:r>
        <w:t xml:space="preserve">“</w:t>
      </w:r>
      <w:r>
        <w:t xml:space="preserve">Barrierefreie Lehre – Leitfaden für Lehrende</w:t>
      </w:r>
      <w:r>
        <w:t xml:space="preserve">”</w:t>
      </w:r>
      <w:r>
        <w:t xml:space="preserve">, Europa Universität Viadrina,</w:t>
      </w:r>
      <w:r>
        <w:t xml:space="preserve"> </w:t>
      </w:r>
      <w:hyperlink r:id="rId259">
        <w:r>
          <w:rPr>
            <w:rStyle w:val="Hyperlink"/>
          </w:rPr>
          <w:t xml:space="preserve">https://www.europa-uni.de/de/struktur/zse/zsb/barrierefreies-studium/_materialien_/Dozentenleitfaden_online_version.pdf</w:t>
        </w:r>
      </w:hyperlink>
    </w:p>
    <w:p>
      <w:pPr>
        <w:pStyle w:val="Compact"/>
        <w:numPr>
          <w:numId w:val="1074"/>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60">
        <w:r>
          <w:rPr>
            <w:rStyle w:val="Hyperlink"/>
          </w:rPr>
          <w:t xml:space="preserve">http://www.uni-frankfurt.de/44214611/Leitfaden-Barrierefreies-Studium.pdf</w:t>
        </w:r>
      </w:hyperlink>
    </w:p>
    <w:p>
      <w:pPr>
        <w:pStyle w:val="berschrift2"/>
      </w:pPr>
      <w:bookmarkStart w:id="261" w:name="erstellung-von-multimedialen-produktionen-videoaufzeichnungen-podcasts-u.a."/>
      <w:r>
        <w:t xml:space="preserve">Erstellung von multimedialen Produktionen (Videoaufzeichnungen, Podcasts, u.a.)</w:t>
      </w:r>
      <w:bookmarkEnd w:id="261"/>
    </w:p>
    <w:p>
      <w:pPr>
        <w:pStyle w:val="Compact"/>
        <w:numPr>
          <w:numId w:val="1075"/>
          <w:ilvl w:val="0"/>
        </w:numPr>
      </w:pPr>
      <w:r>
        <w:t xml:space="preserve">“</w:t>
      </w:r>
      <w:r>
        <w:t xml:space="preserve">Barrierefreie Gestaltung eines Online-Videos</w:t>
      </w:r>
      <w:r>
        <w:t xml:space="preserve">”</w:t>
      </w:r>
      <w:r>
        <w:t xml:space="preserve">, DI-JI,</w:t>
      </w:r>
      <w:r>
        <w:t xml:space="preserve"> </w:t>
      </w:r>
      <w:hyperlink r:id="rId262">
        <w:r>
          <w:rPr>
            <w:rStyle w:val="Hyperlink"/>
          </w:rPr>
          <w:t xml:space="preserve">http://www.di-ji.de/index.php?option=com_content&amp;view=article&amp;id=120%3Abarrierefreie-gestaltung-eines-online-videos&amp;catid=75%3Abf-multimedia&amp;Itemid=67&amp;lang=de</w:t>
        </w:r>
      </w:hyperlink>
    </w:p>
    <w:p>
      <w:pPr>
        <w:pStyle w:val="Compact"/>
        <w:numPr>
          <w:numId w:val="1075"/>
          <w:ilvl w:val="0"/>
        </w:numPr>
      </w:pPr>
      <w:r>
        <w:t xml:space="preserve">“</w:t>
      </w:r>
      <w:r>
        <w:t xml:space="preserve">Leitfaden für den Einsatz von Gebärdensprach-Filmen</w:t>
      </w:r>
      <w:r>
        <w:t xml:space="preserve">”</w:t>
      </w:r>
      <w:r>
        <w:t xml:space="preserve">, DI-JI,</w:t>
      </w:r>
      <w:r>
        <w:t xml:space="preserve"> </w:t>
      </w:r>
      <w:hyperlink r:id="rId263">
        <w:r>
          <w:rPr>
            <w:rStyle w:val="Hyperlink"/>
          </w:rPr>
          <w:t xml:space="preserve">http://www.di-ji.de/index.php?option=com_content&amp;view=article&amp;id=121&amp;Itemid=73&amp;lang=de</w:t>
        </w:r>
      </w:hyperlink>
    </w:p>
    <w:p>
      <w:pPr>
        <w:pStyle w:val="Compact"/>
        <w:numPr>
          <w:numId w:val="1075"/>
          <w:ilvl w:val="0"/>
        </w:numPr>
      </w:pPr>
      <w:r>
        <w:t xml:space="preserve">“</w:t>
      </w:r>
      <w:r>
        <w:t xml:space="preserve">Leitfaden barrierefreie Online-Videos</w:t>
      </w:r>
      <w:r>
        <w:t xml:space="preserve">”</w:t>
      </w:r>
      <w:r>
        <w:t xml:space="preserve">, BIK,</w:t>
      </w:r>
      <w:r>
        <w:t xml:space="preserve"> </w:t>
      </w:r>
      <w:hyperlink r:id="rId264">
        <w:r>
          <w:rPr>
            <w:rStyle w:val="Hyperlink"/>
          </w:rPr>
          <w:t xml:space="preserve">http://www.bik-fuer-alle.de/leitfaden-barrierefreie-online-videos.html</w:t>
        </w:r>
      </w:hyperlink>
    </w:p>
    <w:p>
      <w:pPr>
        <w:pStyle w:val="berschrift2"/>
      </w:pPr>
      <w:bookmarkStart w:id="265" w:name="weitere-leitfäden-und-informationen-zur-barrierefreiheit"/>
      <w:r>
        <w:t xml:space="preserve">Weitere Leitfäden und Informationen zur Barrierefreiheit</w:t>
      </w:r>
      <w:bookmarkEnd w:id="265"/>
    </w:p>
    <w:p>
      <w:pPr>
        <w:pStyle w:val="Compact"/>
        <w:numPr>
          <w:numId w:val="1076"/>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66">
        <w:r>
          <w:rPr>
            <w:rStyle w:val="Hyperlink"/>
          </w:rPr>
          <w:t xml:space="preserve">https://www.freiburg.de/pb/site/Freiburg/get/params_E-110567810/1190425/Leitfaden_barrierefreie_Kommunikation_Hoerbehinderung.pdf</w:t>
        </w:r>
      </w:hyperlink>
    </w:p>
    <w:p>
      <w:pPr>
        <w:pStyle w:val="Compact"/>
        <w:numPr>
          <w:numId w:val="1076"/>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67">
        <w:r>
          <w:rPr>
            <w:rStyle w:val="Hyperlink"/>
          </w:rPr>
          <w:t xml:space="preserve">https://gpii.eu/leitfaden/</w:t>
        </w:r>
      </w:hyperlink>
    </w:p>
    <w:p>
      <w:pPr>
        <w:pStyle w:val="Compact"/>
        <w:numPr>
          <w:numId w:val="1076"/>
          <w:ilvl w:val="0"/>
        </w:numPr>
      </w:pPr>
      <w:r>
        <w:t xml:space="preserve">Planung von barrierefreien Veranstaltungen, Bundesfachstelle Barrierefreiheit,</w:t>
      </w:r>
      <w:r>
        <w:t xml:space="preserve"> </w:t>
      </w:r>
      <w:hyperlink r:id="rId268">
        <w:r>
          <w:rPr>
            <w:rStyle w:val="Hyperlink"/>
          </w:rPr>
          <w:t xml:space="preserve">https://www.bundesfachstelle-barrierefreiheit.de/DE/Praxishilfen/Veranstaltungsplanung/veranstaltungsplanung_node.html</w:t>
        </w:r>
      </w:hyperlink>
    </w:p>
    <w:p>
      <w:pPr>
        <w:pStyle w:val="Compact"/>
        <w:numPr>
          <w:numId w:val="1076"/>
          <w:ilvl w:val="0"/>
        </w:numPr>
      </w:pPr>
      <w:r>
        <w:t xml:space="preserve">Fernstudium ohne Barrieren, FernUniversität in Hagen,</w:t>
      </w:r>
      <w:r>
        <w:t xml:space="preserve"> </w:t>
      </w:r>
      <w:hyperlink r:id="rId269">
        <w:r>
          <w:rPr>
            <w:rStyle w:val="Hyperlink"/>
          </w:rPr>
          <w:t xml:space="preserve">https://www.fernuni-hagen.de/diversitaet/download/fernstudium_ohne_barrieren_2018-2022.pdf</w:t>
        </w:r>
      </w:hyperlink>
    </w:p>
    <w:p>
      <w:pPr>
        <w:pStyle w:val="Compact"/>
        <w:numPr>
          <w:numId w:val="1076"/>
          <w:ilvl w:val="0"/>
        </w:numPr>
      </w:pPr>
      <w:r>
        <w:t xml:space="preserve">Bayern Barrierefrei – Informationsportal des Freistaats Bayern,</w:t>
      </w:r>
      <w:r>
        <w:t xml:space="preserve"> </w:t>
      </w:r>
      <w:hyperlink r:id="rId270">
        <w:r>
          <w:rPr>
            <w:rStyle w:val="Hyperlink"/>
          </w:rPr>
          <w:t xml:space="preserve">https://www.barrierefrei.bayern.de/</w:t>
        </w:r>
      </w:hyperlink>
    </w:p>
    <w:p>
      <w:pPr>
        <w:pStyle w:val="berschrift2"/>
      </w:pPr>
      <w:bookmarkStart w:id="271" w:name="rechtliche-anforderungen"/>
      <w:r>
        <w:t xml:space="preserve">Rechtliche Anforderungen</w:t>
      </w:r>
      <w:bookmarkEnd w:id="271"/>
    </w:p>
    <w:p>
      <w:pPr>
        <w:pStyle w:val="Compact"/>
        <w:numPr>
          <w:numId w:val="1077"/>
          <w:ilvl w:val="0"/>
        </w:numPr>
      </w:pPr>
      <w:r>
        <w:t xml:space="preserve">EU</w:t>
      </w:r>
    </w:p>
    <w:p>
      <w:pPr>
        <w:pStyle w:val="Compact"/>
        <w:numPr>
          <w:numId w:val="1078"/>
          <w:ilvl w:val="1"/>
        </w:numPr>
      </w:pPr>
      <w:r>
        <w:t xml:space="preserve">EU Richtlinie zur Barrierefreiheit,</w:t>
      </w:r>
      <w:r>
        <w:t xml:space="preserve"> </w:t>
      </w:r>
      <w:hyperlink r:id="rId272">
        <w:r>
          <w:rPr>
            <w:rStyle w:val="Hyperlink"/>
          </w:rPr>
          <w:t xml:space="preserve">https://eur-lex.europa.eu/legal-content/DE/TXT/?uri=CELEX%3A32016L2102</w:t>
        </w:r>
      </w:hyperlink>
      <w:r>
        <w:t xml:space="preserve"> </w:t>
      </w:r>
    </w:p>
    <w:p>
      <w:pPr>
        <w:pStyle w:val="Compact"/>
        <w:numPr>
          <w:numId w:val="1078"/>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8"/>
          <w:ilvl w:val="1"/>
        </w:numPr>
      </w:pPr>
      <w:r>
        <w:t xml:space="preserve">Europäische Sozialcharta,</w:t>
      </w:r>
      <w:r>
        <w:t xml:space="preserve"> </w:t>
      </w:r>
      <w:r>
        <w:t xml:space="preserve"> </w:t>
      </w:r>
      <w:hyperlink r:id="rId273">
        <w:r>
          <w:rPr>
            <w:rStyle w:val="Hyperlink"/>
          </w:rPr>
          <w:t xml:space="preserve">https://rm.coe.int/CoERMPublicCommonSearchServices/DisplayDCTMContent?documentId=090000168007cf92</w:t>
        </w:r>
      </w:hyperlink>
      <w:r>
        <w:t xml:space="preserve"> </w:t>
      </w:r>
    </w:p>
    <w:p>
      <w:pPr>
        <w:pStyle w:val="Compact"/>
        <w:numPr>
          <w:numId w:val="1078"/>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7"/>
          <w:ilvl w:val="0"/>
        </w:numPr>
      </w:pPr>
      <w:r>
        <w:t xml:space="preserve">Übereinkommen der Vereinten Nationen über die Rechte von Menschen mit Behinderung,</w:t>
      </w:r>
      <w:r>
        <w:t xml:space="preserve"> </w:t>
      </w:r>
      <w:hyperlink r:id="rId274">
        <w:r>
          <w:rPr>
            <w:rStyle w:val="Hyperlink"/>
          </w:rPr>
          <w:t xml:space="preserve">http://www.bmas.de/SharedDocs/Downloads/DE/PDF-Publikationen/a729-un-konvention.pdf</w:t>
        </w:r>
      </w:hyperlink>
    </w:p>
    <w:p>
      <w:pPr>
        <w:pStyle w:val="Compact"/>
        <w:numPr>
          <w:numId w:val="1077"/>
          <w:ilvl w:val="0"/>
        </w:numPr>
      </w:pPr>
      <w:r>
        <w:t xml:space="preserve">Bund</w:t>
      </w:r>
    </w:p>
    <w:p>
      <w:pPr>
        <w:pStyle w:val="Compact"/>
        <w:numPr>
          <w:numId w:val="1079"/>
          <w:ilvl w:val="1"/>
        </w:numPr>
      </w:pPr>
      <w:r>
        <w:t xml:space="preserve">Schiedsstelle BGG,  </w:t>
      </w:r>
      <w:hyperlink r:id="rId275">
        <w:r>
          <w:rPr>
            <w:rStyle w:val="Hyperlink"/>
          </w:rPr>
          <w:t xml:space="preserve">https://www.behindertenbeauftragter.de/DE/SchlichtungsstelleBGG/SchlichtungsstelleBGG_node.html</w:t>
        </w:r>
      </w:hyperlink>
      <w:r>
        <w:t xml:space="preserve">  </w:t>
      </w:r>
    </w:p>
    <w:p>
      <w:pPr>
        <w:pStyle w:val="Compact"/>
        <w:numPr>
          <w:numId w:val="1079"/>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76">
        <w:r>
          <w:rPr>
            <w:rStyle w:val="Hyperlink"/>
          </w:rPr>
          <w:t xml:space="preserve">http://dip21.bundestag.de/dip21/btd/19/020/1902072.pdf</w:t>
        </w:r>
      </w:hyperlink>
      <w:r>
        <w:t xml:space="preserve">  </w:t>
      </w:r>
    </w:p>
    <w:p>
      <w:pPr>
        <w:pStyle w:val="Compact"/>
        <w:numPr>
          <w:numId w:val="1079"/>
          <w:ilvl w:val="1"/>
        </w:numPr>
      </w:pPr>
      <w:r>
        <w:t xml:space="preserve">Bericht und Stellungsnahmen:  </w:t>
      </w:r>
      <w:hyperlink r:id="rId277">
        <w:r>
          <w:rPr>
            <w:rStyle w:val="Hyperlink"/>
          </w:rPr>
          <w:t xml:space="preserve">http://www.bundestag.de/blob/558776/ed216881a756d5cb81a46ef43dec1ac4/materialzusammenstellung_10-sitzung-data.pdf</w:t>
        </w:r>
      </w:hyperlink>
      <w:r>
        <w:t xml:space="preserve">  </w:t>
      </w:r>
    </w:p>
    <w:p>
      <w:pPr>
        <w:pStyle w:val="Compact"/>
        <w:numPr>
          <w:numId w:val="1077"/>
          <w:ilvl w:val="0"/>
        </w:numPr>
      </w:pPr>
      <w:r>
        <w:t xml:space="preserve">Bayern:</w:t>
      </w:r>
    </w:p>
    <w:p>
      <w:pPr>
        <w:pStyle w:val="Compact"/>
        <w:numPr>
          <w:numId w:val="1080"/>
          <w:ilvl w:val="1"/>
        </w:numPr>
      </w:pPr>
      <w:r>
        <w:t xml:space="preserve">BayBGG, </w:t>
      </w:r>
      <w:hyperlink r:id="rId278">
        <w:r>
          <w:rPr>
            <w:rStyle w:val="Hyperlink"/>
          </w:rPr>
          <w:t xml:space="preserve">http://www.gesetze-bayern.de/Content/Document/BayBGG</w:t>
        </w:r>
      </w:hyperlink>
      <w:r>
        <w:t xml:space="preserve"> </w:t>
      </w:r>
    </w:p>
    <w:p>
      <w:pPr>
        <w:pStyle w:val="Compact"/>
        <w:numPr>
          <w:numId w:val="1080"/>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79" w:name="hinweise-zum-dokument"/>
      <w:r>
        <w:t xml:space="preserve">Hinweise zum Dokument</w:t>
      </w:r>
      <w:bookmarkEnd w:id="279"/>
    </w:p>
    <w:p>
      <w:pPr>
        <w:pStyle w:val="FirstParagraph"/>
      </w:pPr>
      <w:r>
        <w:t xml:space="preserve">Dieser Leitfaden wurde im Auftrag der bayerischen Hochschulen für Angewandte Wissenschaft (HAW) erstellt.</w:t>
      </w:r>
    </w:p>
    <w:p>
      <w:pPr>
        <w:pStyle w:val="berschrift2"/>
      </w:pPr>
      <w:bookmarkStart w:id="280" w:name="autoren"/>
      <w:r>
        <w:t xml:space="preserve">Autoren</w:t>
      </w:r>
      <w:bookmarkEnd w:id="280"/>
    </w:p>
    <w:p>
      <w:pPr>
        <w:pStyle w:val="Compact"/>
        <w:numPr>
          <w:numId w:val="1081"/>
          <w:ilvl w:val="0"/>
        </w:numPr>
      </w:pPr>
      <w:r>
        <w:t xml:space="preserve">Johannes Nehlsen,</w:t>
      </w:r>
      <w:r>
        <w:t xml:space="preserve"> </w:t>
      </w:r>
      <w:hyperlink r:id="rId184">
        <w:r>
          <w:rPr>
            <w:rStyle w:val="Hyperlink"/>
          </w:rPr>
          <w:t xml:space="preserve">Stabsstelle IT-Recht für die bayerischen staatlichen Hochschulen und Universitäten</w:t>
        </w:r>
      </w:hyperlink>
    </w:p>
    <w:p>
      <w:pPr>
        <w:pStyle w:val="Compact"/>
        <w:numPr>
          <w:numId w:val="1081"/>
          <w:ilvl w:val="0"/>
        </w:numPr>
      </w:pPr>
      <w:r>
        <w:t xml:space="preserve">Wolfgang Wiese,</w:t>
      </w:r>
      <w:r>
        <w:t xml:space="preserve"> </w:t>
      </w:r>
      <w:hyperlink r:id="rId281">
        <w:r>
          <w:rPr>
            <w:rStyle w:val="Hyperlink"/>
          </w:rPr>
          <w:t xml:space="preserve">Regionales Rechenzentrum Erlangen (RRZE)</w:t>
        </w:r>
      </w:hyperlink>
    </w:p>
    <w:p>
      <w:pPr>
        <w:pStyle w:val="berschrift2"/>
      </w:pPr>
      <w:bookmarkStart w:id="282" w:name="lizenz"/>
      <w:r>
        <w:t xml:space="preserve">Lizenz</w:t>
      </w:r>
      <w:bookmarkEnd w:id="282"/>
    </w:p>
    <w:p>
      <w:pPr>
        <w:pStyle w:val="FirstParagraph"/>
      </w:pPr>
      <w:r>
        <w:t xml:space="preserve">Der Leitfaden wird unter einer</w:t>
      </w:r>
      <w:r>
        <w:t xml:space="preserve"> </w:t>
      </w:r>
      <w:hyperlink r:id="rId28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8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85" w:name="credits-und-dank"/>
      <w:r>
        <w:t xml:space="preserve">Credits und Dank</w:t>
      </w:r>
      <w:bookmarkEnd w:id="285"/>
    </w:p>
    <w:p>
      <w:pPr>
        <w:pStyle w:val="FirstParagraph"/>
      </w:pPr>
      <w:r>
        <w:t xml:space="preserve">Die Autoren danken den folgenden Personen, die bei der Erstellung des Leitfadens durch wichtige Hinweise und Korrekturen sowie im Lektorat geholfen haben:</w:t>
      </w:r>
    </w:p>
    <w:p>
      <w:pPr>
        <w:pStyle w:val="Compact"/>
        <w:numPr>
          <w:numId w:val="1082"/>
          <w:ilvl w:val="0"/>
        </w:numPr>
      </w:pPr>
      <w:r>
        <w:t xml:space="preserve">Katja Augustin,</w:t>
      </w:r>
      <w:r>
        <w:t xml:space="preserve"> </w:t>
      </w:r>
      <w:hyperlink r:id="rId281">
        <w:r>
          <w:rPr>
            <w:rStyle w:val="Hyperlink"/>
          </w:rPr>
          <w:t xml:space="preserve">Regionales Rechenzentrum Erlangen (RRZE)</w:t>
        </w:r>
      </w:hyperlink>
    </w:p>
    <w:p>
      <w:pPr>
        <w:pStyle w:val="Compact"/>
        <w:numPr>
          <w:numId w:val="1082"/>
          <w:ilvl w:val="0"/>
        </w:numPr>
      </w:pPr>
      <w:r>
        <w:t xml:space="preserve">Barbara Bothe,</w:t>
      </w:r>
      <w:r>
        <w:t xml:space="preserve"> </w:t>
      </w:r>
      <w:hyperlink r:id="rId281">
        <w:r>
          <w:rPr>
            <w:rStyle w:val="Hyperlink"/>
          </w:rPr>
          <w:t xml:space="preserve">Regionales Rechenzentrum Erlangen (RRZE)</w:t>
        </w:r>
      </w:hyperlink>
    </w:p>
    <w:p>
      <w:pPr>
        <w:pStyle w:val="Compact"/>
        <w:numPr>
          <w:numId w:val="1082"/>
          <w:ilvl w:val="0"/>
        </w:numPr>
      </w:pPr>
      <w:r>
        <w:t xml:space="preserve">Kerstin Probiesch,</w:t>
      </w:r>
      <w:r>
        <w:t xml:space="preserve"> </w:t>
      </w:r>
      <w:hyperlink r:id="rId286">
        <w:r>
          <w:rPr>
            <w:rStyle w:val="Hyperlink"/>
          </w:rPr>
          <w:t xml:space="preserve">Barrierefreie Informationskultur</w:t>
        </w:r>
      </w:hyperlink>
    </w:p>
    <w:p>
      <w:pPr>
        <w:pStyle w:val="Compact"/>
        <w:numPr>
          <w:numId w:val="1082"/>
          <w:ilvl w:val="0"/>
        </w:numPr>
      </w:pPr>
      <w:r>
        <w:t xml:space="preserve">Astrid Semm,</w:t>
      </w:r>
      <w:r>
        <w:t xml:space="preserve"> </w:t>
      </w:r>
      <w:hyperlink r:id="rId281">
        <w:r>
          <w:rPr>
            <w:rStyle w:val="Hyperlink"/>
          </w:rPr>
          <w:t xml:space="preserve">Regionales Rechenzentrum Erlangen (RRZE)</w:t>
        </w:r>
      </w:hyperlink>
    </w:p>
    <w:p>
      <w:pPr>
        <w:pStyle w:val="berschrift2"/>
      </w:pPr>
      <w:bookmarkStart w:id="287" w:name="verwaltung-und-bearbeitung-des-leitfadens"/>
      <w:r>
        <w:t xml:space="preserve">Verwaltung und Bearbeitung des Leitfadens</w:t>
      </w:r>
      <w:bookmarkEnd w:id="28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8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2018-09-17T08:45:15Z</dcterms:created>
  <dcterms:modified xsi:type="dcterms:W3CDTF">2018-09-17T08:45:15Z</dcterms:modified>
</cp:coreProperties>
</file>