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LECTURE 9: COST OF CAPITAL</w:t>
      </w:r>
    </w:p>
    <w:p>
      <w:pPr>
        <w:jc w:val="center"/>
      </w:pPr>
      <w:r>
        <w:t>One-Shot Notes | Fast Revision • Formulas • Worked Examples</w:t>
      </w:r>
    </w:p>
    <w:p>
      <w:pPr>
        <w:pStyle w:val="Heading1"/>
      </w:pPr>
      <w:r>
        <w:t>1. Cost of Capital: Core Idea</w:t>
      </w:r>
    </w:p>
    <w:p>
      <w:r>
        <w:t>Cost of capital is the return a company must provide to those financing it. Equity investors expect a return for taking ownership risk; lenders expect interest. The combined financing cost is summarized by WACC.</w:t>
      </w:r>
    </w:p>
    <w:p>
      <w:pPr>
        <w:pStyle w:val="ListBullet"/>
        <w:spacing w:after="20"/>
      </w:pPr>
      <w:r>
        <w:t>Cost of Equity (Ke): return required by ordinary shareholders.</w:t>
      </w:r>
    </w:p>
    <w:p>
      <w:pPr>
        <w:pStyle w:val="ListBullet"/>
        <w:spacing w:after="20"/>
      </w:pPr>
      <w:r>
        <w:t>Cost of Debt (Kd): borrowing cost to the company.</w:t>
      </w:r>
    </w:p>
    <w:p>
      <w:pPr>
        <w:pStyle w:val="ListBullet"/>
        <w:spacing w:after="20"/>
      </w:pPr>
      <w:r>
        <w:t>WACC: weighted average cost of equity and debt, based on their proportions in financing.</w:t>
      </w:r>
    </w:p>
    <w:p>
      <w:pPr>
        <w:pStyle w:val="Heading1"/>
      </w:pPr>
      <w:r>
        <w:t>2. Equity Shares: Key Features</w:t>
      </w:r>
    </w:p>
    <w:p>
      <w:pPr>
        <w:pStyle w:val="ListBullet"/>
        <w:spacing w:after="20"/>
      </w:pPr>
      <w:r>
        <w:t>Residual claim: equity holders are paid after debt and preference holders.</w:t>
      </w:r>
    </w:p>
    <w:p>
      <w:pPr>
        <w:pStyle w:val="ListBullet"/>
        <w:spacing w:after="20"/>
      </w:pPr>
      <w:r>
        <w:t>Voting rights: ordinary shares typically carry voting rights.</w:t>
      </w:r>
    </w:p>
    <w:p>
      <w:pPr>
        <w:pStyle w:val="ListBullet"/>
        <w:spacing w:after="20"/>
      </w:pPr>
      <w:r>
        <w:t>Dividends are not fixed or guaranteed; they depend on board decisions and company performance.</w:t>
      </w:r>
    </w:p>
    <w:p>
      <w:pPr>
        <w:pStyle w:val="ListBullet"/>
        <w:spacing w:after="20"/>
      </w:pPr>
      <w:r>
        <w:t>Perpetual capital: ordinary shares have no maturity date.</w:t>
      </w:r>
    </w:p>
    <w:p>
      <w:pPr>
        <w:pStyle w:val="ListBullet"/>
        <w:spacing w:after="20"/>
      </w:pPr>
      <w:r>
        <w:t>Limited liability: shareholder losses are generally limited to the amount invested.</w:t>
      </w:r>
    </w:p>
    <w:p>
      <w:pPr>
        <w:pStyle w:val="ListBullet"/>
        <w:spacing w:after="20"/>
      </w:pPr>
      <w:r>
        <w:t>Capital appreciation: investors may earn returns from share-price growth.</w:t>
      </w:r>
    </w:p>
    <w:p>
      <w:pPr>
        <w:pStyle w:val="Heading1"/>
      </w:pPr>
      <w:r>
        <w:t>3. Ordinary Shares vs. Dual-/Multi-Class Shares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Ordinary shares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Dual-/multi-class shares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Voting rights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Usually one share = one vote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Different classes can have different voting power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Control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Voting power broadly follows investment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Founders may retain control with high-vote shares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PPT examples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Standard listed-company structure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Alphabet and Meta</w:t>
            </w:r>
          </w:p>
        </w:tc>
      </w:tr>
    </w:tbl>
    <w:p>
      <w:r>
        <w:t>PPT examples: Alphabet Class A (GOOGL) has 1 vote/share, Class B has 10 votes/share and is held by founders, and Class C (GOOG) has no votes. Meta Class A has 1 vote/share; Class B has 10 votes/share. These cases show that voting control can exceed economic ownership.</w:t>
      </w:r>
    </w:p>
    <w:p>
      <w:pPr>
        <w:pStyle w:val="Heading1"/>
      </w:pPr>
      <w:r>
        <w:t>4. Systematic vs. Unsystematic Risk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Basis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Systematic risk</w:t>
            </w:r>
          </w:p>
        </w:tc>
        <w:tc>
          <w:tcPr>
            <w:tcW w:type="dxa" w:w="340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Unsystematic risk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Scope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Whole market/economy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Specific company/industry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Examples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Inflation, rate hikes, recession, pandemic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Management failure, strike, product recall, fraud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Diversifiable?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Yes, with a diversified portfolio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Also called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Market risk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Specific/residual risk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Measured by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Beta (β) for market sensitivity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Firm-specific variation; slide also mentions standard deviation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Priced by CAPM?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No; can be diversified away</w:t>
            </w:r>
          </w:p>
        </w:tc>
      </w:tr>
    </w:tbl>
    <w:p>
      <w:pPr>
        <w:pStyle w:val="Heading1"/>
      </w:pPr>
      <w:r>
        <w:t>5. CAPM: Cost of Equity</w:t>
      </w:r>
    </w:p>
    <w:p>
      <w:pPr>
        <w:spacing w:after="80"/>
        <w:jc w:val="center"/>
      </w:pPr>
      <w:r>
        <w:rPr>
          <w:rFonts w:ascii="Cambria Math" w:hAnsi="Cambria Math"/>
          <w:b/>
          <w:color w:val="17365D"/>
          <w:sz w:val="22"/>
        </w:rPr>
        <w:t>Ke = Rf + β × (Rm − Rf)</w:t>
      </w:r>
    </w:p>
    <w:p>
      <w:pPr>
        <w:pStyle w:val="ListBullet"/>
        <w:spacing w:after="20"/>
      </w:pPr>
      <w:r>
        <w:t>Ke = cost of equity / return required by equity investors.</w:t>
      </w:r>
    </w:p>
    <w:p>
      <w:pPr>
        <w:pStyle w:val="ListBullet"/>
        <w:spacing w:after="20"/>
      </w:pPr>
      <w:r>
        <w:t>Rf = risk-free rate (the slides use the India 10-year Government Security yield as an example).</w:t>
      </w:r>
    </w:p>
    <w:p>
      <w:pPr>
        <w:pStyle w:val="ListBullet"/>
        <w:spacing w:after="20"/>
      </w:pPr>
      <w:r>
        <w:t>β = beta; stock sensitivity to overall market movements.</w:t>
      </w:r>
    </w:p>
    <w:p>
      <w:pPr>
        <w:pStyle w:val="ListBullet"/>
        <w:spacing w:after="20"/>
      </w:pPr>
      <w:r>
        <w:t>Rm = expected market return; (Rm − Rf) = market risk premium.</w:t>
      </w:r>
    </w:p>
    <w:p>
      <w:pPr>
        <w:pStyle w:val="Heading2"/>
      </w:pPr>
      <w:r>
        <w:t>Worked example from the slides</w:t>
      </w:r>
    </w:p>
    <w:p>
      <w:r>
        <w:t>Reliance: Rf = 7%, Rm = 13%, β = 0.83.</w:t>
        <w:br/>
        <w:t>Ke = 7% + 0.83 × (13% − 7%) = 7% + 4.98% = 11.98%.</w:t>
      </w:r>
    </w:p>
    <w:p>
      <w:r>
        <w:t>TCS: β = 1.13. Ke = 7% + 1.13 × 6% = 13.78%. With the same Rf and Rm, TCS has the higher estimated cost of equity because its beta is higher.</w:t>
      </w:r>
    </w:p>
    <w:p>
      <w:pPr>
        <w:pStyle w:val="Heading1"/>
      </w:pPr>
      <w:r>
        <w:t>6. Understanding Beta (β)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Beta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= 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Moves in line with the market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&gt; 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More sensitive/volatile than the market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0 &lt; β &lt; 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Less sensitive/volatile than the market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= 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market correlation in the simplified model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&lt; 0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Moves opposite to the market; rare</w:t>
            </w:r>
          </w:p>
        </w:tc>
      </w:tr>
    </w:tbl>
    <w:p>
      <w:pPr>
        <w:pStyle w:val="Heading1"/>
      </w:pPr>
      <w:r>
        <w:t>7. Historical Beta Estimation</w:t>
      </w:r>
    </w:p>
    <w:p>
      <w:pPr>
        <w:spacing w:after="80"/>
        <w:jc w:val="center"/>
      </w:pPr>
      <w:r>
        <w:rPr>
          <w:rFonts w:ascii="Cambria Math" w:hAnsi="Cambria Math"/>
          <w:b/>
          <w:color w:val="17365D"/>
          <w:sz w:val="22"/>
        </w:rPr>
        <w:t>β = Cov(Ri, Rm) / Var(Rm)</w:t>
      </w:r>
    </w:p>
    <w:p>
      <w:r>
        <w:t>Cov(Ri, Rm) measures how stock and market returns move together. Var(Rm) measures the market return's variance. In regression, beta is the slope in Ri = α + βRm + ε.</w:t>
      </w:r>
    </w:p>
    <w:p>
      <w:r>
        <w:t>In the deck's hypothetical five-month Reliance/Sensex example, the displayed totals are cross-products = 0.002840 and squared market deviations = 0.001720. Dividing the displayed totals gives β ≈ 1.65. Treat this as an illustrative calculation; beta varies with the period, return frequency and benchmark.</w:t>
      </w:r>
    </w:p>
    <w:p>
      <w:r>
        <w:t>Regression formula shown in the slides: β = [nΣ(RiRm) − ΣRi × ΣRm] / [nΣRm² − (ΣRm)²].</w:t>
      </w:r>
    </w:p>
    <w:p>
      <w:pPr>
        <w:pStyle w:val="Heading1"/>
      </w:pPr>
      <w:r>
        <w:t>8. Alpha: Risk-Adjusted Performance</w:t>
      </w:r>
    </w:p>
    <w:p>
      <w:pPr>
        <w:spacing w:after="80"/>
        <w:jc w:val="center"/>
      </w:pPr>
      <w:r>
        <w:rPr>
          <w:rFonts w:ascii="Cambria Math" w:hAnsi="Cambria Math"/>
          <w:b/>
          <w:color w:val="17365D"/>
          <w:sz w:val="22"/>
        </w:rPr>
        <w:t>α = Ractual − [Rf + β(Rm − Rf)]</w:t>
      </w:r>
    </w:p>
    <w:p>
      <w:pPr>
        <w:pStyle w:val="ListBullet"/>
        <w:spacing w:after="20"/>
      </w:pPr>
      <w:r>
        <w:t>Positive alpha: actual return exceeds CAPM-expected return.</w:t>
      </w:r>
    </w:p>
    <w:p>
      <w:pPr>
        <w:pStyle w:val="ListBullet"/>
        <w:spacing w:after="20"/>
      </w:pPr>
      <w:r>
        <w:t>Zero alpha: actual return matches CAPM expectation.</w:t>
      </w:r>
    </w:p>
    <w:p>
      <w:pPr>
        <w:pStyle w:val="ListBullet"/>
        <w:spacing w:after="20"/>
      </w:pPr>
      <w:r>
        <w:t>Negative alpha: actual return is below CAPM expectation.</w:t>
      </w:r>
    </w:p>
    <w:p>
      <w:r>
        <w:t>PPT example: Fund A earns 14% vs. expected 13% → α = +1%. Fund B earns 12% vs. expected 8.8% → α = +3.2%. Fund B has higher alpha despite lower actual return.</w:t>
      </w:r>
    </w:p>
    <w:p>
      <w:r>
        <w:t>Another slide illustration: index fund return = 20%, active fund return = 25% at similar risk → excess return = +5%.</w:t>
      </w:r>
    </w:p>
    <w:p>
      <w:pPr>
        <w:pStyle w:val="Heading1"/>
      </w:pPr>
      <w:r>
        <w:t>9. Cost of Equity: Dividend Growth Model (DGM)</w:t>
      </w:r>
    </w:p>
    <w:p>
      <w:pPr>
        <w:spacing w:after="80"/>
        <w:jc w:val="center"/>
      </w:pPr>
      <w:r>
        <w:rPr>
          <w:rFonts w:ascii="Cambria Math" w:hAnsi="Cambria Math"/>
          <w:b/>
          <w:color w:val="17365D"/>
          <w:sz w:val="22"/>
        </w:rPr>
        <w:t>Ke = (D1 / P0) + g</w:t>
      </w:r>
    </w:p>
    <w:p>
      <w:pPr>
        <w:pStyle w:val="ListBullet"/>
        <w:spacing w:after="20"/>
      </w:pPr>
      <w:r>
        <w:t>D1 = expected dividend next year; P0 = current share price; g = expected constant dividend growth.</w:t>
      </w:r>
    </w:p>
    <w:p>
      <w:r>
        <w:t>Illustrative example: D1 = ₹6, P0 = ₹100, g = 4%. Ke = 6/100 + 4% = 10%.</w:t>
      </w:r>
    </w:p>
    <w:p>
      <w:r>
        <w:t>CAPM uses Rf, beta and market return and can be used for companies whether or not they pay dividends. DGM uses share price, expected dividend and growth; it suits stable dividend-paying firms, assumes constant perpetual growth and is sensitive to g.</w:t>
      </w:r>
    </w:p>
    <w:p>
      <w:pPr>
        <w:pStyle w:val="Heading1"/>
      </w:pPr>
      <w:r>
        <w:t>10. Cost of Debt and Tax Shield</w:t>
      </w:r>
    </w:p>
    <w:p>
      <w:r>
        <w:t>The deck's learning outcomes include after-tax cost of debt, but it does not provide a detailed worked debt-cost example.</w:t>
      </w:r>
    </w:p>
    <w:p>
      <w:pPr>
        <w:spacing w:after="80"/>
        <w:jc w:val="center"/>
      </w:pPr>
      <w:r>
        <w:rPr>
          <w:rFonts w:ascii="Cambria Math" w:hAnsi="Cambria Math"/>
          <w:b/>
          <w:color w:val="17365D"/>
          <w:sz w:val="22"/>
        </w:rPr>
        <w:t>After-tax cost of debt = Kd × (1 − T)</w:t>
      </w:r>
    </w:p>
    <w:p>
      <w:r>
        <w:t>Illustrative example: pre-tax Kd = 8%, tax rate T = 25%. After-tax Kd = 8% × (1 − 0.25) = 6%. Interest deductibility creates a tax shield.</w:t>
      </w:r>
    </w:p>
    <w:p>
      <w:pPr>
        <w:pStyle w:val="Heading1"/>
      </w:pPr>
      <w:r>
        <w:t>11. WACC: Weighted Average Cost of Capital</w:t>
      </w:r>
    </w:p>
    <w:p>
      <w:pPr>
        <w:spacing w:after="80"/>
        <w:jc w:val="center"/>
      </w:pPr>
      <w:r>
        <w:rPr>
          <w:rFonts w:ascii="Cambria Math" w:hAnsi="Cambria Math"/>
          <w:b/>
          <w:color w:val="17365D"/>
          <w:sz w:val="22"/>
        </w:rPr>
        <w:t>WACC = (E/V)Ke + (D/V)Kd(1 − T)</w:t>
      </w:r>
    </w:p>
    <w:p>
      <w:pPr>
        <w:pStyle w:val="ListBullet"/>
        <w:spacing w:after="20"/>
      </w:pPr>
      <w:r>
        <w:t>E = market value of equity; D = market value of debt; V = E + D.</w:t>
      </w:r>
    </w:p>
    <w:p>
      <w:pPr>
        <w:pStyle w:val="ListBullet"/>
        <w:spacing w:after="20"/>
      </w:pPr>
      <w:r>
        <w:t>Ke = cost of equity; Kd = pre-tax cost of debt; T = tax rate.</w:t>
      </w:r>
    </w:p>
    <w:p>
      <w:pPr>
        <w:pStyle w:val="ListBullet"/>
        <w:spacing w:after="20"/>
      </w:pPr>
      <w:r>
        <w:t>E/V and D/V are the financing weights and should add to 100%.</w:t>
      </w:r>
    </w:p>
    <w:p>
      <w:r>
        <w:t>Illustrative example: 60% equity, 40% debt, Ke = 12%, Kd = 8%, T = 25%.</w:t>
        <w:br/>
        <w:t>WACC = 0.60(12%) + 0.40(8%)(1 − 0.25) = 7.2% + 2.4% = 9.6%.</w:t>
      </w:r>
    </w:p>
    <w:p>
      <w:r>
        <w:t>WACC is the blended financing cost and is commonly used as a discount rate for projects with risk comparable to the company's existing operations.</w:t>
      </w:r>
    </w:p>
    <w:p>
      <w:pPr>
        <w:pStyle w:val="Heading1"/>
      </w:pPr>
      <w:r>
        <w:t>12. Formula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Concept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Formula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CAPM cost of equity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 = Rf + β(Rm − Rf)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Dividend Growth Model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 = D1/P0 + 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Historical beta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β = Cov(Ri, Rm) / Var(Rm)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Alpha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α = Ractual − [Rf + β(Rm − Rf)]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After-tax cost of debt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Kd(1 − T)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WACC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(E/V)Ke + (D/V)Kd(1 − T)</w:t>
            </w:r>
          </w:p>
        </w:tc>
      </w:tr>
    </w:tbl>
    <w:p>
      <w:pPr>
        <w:pStyle w:val="Heading1"/>
      </w:pPr>
      <w:r>
        <w:t>13. Quick Exam Reminders</w:t>
      </w:r>
    </w:p>
    <w:p>
      <w:pPr>
        <w:pStyle w:val="ListBullet"/>
        <w:spacing w:after="20"/>
      </w:pPr>
      <w:r>
        <w:t>CAPM compensates investors for systematic risk, not diversifiable company-specific risk.</w:t>
      </w:r>
    </w:p>
    <w:p>
      <w:pPr>
        <w:pStyle w:val="ListBullet"/>
        <w:spacing w:after="20"/>
      </w:pPr>
      <w:r>
        <w:t>Higher beta means a larger CAPM risk premium when the market risk premium is positive.</w:t>
      </w:r>
    </w:p>
    <w:p>
      <w:pPr>
        <w:pStyle w:val="ListBullet"/>
        <w:spacing w:after="20"/>
      </w:pPr>
      <w:r>
        <w:t>Positive alpha means return above the CAPM-required return.</w:t>
      </w:r>
    </w:p>
    <w:p>
      <w:pPr>
        <w:pStyle w:val="ListBullet"/>
        <w:spacing w:after="20"/>
      </w:pPr>
      <w:r>
        <w:t>For DGM, use the expected dividend next year (D1).</w:t>
      </w:r>
    </w:p>
    <w:p>
      <w:pPr>
        <w:pStyle w:val="ListBullet"/>
        <w:spacing w:after="20"/>
      </w:pPr>
      <w:r>
        <w:t>In WACC, apply the tax adjustment to debt cost, not equity cost.</w:t>
      </w:r>
    </w:p>
    <w:p>
      <w:pPr>
        <w:pStyle w:val="ListBullet"/>
        <w:spacing w:after="20"/>
      </w:pPr>
      <w:r>
        <w:t>Equity weight + debt weight = 1 (or 100%).</w:t>
      </w:r>
    </w:p>
    <w:p>
      <w:pPr>
        <w:pStyle w:val="ListBullet"/>
        <w:spacing w:after="20"/>
      </w:pPr>
      <w:r>
        <w:t>The deck's learning outcomes emphasize CAPM/DGM, after-tax cost of debt, WACC and capital-structure effects.</w:t>
      </w:r>
    </w:p>
    <w:p>
      <w:pPr>
        <w:jc w:val="center"/>
      </w:pPr>
      <w:r>
        <w:rPr>
          <w:b/>
          <w:color w:val="17365D"/>
        </w:rPr>
        <w:t>End of Lecture 9 One-Shot Notes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