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LECTURE 8 — ONE-SHOT NOTES</w:t>
      </w:r>
    </w:p>
    <w:p>
      <w:pPr>
        <w:jc w:val="center"/>
      </w:pPr>
      <w:r>
        <w:rPr>
          <w:i/>
          <w:sz w:val="22"/>
        </w:rPr>
        <w:t>Financial Planning &amp; Analysis: Capital Budgeting Techniques</w:t>
      </w:r>
    </w:p>
    <w:p>
      <w:pPr>
        <w:pStyle w:val="Heading1"/>
      </w:pPr>
      <w:r>
        <w:t>1. Capital Budgeting: Fundamentals</w:t>
      </w:r>
    </w:p>
    <w:p>
      <w:r>
        <w:t>Capital budgeting is the process of planning and evaluating large, long-term investments whose cash flows extend many years into the future. Examples include buying machinery, expanding a product line, building a factory, or acquiring another business.</w:t>
      </w:r>
    </w:p>
    <w:p>
      <w:r>
        <w:t>Why it matters: investments often require large upfront spending, are difficult to reverse fully (sunk-cost exposure), and shape future cash flows, risk, and competitiveness.</w:t>
      </w:r>
    </w:p>
    <w:p>
      <w:pPr>
        <w:pStyle w:val="Heading2"/>
      </w:pPr>
      <w:r>
        <w:t>Types of investment decisions:</w:t>
      </w:r>
    </w:p>
    <w:p>
      <w:pPr>
        <w:pStyle w:val="ListBullet"/>
      </w:pPr>
      <w:r>
        <w:t>Expansion: add capacity to grow the business.</w:t>
      </w:r>
    </w:p>
    <w:p>
      <w:pPr>
        <w:pStyle w:val="ListBullet"/>
      </w:pPr>
      <w:r>
        <w:t>Replacement: replace existing assets.</w:t>
      </w:r>
    </w:p>
    <w:p>
      <w:pPr>
        <w:pStyle w:val="ListBullet"/>
      </w:pPr>
      <w:r>
        <w:t>Diversification: enter new products or markets.</w:t>
      </w:r>
    </w:p>
    <w:p>
      <w:r>
        <w:t>Typical process: identify opportunity → estimate cash flows → evaluate using NPV, IRR, or Payback → accept/reject → monitor and review.</w:t>
      </w:r>
    </w:p>
    <w:p>
      <w:r>
        <w:t>Use incremental cash flows for appraisal, not accounting profit alone.</w:t>
      </w:r>
    </w:p>
    <w:p>
      <w:pPr>
        <w:pStyle w:val="Heading1"/>
      </w:pPr>
      <w:r>
        <w:t>2. Net Present Value (NPV)</w:t>
      </w:r>
    </w:p>
    <w:p>
      <w:r>
        <w:t>NPV discounts each future cash flow to present value using the firm’s cost of capital and subtracts the initial investment. It measures the value a project is expected to add in today’s money.</w:t>
      </w:r>
    </w:p>
    <w:p>
      <w:r>
        <w:t>Formula:  NPV = Σ [CFₜ / (1 + r)ᵗ] − I₀</w:t>
      </w:r>
    </w:p>
    <w:p>
      <w:r>
        <w:t>CFₜ = cash flow in period t; r = discount rate/cost of capital; t = period; I₀ = initial investment.</w:t>
      </w:r>
    </w:p>
    <w:p>
      <w:r>
        <w:t>Decision rule: NPV &gt; 0 → accept; NPV = 0 → earns exactly the required return (financially indifferent); NPV &lt; 0 → reject.</w:t>
      </w:r>
    </w:p>
    <w:p>
      <w:r>
        <w:t>NPV is expressed in currency and directly measures value added. NPVs of independent projects are additive. When mutually exclusive projects conflict in ranking, NPV is generally the preferred criterion.</w:t>
      </w:r>
    </w:p>
    <w:p>
      <w:r>
        <w:t>Bharat AutoParts example:</w:t>
      </w:r>
    </w:p>
    <w:p>
      <w:pPr>
        <w:pStyle w:val="ListBullet"/>
      </w:pPr>
      <w:r>
        <w:t>Initial investment: ₹80,00,000 (₹80 lakh).</w:t>
      </w:r>
    </w:p>
    <w:p>
      <w:pPr>
        <w:pStyle w:val="ListBullet"/>
      </w:pPr>
      <w:r>
        <w:t>Annual incremental cash flow: ₹25,00,000 for 5 years.</w:t>
      </w:r>
    </w:p>
    <w:p>
      <w:pPr>
        <w:pStyle w:val="ListBullet"/>
      </w:pPr>
      <w:r>
        <w:t>Cost of capital: 12%.</w:t>
      </w:r>
    </w:p>
    <w:p>
      <w:pPr>
        <w:pStyle w:val="ListBullet"/>
      </w:pPr>
      <w:r>
        <w:t>PVIFA (12%, 5 years) = [1 − (1.12)⁻⁵] / 0.12 ≈ 3.6048.</w:t>
      </w:r>
    </w:p>
    <w:p>
      <w:pPr>
        <w:pStyle w:val="ListBullet"/>
      </w:pPr>
      <w:r>
        <w:t>PV of inflows ≈ ₹25,00,000 × 3.6048 ≈ ₹90.12 lakh.</w:t>
      </w:r>
    </w:p>
    <w:p>
      <w:pPr>
        <w:pStyle w:val="ListBullet"/>
      </w:pPr>
      <w:r>
        <w:t>NPV ≈ ₹90.12 lakh − ₹80 lakh = +₹10.12 lakh; accept.</w:t>
      </w:r>
    </w:p>
    <w:p>
      <w:pPr>
        <w:pStyle w:val="Heading1"/>
      </w:pPr>
      <w:r>
        <w:t>3. Internal Rate of Return (IRR)</w:t>
      </w:r>
    </w:p>
    <w:p>
      <w:r>
        <w:t>IRR is the discount rate at which a project’s NPV equals zero—the project’s break-even rate of return.</w:t>
      </w:r>
    </w:p>
    <w:p>
      <w:r>
        <w:t>Formula:  0 = Σ [CFₜ / (1 + IRR)ᵗ] − I₀</w:t>
      </w:r>
    </w:p>
    <w:p>
      <w:r>
        <w:t>It is usually found through trial and error, interpolation, a financial calculator, or spreadsheet IRR().</w:t>
      </w:r>
    </w:p>
    <w:p>
      <w:r>
        <w:t>Decision rule: IRR &gt; cost of capital → accept; IRR &lt; cost of capital → reject; IRR = cost of capital → financially indifferent.</w:t>
      </w:r>
    </w:p>
    <w:p>
      <w:r>
        <w:t>Bharat AutoParts example: the source compares 12% (NPV about +₹10.12 lakh), 17% (NPV about +₹2,000, approximately zero), and 18% (NPV about −₹1.82 lakh). Thus IRR is approximately 17%. Since 17% &gt; 12%, accept.</w:t>
      </w:r>
    </w:p>
    <w:p>
      <w:pPr>
        <w:pStyle w:val="Heading2"/>
      </w:pPr>
      <w:r>
        <w:t>IRR limitations:</w:t>
      </w:r>
    </w:p>
    <w:p>
      <w:pPr>
        <w:pStyle w:val="ListBullet"/>
      </w:pPr>
      <w:r>
        <w:t>Scale blindness: a small project can have a higher percentage IRR but create less total value.</w:t>
      </w:r>
    </w:p>
    <w:p>
      <w:pPr>
        <w:pStyle w:val="ListBullet"/>
      </w:pPr>
      <w:r>
        <w:t>Reinvestment assumption: IRR implicitly assumes interim cash flows are reinvested at the IRR; NPV uses the cost of capital assumption.</w:t>
      </w:r>
    </w:p>
    <w:p>
      <w:pPr>
        <w:pStyle w:val="ListBullet"/>
      </w:pPr>
      <w:r>
        <w:t>Multiple IRRs can occur with unconventional cash flows, such as a later large outflow.</w:t>
      </w:r>
    </w:p>
    <w:p>
      <w:pPr>
        <w:pStyle w:val="ListBullet"/>
      </w:pPr>
      <w:r>
        <w:t>For mutually exclusive projects, if IRR and NPV rankings conflict, prefer the higher-NPV project.</w:t>
      </w:r>
    </w:p>
    <w:p>
      <w:r>
        <w:t>Source comparison: Solar project — NPV ₹21,94,731 and IRR 17.2%; LED retrofit — NPV ₹4,26,439 and IRR 28.5%. The LED project has higher IRR, but the solar project adds more total value; NPV wins when choosing only one.</w:t>
      </w:r>
    </w:p>
    <w:p>
      <w:pPr>
        <w:pStyle w:val="Heading1"/>
      </w:pPr>
      <w:r>
        <w:t>4. Payback Period</w:t>
      </w:r>
    </w:p>
    <w:p>
      <w:r>
        <w:t>Payback Period is the time required for cumulative undiscounted cash flows to recover the initial investment. It is a simple indicator of liquidity and exposure to risk.</w:t>
      </w:r>
    </w:p>
    <w:p>
      <w:r>
        <w:t>Formula: Payback = years before recovery + (remaining amount to recover ÷ cash flow in the next year).</w:t>
      </w:r>
    </w:p>
    <w:p>
      <w:r>
        <w:t>Strength: simple and easy to communicate. Limitations: ignores time value of money and ignores cash flows after the payback point.</w:t>
      </w:r>
    </w:p>
    <w:p>
      <w:r>
        <w:t>Bharat AutoParts example: ₹80 lakh initial investment; ₹25 lakh per year. Payback = 3 years + ₹5 lakh / ₹25 lakh = 3.2 years.</w:t>
      </w:r>
    </w:p>
    <w:p>
      <w:pPr>
        <w:pStyle w:val="Heading1"/>
      </w:pPr>
      <w:r>
        <w:t>5. Discounted Payback Period</w:t>
      </w:r>
    </w:p>
    <w:p>
      <w:r>
        <w:t>Discounted Payback is the time required for cumulative discounted cash flows to recover the initial investment. It corrects the simple payback method’s failure to account for time value of money.</w:t>
      </w:r>
    </w:p>
    <w:p>
      <w:r>
        <w:t>Method: discount each period’s cash flow at the cost of capital; accumulate discounted cash flows; when the investment is recovered partway through a year, divide the remaining amount by that year’s discounted cash flow and add the fraction to completed years.</w:t>
      </w:r>
    </w:p>
    <w:p>
      <w:r>
        <w:t>Bharat AutoParts example from the source: after Year 4, ₹75,93,414 has been recovered, leaving ₹4,06,586. Year 5 discounted cash flow is ₹14,18,578. Discounted Payback ≈ 4 + (₹4,06,586 / ₹14,18,578) ≈ 4.29 years.</w:t>
      </w:r>
    </w:p>
    <w:p>
      <w:r>
        <w:t>Limitation: even discounted payback ignores cash flows received after the payback point.</w:t>
      </w:r>
    </w:p>
    <w:p>
      <w:pPr>
        <w:pStyle w:val="Heading1"/>
      </w:pPr>
      <w:r>
        <w:t>6. Capital Rationing</w:t>
      </w:r>
    </w:p>
    <w:p>
      <w:r>
        <w:t>Capital rationing occurs when the firm’s available capital budget is smaller than the funding required for all attractive projects.</w:t>
      </w:r>
    </w:p>
    <w:p>
      <w:r>
        <w:t>Soft rationing: a self-imposed budget ceiling set by management. Hard rationing: an external funding constraint, such as lenders or capital markets being unwilling to provide more funds.</w:t>
      </w:r>
    </w:p>
    <w:p>
      <w:r>
        <w:t>Under a limited budget, value created per rupee invested may matter—not just total NPV.</w:t>
      </w:r>
    </w:p>
    <w:p>
      <w:pPr>
        <w:pStyle w:val="Heading1"/>
      </w:pPr>
      <w:r>
        <w:t>7. Profitability Index (PI)</w:t>
      </w:r>
    </w:p>
    <w:p>
      <w:r>
        <w:t>Formula: PI = Present value of future cash flows ÷ Initial investment.</w:t>
      </w:r>
    </w:p>
    <w:p>
      <w:r>
        <w:t>PI measures present value generated per rupee invested. PI &gt; 1 is equivalent to NPV &gt; 0, so the project is attractive on a standalone basis.</w:t>
      </w:r>
    </w:p>
    <w:p>
      <w:r>
        <w:t>Under capital rationing, rank projects from highest to lowest PI and consider funding in that order. However, PI ranking alone can fail for large indivisible (“lumpy”) projects; compare total NPV across feasible combinations.</w:t>
      </w:r>
    </w:p>
    <w:p>
      <w:pPr>
        <w:pStyle w:val="Heading2"/>
      </w:pPr>
      <w:r>
        <w:t>Source example — ₹1 crore budget: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Project</w:t>
            </w:r>
          </w:p>
        </w:tc>
        <w:tc>
          <w:tcPr>
            <w:tcW w:type="dxa" w:w="2520"/>
          </w:tcPr>
          <w:p>
            <w:r>
              <w:t>Investment</w:t>
            </w:r>
          </w:p>
        </w:tc>
        <w:tc>
          <w:tcPr>
            <w:tcW w:type="dxa" w:w="2520"/>
          </w:tcPr>
          <w:p>
            <w:r>
              <w:t>NPV</w:t>
            </w:r>
          </w:p>
        </w:tc>
        <w:tc>
          <w:tcPr>
            <w:tcW w:type="dxa" w:w="2520"/>
          </w:tcPr>
          <w:p>
            <w:r>
              <w:t>PI</w:t>
            </w:r>
          </w:p>
        </w:tc>
      </w:tr>
      <w:tr>
        <w:tc>
          <w:tcPr>
            <w:tcW w:type="dxa" w:w="2520"/>
          </w:tcPr>
          <w:p>
            <w:r>
              <w:t>A — Solar plant</w:t>
            </w:r>
          </w:p>
        </w:tc>
        <w:tc>
          <w:tcPr>
            <w:tcW w:type="dxa" w:w="2520"/>
          </w:tcPr>
          <w:p>
            <w:r>
              <w:t>₹1,00,00,000</w:t>
            </w:r>
          </w:p>
        </w:tc>
        <w:tc>
          <w:tcPr>
            <w:tcW w:type="dxa" w:w="2520"/>
          </w:tcPr>
          <w:p>
            <w:r>
              <w:t>₹21,94,731</w:t>
            </w:r>
          </w:p>
        </w:tc>
        <w:tc>
          <w:tcPr>
            <w:tcW w:type="dxa" w:w="2520"/>
          </w:tcPr>
          <w:p>
            <w:r>
              <w:t>1.22 (rank 2)</w:t>
            </w:r>
          </w:p>
        </w:tc>
      </w:tr>
      <w:tr>
        <w:tc>
          <w:tcPr>
            <w:tcW w:type="dxa" w:w="2520"/>
          </w:tcPr>
          <w:p>
            <w:r>
              <w:t>B — LED retrofit</w:t>
            </w:r>
          </w:p>
        </w:tc>
        <w:tc>
          <w:tcPr>
            <w:tcW w:type="dxa" w:w="2520"/>
          </w:tcPr>
          <w:p>
            <w:r>
              <w:t>₹10,00,000</w:t>
            </w:r>
          </w:p>
        </w:tc>
        <w:tc>
          <w:tcPr>
            <w:tcW w:type="dxa" w:w="2520"/>
          </w:tcPr>
          <w:p>
            <w:r>
              <w:t>₹4,26,439</w:t>
            </w:r>
          </w:p>
        </w:tc>
        <w:tc>
          <w:tcPr>
            <w:tcW w:type="dxa" w:w="2520"/>
          </w:tcPr>
          <w:p>
            <w:r>
              <w:t>1.43 (rank 1)</w:t>
            </w:r>
          </w:p>
        </w:tc>
      </w:tr>
      <w:tr>
        <w:tc>
          <w:tcPr>
            <w:tcW w:type="dxa" w:w="2520"/>
          </w:tcPr>
          <w:p>
            <w:r>
              <w:t>C — Warehouse automation</w:t>
            </w:r>
          </w:p>
        </w:tc>
        <w:tc>
          <w:tcPr>
            <w:tcW w:type="dxa" w:w="2520"/>
          </w:tcPr>
          <w:p>
            <w:r>
              <w:t>₹40,00,000</w:t>
            </w:r>
          </w:p>
        </w:tc>
        <w:tc>
          <w:tcPr>
            <w:tcW w:type="dxa" w:w="2520"/>
          </w:tcPr>
          <w:p>
            <w:r>
              <w:t>₹5,48,960</w:t>
            </w:r>
          </w:p>
        </w:tc>
        <w:tc>
          <w:tcPr>
            <w:tcW w:type="dxa" w:w="2520"/>
          </w:tcPr>
          <w:p>
            <w:r>
              <w:t>1.14 (rank 3)</w:t>
            </w:r>
          </w:p>
        </w:tc>
      </w:tr>
    </w:tbl>
    <w:p>
      <w:r>
        <w:t>Funding B + C uses ₹50 lakh and creates total NPV of about ₹9.75 lakh, leaving ₹50 lakh unused. Funding A alone uses the ₹1 crore budget and creates NPV of about ₹21.95 lakh. Therefore, for indivisible projects, compare feasible combinations rather than blindly following PI rank.</w:t>
      </w:r>
    </w:p>
    <w:p>
      <w:pPr>
        <w:pStyle w:val="Heading1"/>
      </w:pPr>
      <w:r>
        <w:t>8. Quick Comparison of Techniques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Technique</w:t>
            </w:r>
          </w:p>
        </w:tc>
        <w:tc>
          <w:tcPr>
            <w:tcW w:type="dxa" w:w="2520"/>
          </w:tcPr>
          <w:p>
            <w:r>
              <w:t>Time value considered?</w:t>
            </w:r>
          </w:p>
        </w:tc>
        <w:tc>
          <w:tcPr>
            <w:tcW w:type="dxa" w:w="2520"/>
          </w:tcPr>
          <w:p>
            <w:r>
              <w:t>Main strength</w:t>
            </w:r>
          </w:p>
        </w:tc>
        <w:tc>
          <w:tcPr>
            <w:tcW w:type="dxa" w:w="2520"/>
          </w:tcPr>
          <w:p>
            <w:r>
              <w:t>Main limitation</w:t>
            </w:r>
          </w:p>
        </w:tc>
      </w:tr>
      <w:tr>
        <w:tc>
          <w:tcPr>
            <w:tcW w:type="dxa" w:w="2520"/>
          </w:tcPr>
          <w:p>
            <w:r>
              <w:t>NPV</w:t>
            </w:r>
          </w:p>
        </w:tc>
        <w:tc>
          <w:tcPr>
            <w:tcW w:type="dxa" w:w="2520"/>
          </w:tcPr>
          <w:p>
            <w:r>
              <w:t>Yes</w:t>
            </w:r>
          </w:p>
        </w:tc>
        <w:tc>
          <w:tcPr>
            <w:tcW w:type="dxa" w:w="2520"/>
          </w:tcPr>
          <w:p>
            <w:r>
              <w:t>Measures value created in currency; additive</w:t>
            </w:r>
          </w:p>
        </w:tc>
        <w:tc>
          <w:tcPr>
            <w:tcW w:type="dxa" w:w="2520"/>
          </w:tcPr>
          <w:p>
            <w:r>
              <w:t>Needs a suitable discount rate</w:t>
            </w:r>
          </w:p>
        </w:tc>
      </w:tr>
      <w:tr>
        <w:tc>
          <w:tcPr>
            <w:tcW w:type="dxa" w:w="2520"/>
          </w:tcPr>
          <w:p>
            <w:r>
              <w:t>IRR</w:t>
            </w:r>
          </w:p>
        </w:tc>
        <w:tc>
          <w:tcPr>
            <w:tcW w:type="dxa" w:w="2520"/>
          </w:tcPr>
          <w:p>
            <w:r>
              <w:t>Yes</w:t>
            </w:r>
          </w:p>
        </w:tc>
        <w:tc>
          <w:tcPr>
            <w:tcW w:type="dxa" w:w="2520"/>
          </w:tcPr>
          <w:p>
            <w:r>
              <w:t>Intuitive percentage return</w:t>
            </w:r>
          </w:p>
        </w:tc>
        <w:tc>
          <w:tcPr>
            <w:tcW w:type="dxa" w:w="2520"/>
          </w:tcPr>
          <w:p>
            <w:r>
              <w:t>Scale-blind; can conflict with NPV; multiple IRRs possible</w:t>
            </w:r>
          </w:p>
        </w:tc>
      </w:tr>
      <w:tr>
        <w:tc>
          <w:tcPr>
            <w:tcW w:type="dxa" w:w="2520"/>
          </w:tcPr>
          <w:p>
            <w:r>
              <w:t>Payback</w:t>
            </w:r>
          </w:p>
        </w:tc>
        <w:tc>
          <w:tcPr>
            <w:tcW w:type="dxa" w:w="2520"/>
          </w:tcPr>
          <w:p>
            <w:r>
              <w:t>No</w:t>
            </w:r>
          </w:p>
        </w:tc>
        <w:tc>
          <w:tcPr>
            <w:tcW w:type="dxa" w:w="2520"/>
          </w:tcPr>
          <w:p>
            <w:r>
              <w:t>Simple; highlights liquidity risk</w:t>
            </w:r>
          </w:p>
        </w:tc>
        <w:tc>
          <w:tcPr>
            <w:tcW w:type="dxa" w:w="2520"/>
          </w:tcPr>
          <w:p>
            <w:r>
              <w:t>Ignores time value and post-payback cash flows</w:t>
            </w:r>
          </w:p>
        </w:tc>
      </w:tr>
      <w:tr>
        <w:tc>
          <w:tcPr>
            <w:tcW w:type="dxa" w:w="2520"/>
          </w:tcPr>
          <w:p>
            <w:r>
              <w:t>Discounted Payback</w:t>
            </w:r>
          </w:p>
        </w:tc>
        <w:tc>
          <w:tcPr>
            <w:tcW w:type="dxa" w:w="2520"/>
          </w:tcPr>
          <w:p>
            <w:r>
              <w:t>Yes</w:t>
            </w:r>
          </w:p>
        </w:tc>
        <w:tc>
          <w:tcPr>
            <w:tcW w:type="dxa" w:w="2520"/>
          </w:tcPr>
          <w:p>
            <w:r>
              <w:t>Accounts for time value in recovery period</w:t>
            </w:r>
          </w:p>
        </w:tc>
        <w:tc>
          <w:tcPr>
            <w:tcW w:type="dxa" w:w="2520"/>
          </w:tcPr>
          <w:p>
            <w:r>
              <w:t>Ignores post-payback cash flows</w:t>
            </w:r>
          </w:p>
        </w:tc>
      </w:tr>
    </w:tbl>
    <w:p>
      <w:pPr>
        <w:pStyle w:val="Heading1"/>
      </w:pPr>
      <w:r>
        <w:t>9. Formula Sheet</w:t>
      </w:r>
    </w:p>
    <w:p>
      <w:pPr>
        <w:pStyle w:val="ListBullet"/>
      </w:pPr>
      <w:r>
        <w:t>NPV = Σ [CFₜ / (1 + r)ᵗ] − I₀</w:t>
      </w:r>
    </w:p>
    <w:p>
      <w:pPr>
        <w:pStyle w:val="ListBullet"/>
      </w:pPr>
      <w:r>
        <w:t>PVIFA = [1 − (1 + r)⁻ⁿ] / r</w:t>
      </w:r>
    </w:p>
    <w:p>
      <w:pPr>
        <w:pStyle w:val="ListBullet"/>
      </w:pPr>
      <w:r>
        <w:t>IRR: the rate that makes NPV = 0</w:t>
      </w:r>
    </w:p>
    <w:p>
      <w:pPr>
        <w:pStyle w:val="ListBullet"/>
      </w:pPr>
      <w:r>
        <w:t>Payback = completed years before recovery + unrecovered amount / next year’s cash flow</w:t>
      </w:r>
    </w:p>
    <w:p>
      <w:pPr>
        <w:pStyle w:val="ListBullet"/>
      </w:pPr>
      <w:r>
        <w:t>PI = PV of future cash flows / initial investment</w:t>
      </w:r>
    </w:p>
    <w:p>
      <w:pPr>
        <w:pStyle w:val="ListBullet"/>
      </w:pPr>
      <w:r>
        <w:t>PI &gt; 1 ⇔ NPV &gt; 0</w:t>
      </w:r>
    </w:p>
    <w:p/>
    <w:p>
      <w:pPr>
        <w:jc w:val="center"/>
      </w:pPr>
      <w:r>
        <w:rPr>
          <w:i/>
          <w:sz w:val="18"/>
        </w:rPr>
        <w:t>End of Lecture 8 one-shot notes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