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ONE-SHOT STUDY NOTES</w:t>
      </w:r>
    </w:p>
    <w:p>
      <w:pPr>
        <w:jc w:val="center"/>
      </w:pPr>
      <w:r>
        <w:rPr>
          <w:b/>
          <w:sz w:val="26"/>
        </w:rPr>
        <w:t>Lectures 10–11 | Bonds &amp; Stock Valuation, WACC, Valuation &amp; Forecasting</w:t>
      </w:r>
    </w:p>
    <w:p>
      <w:r>
        <w:t>Purpose: a consolidated revision document with definitions, core formulas, worked examples, and video resources. The WACC figures below are the figures reported in the prior lesson summary; the screenshots available in the conversation showed the WACC and Valuation &amp; Forecasting slide-deck structures, not every underlying calculation detail.</w:t>
      </w:r>
    </w:p>
    <w:p>
      <w:pPr>
        <w:pStyle w:val="Heading1"/>
      </w:pPr>
      <w:r>
        <w:t>How the two lectures fit together</w:t>
      </w:r>
    </w:p>
    <w:p>
      <w:pPr>
        <w:pStyle w:val="ListBullet"/>
        <w:spacing w:after="40"/>
      </w:pPr>
      <w:r>
        <w:t>Bond and stock valuation estimate what a debt or equity security is worth from the cash flows investors expect to receive.</w:t>
      </w:r>
    </w:p>
    <w:p>
      <w:pPr>
        <w:pStyle w:val="ListBullet"/>
        <w:spacing w:after="40"/>
      </w:pPr>
      <w:r>
        <w:t>WACC estimates the blended required return of a company’s debt and equity providers.</w:t>
      </w:r>
    </w:p>
    <w:p>
      <w:pPr>
        <w:pStyle w:val="ListBullet"/>
        <w:spacing w:after="40"/>
      </w:pPr>
      <w:r>
        <w:t>Valuation and forecasting estimate the cash a business may generate in the future, then discount it to estimate present value.</w:t>
      </w:r>
    </w:p>
    <w:p>
      <w:pPr>
        <w:spacing w:before="40" w:after="100"/>
        <w:ind w:left="360"/>
      </w:pPr>
      <w:r>
        <w:rPr>
          <w:rFonts w:ascii="Aptos" w:hAnsi="Aptos"/>
          <w:b/>
          <w:color w:val="1F4E79"/>
          <w:sz w:val="21"/>
        </w:rPr>
        <w:t>Big picture: Forecast cash flows → choose the relevant discount rate → discount cash flows → estimate value.</w:t>
      </w:r>
    </w:p>
    <w:p>
      <w:pPr>
        <w:pStyle w:val="Heading1"/>
      </w:pPr>
      <w:r>
        <w:t>PART A — Bonds and Stock Valuation</w:t>
      </w:r>
    </w:p>
    <w:p>
      <w:pPr>
        <w:pStyle w:val="Heading2"/>
      </w:pPr>
      <w:r>
        <w:t>1. Debt versus equity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pPr>
              <w:spacing w:after="0"/>
            </w:pPr>
            <w:r/>
            <w:r>
              <w:rPr>
                <w:b/>
                <w:sz w:val="18"/>
              </w:rPr>
              <w:t>Feature</w:t>
            </w:r>
          </w:p>
        </w:tc>
        <w:tc>
          <w:tcPr>
            <w:tcW w:type="dxa" w:w="3360"/>
            <w:vAlign w:val="center"/>
            <w:shd w:fill="D9E5F2"/>
          </w:tcPr>
          <w:p>
            <w:pPr>
              <w:spacing w:after="0"/>
            </w:pPr>
            <w:r/>
            <w:r>
              <w:rPr>
                <w:b/>
                <w:sz w:val="18"/>
              </w:rPr>
              <w:t>Debt (e.g., bond)</w:t>
            </w:r>
          </w:p>
        </w:tc>
        <w:tc>
          <w:tcPr>
            <w:tcW w:type="dxa" w:w="3360"/>
            <w:vAlign w:val="center"/>
            <w:shd w:fill="D9E5F2"/>
          </w:tcPr>
          <w:p>
            <w:pPr>
              <w:spacing w:after="0"/>
            </w:pPr>
            <w:r/>
            <w:r>
              <w:rPr>
                <w:b/>
                <w:sz w:val="18"/>
              </w:rPr>
              <w:t>Equity (e.g., ordinary share)</w:t>
            </w:r>
          </w:p>
        </w:tc>
      </w:tr>
      <w:tr>
        <w:tc>
          <w:tcPr>
            <w:tcW w:type="dxa" w:w="3360"/>
            <w:vAlign w:val="center"/>
          </w:tcPr>
          <w:p>
            <w:pPr>
              <w:spacing w:after="0"/>
            </w:pPr>
            <w:r/>
            <w:r>
              <w:rPr>
                <w:b w:val="0"/>
                <w:sz w:val="18"/>
              </w:rPr>
              <w:t>Investor’s role</w:t>
            </w:r>
          </w:p>
        </w:tc>
        <w:tc>
          <w:tcPr>
            <w:tcW w:type="dxa" w:w="3360"/>
            <w:vAlign w:val="center"/>
          </w:tcPr>
          <w:p>
            <w:pPr>
              <w:spacing w:after="0"/>
            </w:pPr>
            <w:r/>
            <w:r>
              <w:rPr>
                <w:b w:val="0"/>
                <w:sz w:val="18"/>
              </w:rPr>
              <w:t>Lender / creditor</w:t>
            </w:r>
          </w:p>
        </w:tc>
        <w:tc>
          <w:tcPr>
            <w:tcW w:type="dxa" w:w="3360"/>
            <w:vAlign w:val="center"/>
          </w:tcPr>
          <w:p>
            <w:pPr>
              <w:spacing w:after="0"/>
            </w:pPr>
            <w:r/>
            <w:r>
              <w:rPr>
                <w:b w:val="0"/>
                <w:sz w:val="18"/>
              </w:rPr>
              <w:t>Owner / shareholder</w:t>
            </w:r>
          </w:p>
        </w:tc>
      </w:tr>
      <w:tr>
        <w:tc>
          <w:tcPr>
            <w:tcW w:type="dxa" w:w="3360"/>
            <w:vAlign w:val="center"/>
          </w:tcPr>
          <w:p>
            <w:pPr>
              <w:spacing w:after="0"/>
            </w:pPr>
            <w:r/>
            <w:r>
              <w:rPr>
                <w:b w:val="0"/>
                <w:sz w:val="18"/>
              </w:rPr>
              <w:t>Cash return</w:t>
            </w:r>
          </w:p>
        </w:tc>
        <w:tc>
          <w:tcPr>
            <w:tcW w:type="dxa" w:w="3360"/>
            <w:vAlign w:val="center"/>
          </w:tcPr>
          <w:p>
            <w:pPr>
              <w:spacing w:after="0"/>
            </w:pPr>
            <w:r/>
            <w:r>
              <w:rPr>
                <w:b w:val="0"/>
                <w:sz w:val="18"/>
              </w:rPr>
              <w:t>Interest/coupon, plus principal repayment if applicable</w:t>
            </w:r>
          </w:p>
        </w:tc>
        <w:tc>
          <w:tcPr>
            <w:tcW w:type="dxa" w:w="3360"/>
            <w:vAlign w:val="center"/>
          </w:tcPr>
          <w:p>
            <w:pPr>
              <w:spacing w:after="0"/>
            </w:pPr>
            <w:r/>
            <w:r>
              <w:rPr>
                <w:b w:val="0"/>
                <w:sz w:val="18"/>
              </w:rPr>
              <w:t>Dividends, if declared, and potential price appreciation</w:t>
            </w:r>
          </w:p>
        </w:tc>
      </w:tr>
      <w:tr>
        <w:tc>
          <w:tcPr>
            <w:tcW w:type="dxa" w:w="3360"/>
            <w:vAlign w:val="center"/>
          </w:tcPr>
          <w:p>
            <w:pPr>
              <w:spacing w:after="0"/>
            </w:pPr>
            <w:r/>
            <w:r>
              <w:rPr>
                <w:b w:val="0"/>
                <w:sz w:val="18"/>
              </w:rPr>
              <w:t>Contract</w:t>
            </w:r>
          </w:p>
        </w:tc>
        <w:tc>
          <w:tcPr>
            <w:tcW w:type="dxa" w:w="3360"/>
            <w:vAlign w:val="center"/>
          </w:tcPr>
          <w:p>
            <w:pPr>
              <w:spacing w:after="0"/>
            </w:pPr>
            <w:r/>
            <w:r>
              <w:rPr>
                <w:b w:val="0"/>
                <w:sz w:val="18"/>
              </w:rPr>
              <w:t>Usually has defined payment terms and maturity</w:t>
            </w:r>
          </w:p>
        </w:tc>
        <w:tc>
          <w:tcPr>
            <w:tcW w:type="dxa" w:w="3360"/>
            <w:vAlign w:val="center"/>
          </w:tcPr>
          <w:p>
            <w:pPr>
              <w:spacing w:after="0"/>
            </w:pPr>
            <w:r/>
            <w:r>
              <w:rPr>
                <w:b w:val="0"/>
                <w:sz w:val="18"/>
              </w:rPr>
              <w:t>No contractual maturity for ordinary shares</w:t>
            </w:r>
          </w:p>
        </w:tc>
      </w:tr>
      <w:tr>
        <w:tc>
          <w:tcPr>
            <w:tcW w:type="dxa" w:w="3360"/>
            <w:vAlign w:val="center"/>
          </w:tcPr>
          <w:p>
            <w:pPr>
              <w:spacing w:after="0"/>
            </w:pPr>
            <w:r/>
            <w:r>
              <w:rPr>
                <w:b w:val="0"/>
                <w:sz w:val="18"/>
              </w:rPr>
              <w:t>Priority</w:t>
            </w:r>
          </w:p>
        </w:tc>
        <w:tc>
          <w:tcPr>
            <w:tcW w:type="dxa" w:w="3360"/>
            <w:vAlign w:val="center"/>
          </w:tcPr>
          <w:p>
            <w:pPr>
              <w:spacing w:after="0"/>
            </w:pPr>
            <w:r/>
            <w:r>
              <w:rPr>
                <w:b w:val="0"/>
                <w:sz w:val="18"/>
              </w:rPr>
              <w:t>Debt holders generally rank ahead of shareholders</w:t>
            </w:r>
          </w:p>
        </w:tc>
        <w:tc>
          <w:tcPr>
            <w:tcW w:type="dxa" w:w="3360"/>
            <w:vAlign w:val="center"/>
          </w:tcPr>
          <w:p>
            <w:pPr>
              <w:spacing w:after="0"/>
            </w:pPr>
            <w:r/>
            <w:r>
              <w:rPr>
                <w:b w:val="0"/>
                <w:sz w:val="18"/>
              </w:rPr>
              <w:t>Residual claim after creditors</w:t>
            </w:r>
          </w:p>
        </w:tc>
      </w:tr>
      <w:tr>
        <w:tc>
          <w:tcPr>
            <w:tcW w:type="dxa" w:w="3360"/>
            <w:vAlign w:val="center"/>
          </w:tcPr>
          <w:p>
            <w:pPr>
              <w:spacing w:after="0"/>
            </w:pPr>
            <w:r/>
            <w:r>
              <w:rPr>
                <w:b w:val="0"/>
                <w:sz w:val="18"/>
              </w:rPr>
              <w:t>Control</w:t>
            </w:r>
          </w:p>
        </w:tc>
        <w:tc>
          <w:tcPr>
            <w:tcW w:type="dxa" w:w="3360"/>
            <w:vAlign w:val="center"/>
          </w:tcPr>
          <w:p>
            <w:pPr>
              <w:spacing w:after="0"/>
            </w:pPr>
            <w:r/>
            <w:r>
              <w:rPr>
                <w:b w:val="0"/>
                <w:sz w:val="18"/>
              </w:rPr>
              <w:t>Normally no ordinary ownership vote</w:t>
            </w:r>
          </w:p>
        </w:tc>
        <w:tc>
          <w:tcPr>
            <w:tcW w:type="dxa" w:w="3360"/>
            <w:vAlign w:val="center"/>
          </w:tcPr>
          <w:p>
            <w:pPr>
              <w:spacing w:after="0"/>
            </w:pPr>
            <w:r/>
            <w:r>
              <w:rPr>
                <w:b w:val="0"/>
                <w:sz w:val="18"/>
              </w:rPr>
              <w:t>Ordinary shares may carry voting rights</w:t>
            </w:r>
          </w:p>
        </w:tc>
      </w:tr>
      <w:tr>
        <w:tc>
          <w:tcPr>
            <w:tcW w:type="dxa" w:w="3360"/>
            <w:vAlign w:val="center"/>
          </w:tcPr>
          <w:p>
            <w:pPr>
              <w:spacing w:after="0"/>
            </w:pPr>
            <w:r/>
            <w:r>
              <w:rPr>
                <w:b w:val="0"/>
                <w:sz w:val="18"/>
              </w:rPr>
              <w:t>Issuer’s perspective</w:t>
            </w:r>
          </w:p>
        </w:tc>
        <w:tc>
          <w:tcPr>
            <w:tcW w:type="dxa" w:w="3360"/>
            <w:vAlign w:val="center"/>
          </w:tcPr>
          <w:p>
            <w:pPr>
              <w:spacing w:after="0"/>
            </w:pPr>
            <w:r/>
            <w:r>
              <w:rPr>
                <w:b w:val="0"/>
                <w:sz w:val="18"/>
              </w:rPr>
              <w:t>Interest is generally tax-deductible subject to applicable tax rules</w:t>
            </w:r>
          </w:p>
        </w:tc>
        <w:tc>
          <w:tcPr>
            <w:tcW w:type="dxa" w:w="3360"/>
            <w:vAlign w:val="center"/>
          </w:tcPr>
          <w:p>
            <w:pPr>
              <w:spacing w:after="0"/>
            </w:pPr>
            <w:r/>
            <w:r>
              <w:rPr>
                <w:b w:val="0"/>
                <w:sz w:val="18"/>
              </w:rPr>
              <w:t>Dividends are generally not tax-deductible</w:t>
            </w:r>
          </w:p>
        </w:tc>
      </w:tr>
    </w:tbl>
    <w:p/>
    <w:p>
      <w:pPr>
        <w:pStyle w:val="Heading2"/>
      </w:pPr>
      <w:r>
        <w:t>2. Bond terminology</w:t>
      </w:r>
    </w:p>
    <w:p>
      <w:pPr>
        <w:pStyle w:val="ListBullet"/>
        <w:spacing w:after="40"/>
      </w:pPr>
      <w:r>
        <w:t>Face value / par value (F): amount repaid at maturity, often $1,000 in textbook examples.</w:t>
      </w:r>
    </w:p>
    <w:p>
      <w:pPr>
        <w:pStyle w:val="ListBullet"/>
        <w:spacing w:after="40"/>
      </w:pPr>
      <w:r>
        <w:t>Coupon rate: stated annual interest rate applied to face value.</w:t>
      </w:r>
    </w:p>
    <w:p>
      <w:pPr>
        <w:pStyle w:val="ListBullet"/>
        <w:spacing w:after="40"/>
      </w:pPr>
      <w:r>
        <w:t>Coupon payment (C): periodic interest payment. For an annual coupon, C = coupon rate × face value.</w:t>
      </w:r>
    </w:p>
    <w:p>
      <w:pPr>
        <w:pStyle w:val="ListBullet"/>
        <w:spacing w:after="40"/>
      </w:pPr>
      <w:r>
        <w:t>Maturity: date when the bond’s principal is due.</w:t>
      </w:r>
    </w:p>
    <w:p>
      <w:pPr>
        <w:pStyle w:val="ListBullet"/>
        <w:spacing w:after="40"/>
      </w:pPr>
      <w:r>
        <w:t>Market price: current price at which the bond trades.</w:t>
      </w:r>
    </w:p>
    <w:p>
      <w:pPr>
        <w:pStyle w:val="ListBullet"/>
        <w:spacing w:after="40"/>
      </w:pPr>
      <w:r>
        <w:t>Yield to maturity (YTM): discount rate that equates the present value of promised bond cash flows with the current market price, assuming the stated cash flows occur and the bond is held to maturity.</w:t>
      </w:r>
    </w:p>
    <w:p>
      <w:pPr>
        <w:pStyle w:val="ListBullet"/>
        <w:spacing w:after="40"/>
      </w:pPr>
      <w:r>
        <w:t>Premium bond: price above face value; discount bond: price below face value; par bond: price equal to face value.</w:t>
      </w:r>
    </w:p>
    <w:p>
      <w:pPr>
        <w:pStyle w:val="Heading2"/>
      </w:pPr>
      <w:r>
        <w:t>3. Valuing a coupon bond</w:t>
      </w:r>
    </w:p>
    <w:p>
      <w:pPr>
        <w:spacing w:before="40" w:after="100"/>
        <w:ind w:left="360"/>
      </w:pPr>
      <w:r>
        <w:rPr>
          <w:rFonts w:ascii="Aptos" w:hAnsi="Aptos"/>
          <w:b/>
          <w:color w:val="1F4E79"/>
          <w:sz w:val="21"/>
        </w:rPr>
        <w:t>Bond value = PV of coupon payments + PV of face value</w:t>
      </w:r>
    </w:p>
    <w:p>
      <w:pPr>
        <w:spacing w:before="40" w:after="100"/>
        <w:ind w:left="360"/>
      </w:pPr>
      <w:r>
        <w:rPr>
          <w:rFonts w:ascii="Aptos" w:hAnsi="Aptos"/>
          <w:b/>
          <w:color w:val="1F4E79"/>
          <w:sz w:val="21"/>
        </w:rPr>
        <w:t>P₀ = C × [1 − (1 + r)⁻ⁿ] / r + F / (1 + r)ⁿ</w:t>
      </w:r>
    </w:p>
    <w:p>
      <w:pPr>
        <w:pStyle w:val="ListBullet"/>
        <w:spacing w:after="40"/>
      </w:pPr>
      <w:r>
        <w:t>P₀ = current bond value/price; C = coupon per period; r = required return per period; n = number of remaining periods; F = face value.</w:t>
      </w:r>
    </w:p>
    <w:p>
      <w:pPr>
        <w:pStyle w:val="ListBullet"/>
        <w:spacing w:after="40"/>
      </w:pPr>
      <w:r>
        <w:t>Match periods carefully: if coupons are semi-annual, convert the annual coupon and annual yield to consistent semi-annual figures and use the number of half-year periods.</w:t>
      </w:r>
    </w:p>
    <w:p>
      <w:pPr>
        <w:pStyle w:val="Heading3"/>
      </w:pPr>
      <w:r>
        <w:t>Worked example: annual coupon bond</w:t>
      </w:r>
    </w:p>
    <w:p>
      <w:r>
        <w:t>Assume face value = $1,000, annual coupon rate = 8%, maturity = 3 years, and required return = 10%.</w:t>
      </w:r>
    </w:p>
    <w:p>
      <w:pPr>
        <w:spacing w:before="40" w:after="100"/>
        <w:ind w:left="360"/>
      </w:pPr>
      <w:r>
        <w:rPr>
          <w:rFonts w:ascii="Aptos" w:hAnsi="Aptos"/>
          <w:b/>
          <w:color w:val="1F4E79"/>
          <w:sz w:val="21"/>
        </w:rPr>
        <w:t>C = 0.08 × $1,000 = $80</w:t>
      </w:r>
    </w:p>
    <w:p>
      <w:pPr>
        <w:spacing w:before="40" w:after="100"/>
        <w:ind w:left="360"/>
      </w:pPr>
      <w:r>
        <w:rPr>
          <w:rFonts w:ascii="Aptos" w:hAnsi="Aptos"/>
          <w:b/>
          <w:color w:val="1F4E79"/>
          <w:sz w:val="21"/>
        </w:rPr>
        <w:t>P₀ = $80 × [1 − (1.10)⁻³] / 0.10 + $1,000 / (1.10)³</w:t>
      </w:r>
    </w:p>
    <w:p>
      <w:r>
        <w:t>PV of coupons ≈ $199.01; PV of face value ≈ $751.31; estimated bond value ≈ $950.33. Because the required return (10%) is above the coupon rate (8%), the bond sells at a discount.</w:t>
      </w:r>
    </w:p>
    <w:p>
      <w:pPr>
        <w:pStyle w:val="Heading2"/>
      </w:pPr>
      <w:r>
        <w:t>4. Zero-coupon and perpetual bonds</w:t>
      </w:r>
    </w:p>
    <w:p>
      <w:pPr>
        <w:spacing w:before="40" w:after="100"/>
        <w:ind w:left="360"/>
      </w:pPr>
      <w:r>
        <w:rPr>
          <w:rFonts w:ascii="Aptos" w:hAnsi="Aptos"/>
          <w:b/>
          <w:color w:val="1F4E79"/>
          <w:sz w:val="21"/>
        </w:rPr>
        <w:t>Zero-coupon bond: P₀ = F / (1 + r)ⁿ</w:t>
      </w:r>
    </w:p>
    <w:p>
      <w:r>
        <w:t>Example: a $1,000 zero-coupon bond due in 4 years at a 7% required return is worth $1,000/(1.07)⁴ ≈ $762.90.</w:t>
      </w:r>
    </w:p>
    <w:p>
      <w:pPr>
        <w:spacing w:before="40" w:after="100"/>
        <w:ind w:left="360"/>
      </w:pPr>
      <w:r>
        <w:rPr>
          <w:rFonts w:ascii="Aptos" w:hAnsi="Aptos"/>
          <w:b/>
          <w:color w:val="1F4E79"/>
          <w:sz w:val="21"/>
        </w:rPr>
        <w:t>Perpetual bond with constant coupon: P₀ = C / r</w:t>
      </w:r>
    </w:p>
    <w:p>
      <w:r>
        <w:t>This perpetuity formula assumes the coupon continues indefinitely and remains constant. It is not the formula for an ordinary bond with a maturity date.</w:t>
      </w:r>
    </w:p>
    <w:p>
      <w:pPr>
        <w:pStyle w:val="Heading2"/>
      </w:pPr>
      <w:r>
        <w:t>5. Approximate yield to maturity</w:t>
      </w:r>
    </w:p>
    <w:p>
      <w:pPr>
        <w:spacing w:before="40" w:after="100"/>
        <w:ind w:left="360"/>
      </w:pPr>
      <w:r>
        <w:rPr>
          <w:rFonts w:ascii="Aptos" w:hAnsi="Aptos"/>
          <w:b/>
          <w:color w:val="1F4E79"/>
          <w:sz w:val="21"/>
        </w:rPr>
        <w:t>Approximate YTM ≈ [C + (F − P₀)/n] / [(F + P₀)/2]</w:t>
      </w:r>
    </w:p>
    <w:p>
      <w:pPr>
        <w:pStyle w:val="ListBullet"/>
        <w:spacing w:after="40"/>
      </w:pPr>
      <w:r>
        <w:t>The numerator estimates annual coupon income plus annualized gain/loss toward face value.</w:t>
      </w:r>
    </w:p>
    <w:p>
      <w:pPr>
        <w:pStyle w:val="ListBullet"/>
        <w:spacing w:after="40"/>
      </w:pPr>
      <w:r>
        <w:t>The denominator approximates the average amount invested.</w:t>
      </w:r>
    </w:p>
    <w:p>
      <w:pPr>
        <w:pStyle w:val="ListBullet"/>
        <w:spacing w:after="40"/>
      </w:pPr>
      <w:r>
        <w:t>This is an approximation, not an exact solution to the bond-pricing equation.</w:t>
      </w:r>
    </w:p>
    <w:p>
      <w:pPr>
        <w:pStyle w:val="Heading2"/>
      </w:pPr>
      <w:r>
        <w:t>6. Ordinary share valuation: dividend models</w:t>
      </w:r>
    </w:p>
    <w:p>
      <w:r>
        <w:t>A dividend valuation model estimates equity value as the present value of expected future dividends. These models are most directly applicable when dividends are meaningful and their pattern can be reasonably estimated.</w:t>
      </w:r>
    </w:p>
    <w:p>
      <w:pPr>
        <w:pStyle w:val="Heading3"/>
      </w:pPr>
      <w:r>
        <w:t>Zero-growth dividend model</w:t>
      </w:r>
    </w:p>
    <w:p>
      <w:pPr>
        <w:spacing w:before="40" w:after="100"/>
        <w:ind w:left="360"/>
      </w:pPr>
      <w:r>
        <w:rPr>
          <w:rFonts w:ascii="Aptos" w:hAnsi="Aptos"/>
          <w:b/>
          <w:color w:val="1F4E79"/>
          <w:sz w:val="21"/>
        </w:rPr>
        <w:t>P₀ = D / rₑ</w:t>
      </w:r>
    </w:p>
    <w:p>
      <w:pPr>
        <w:pStyle w:val="ListBullet"/>
        <w:spacing w:after="40"/>
      </w:pPr>
      <w:r>
        <w:t>D = constant expected annual dividend; rₑ = required return on equity.</w:t>
      </w:r>
    </w:p>
    <w:p>
      <w:r>
        <w:t>Example: if the expected annual dividend is $4 and the required equity return is 8%, P₀ = $4/0.08 = $50.</w:t>
      </w:r>
    </w:p>
    <w:p>
      <w:pPr>
        <w:pStyle w:val="Heading3"/>
      </w:pPr>
      <w:r>
        <w:t>Gordon Growth Model (constant growth)</w:t>
      </w:r>
    </w:p>
    <w:p>
      <w:pPr>
        <w:spacing w:before="40" w:after="100"/>
        <w:ind w:left="360"/>
      </w:pPr>
      <w:r>
        <w:rPr>
          <w:rFonts w:ascii="Aptos" w:hAnsi="Aptos"/>
          <w:b/>
          <w:color w:val="1F4E79"/>
          <w:sz w:val="21"/>
        </w:rPr>
        <w:t>P₀ = D₁ / (rₑ − g)</w:t>
      </w:r>
    </w:p>
    <w:p>
      <w:pPr>
        <w:pStyle w:val="ListBullet"/>
        <w:spacing w:after="40"/>
      </w:pPr>
      <w:r>
        <w:t>D₁ = dividend expected one period from now; rₑ = required return on equity; g = constant dividend growth rate.</w:t>
      </w:r>
    </w:p>
    <w:p>
      <w:pPr>
        <w:pStyle w:val="ListBullet"/>
        <w:spacing w:after="40"/>
      </w:pPr>
      <w:r>
        <w:t>The model requires rₑ &gt; g. Do not put the most recent dividend D₀ in the numerator without first growing it: D₁ = D₀(1 + g).</w:t>
      </w:r>
    </w:p>
    <w:p>
      <w:r>
        <w:t>Example: latest dividend D₀ = $2.00, expected growth g = 4%, required return rₑ = 10%.</w:t>
      </w:r>
    </w:p>
    <w:p>
      <w:pPr>
        <w:spacing w:before="40" w:after="100"/>
        <w:ind w:left="360"/>
      </w:pPr>
      <w:r>
        <w:rPr>
          <w:rFonts w:ascii="Aptos" w:hAnsi="Aptos"/>
          <w:b/>
          <w:color w:val="1F4E79"/>
          <w:sz w:val="21"/>
        </w:rPr>
        <w:t>D₁ = $2.00 × 1.04 = $2.08</w:t>
      </w:r>
    </w:p>
    <w:p>
      <w:pPr>
        <w:spacing w:before="40" w:after="100"/>
        <w:ind w:left="360"/>
      </w:pPr>
      <w:r>
        <w:rPr>
          <w:rFonts w:ascii="Aptos" w:hAnsi="Aptos"/>
          <w:b/>
          <w:color w:val="1F4E79"/>
          <w:sz w:val="21"/>
        </w:rPr>
        <w:t>P₀ = $2.08 / (0.10 − 0.04) = $34.67</w:t>
      </w:r>
    </w:p>
    <w:p>
      <w:pPr>
        <w:pStyle w:val="Heading3"/>
      </w:pPr>
      <w:r>
        <w:t>Two-stage dividend growth</w:t>
      </w:r>
    </w:p>
    <w:p>
      <w:pPr>
        <w:pStyle w:val="ListBullet"/>
        <w:spacing w:after="40"/>
      </w:pPr>
      <w:r>
        <w:t>Use when dividends grow at a higher or otherwise non-constant rate for an initial forecast period, then settle into a stable long-run rate.</w:t>
      </w:r>
    </w:p>
    <w:p>
      <w:pPr>
        <w:pStyle w:val="ListNumber"/>
        <w:spacing w:after="40"/>
      </w:pPr>
      <w:r>
        <w:t>Forecast each dividend in the initial high-growth period.</w:t>
      </w:r>
    </w:p>
    <w:p>
      <w:pPr>
        <w:pStyle w:val="ListNumber"/>
        <w:spacing w:after="40"/>
      </w:pPr>
      <w:r>
        <w:t>Discount each forecast dividend back to today.</w:t>
      </w:r>
    </w:p>
    <w:p>
      <w:pPr>
        <w:pStyle w:val="ListNumber"/>
        <w:spacing w:after="40"/>
      </w:pPr>
      <w:r>
        <w:t>At the start of the stable-growth period, calculate terminal value using the Gordon Growth Model: Pₙ = Dₙ₊₁/(rₑ − g).</w:t>
      </w:r>
    </w:p>
    <w:p>
      <w:pPr>
        <w:pStyle w:val="ListNumber"/>
        <w:spacing w:after="40"/>
      </w:pPr>
      <w:r>
        <w:t>Discount the terminal value back to today and add it to the present value of the initial dividends.</w:t>
      </w:r>
    </w:p>
    <w:p>
      <w:pPr>
        <w:spacing w:before="40" w:after="100"/>
        <w:ind w:left="360"/>
      </w:pPr>
      <w:r>
        <w:rPr>
          <w:rFonts w:ascii="Aptos" w:hAnsi="Aptos"/>
          <w:b/>
          <w:color w:val="1F4E79"/>
          <w:sz w:val="21"/>
        </w:rPr>
        <w:t>P₀ = Σ[Dₜ/(1 + rₑ)ᵗ] + Pₙ/(1 + rₑ)ⁿ</w:t>
      </w:r>
    </w:p>
    <w:p>
      <w:pPr>
        <w:pStyle w:val="Heading1"/>
      </w:pPr>
      <w:r>
        <w:t>PART B — Weighted Average Cost of Capital (WACC)</w:t>
      </w:r>
    </w:p>
    <w:p>
      <w:pPr>
        <w:pStyle w:val="Heading2"/>
      </w:pPr>
      <w:r>
        <w:t>7. What is cost of capital?</w:t>
      </w:r>
    </w:p>
    <w:p>
      <w:r>
        <w:t>Cost of capital is the return required by the providers of a company’s financing. It is used as a benchmark for investment decisions and, when appropriate, as the discount rate for valuing cash flows with risk consistent with that rate.</w:t>
      </w:r>
    </w:p>
    <w:p>
      <w:pPr>
        <w:pStyle w:val="ListBullet"/>
        <w:spacing w:after="40"/>
      </w:pPr>
      <w:r>
        <w:t>Cost of debt: required return demanded by lenders.</w:t>
      </w:r>
    </w:p>
    <w:p>
      <w:pPr>
        <w:pStyle w:val="ListBullet"/>
        <w:spacing w:after="40"/>
      </w:pPr>
      <w:r>
        <w:t>Cost of equity: return required by shareholders for bearing equity risk.</w:t>
      </w:r>
    </w:p>
    <w:p>
      <w:pPr>
        <w:pStyle w:val="ListBullet"/>
        <w:spacing w:after="40"/>
      </w:pPr>
      <w:r>
        <w:t>WACC: weighted average of the after-tax cost of debt and cost of equity, using the chosen financing weights.</w:t>
      </w:r>
    </w:p>
    <w:p>
      <w:pPr>
        <w:pStyle w:val="Heading2"/>
      </w:pPr>
      <w:r>
        <w:t>8. After-tax cost of debt</w:t>
      </w:r>
    </w:p>
    <w:p>
      <w:pPr>
        <w:spacing w:before="40" w:after="100"/>
        <w:ind w:left="360"/>
      </w:pPr>
      <w:r>
        <w:rPr>
          <w:rFonts w:ascii="Aptos" w:hAnsi="Aptos"/>
          <w:b/>
          <w:color w:val="1F4E79"/>
          <w:sz w:val="21"/>
        </w:rPr>
        <w:t>After-tax cost of debt = r_d × (1 − T)</w:t>
      </w:r>
    </w:p>
    <w:p>
      <w:pPr>
        <w:pStyle w:val="ListBullet"/>
        <w:spacing w:after="40"/>
      </w:pPr>
      <w:r>
        <w:t>r_d = pre-tax cost of debt; T = applicable corporate tax rate.</w:t>
      </w:r>
    </w:p>
    <w:p>
      <w:r>
        <w:t>The tax adjustment reflects the tax shield from deductible interest, subject to the company’s ability to use the deduction and relevant tax rules.</w:t>
      </w:r>
    </w:p>
    <w:p>
      <w:r>
        <w:t>Example: pre-tax debt cost = 7%, tax rate = 25%. After-tax debt cost = 7% × (1 − 0.25) = 5.25%.</w:t>
      </w:r>
    </w:p>
    <w:p>
      <w:pPr>
        <w:pStyle w:val="Heading2"/>
      </w:pPr>
      <w:r>
        <w:t>9. Cost of equity using CAPM</w:t>
      </w:r>
    </w:p>
    <w:p>
      <w:pPr>
        <w:spacing w:before="40" w:after="100"/>
        <w:ind w:left="360"/>
      </w:pPr>
      <w:r>
        <w:rPr>
          <w:rFonts w:ascii="Aptos" w:hAnsi="Aptos"/>
          <w:b/>
          <w:color w:val="1F4E79"/>
          <w:sz w:val="21"/>
        </w:rPr>
        <w:t>rₑ = R_f + β(R_m − R_f)</w:t>
      </w:r>
    </w:p>
    <w:p>
      <w:pPr>
        <w:pStyle w:val="ListBullet"/>
        <w:spacing w:after="40"/>
      </w:pPr>
      <w:r>
        <w:t>R_f = risk-free rate.</w:t>
      </w:r>
    </w:p>
    <w:p>
      <w:pPr>
        <w:pStyle w:val="ListBullet"/>
        <w:spacing w:after="40"/>
      </w:pPr>
      <w:r>
        <w:t>β (beta) = sensitivity of the share’s returns to market returns; it represents systematic market risk.</w:t>
      </w:r>
    </w:p>
    <w:p>
      <w:pPr>
        <w:pStyle w:val="ListBullet"/>
        <w:spacing w:after="40"/>
      </w:pPr>
      <w:r>
        <w:t>R_m = expected market return.</w:t>
      </w:r>
    </w:p>
    <w:p>
      <w:pPr>
        <w:pStyle w:val="ListBullet"/>
        <w:spacing w:after="40"/>
      </w:pPr>
      <w:r>
        <w:t>(R_m − R_f) = market risk premium.</w:t>
      </w:r>
    </w:p>
    <w:p>
      <w:pPr>
        <w:pStyle w:val="ListBullet"/>
        <w:spacing w:after="40"/>
      </w:pPr>
      <w:r>
        <w:t>Systematic risk is market-related risk that diversification cannot eliminate. Unsystematic risk is company- or industry-specific risk that can be reduced through diversification.</w:t>
      </w:r>
    </w:p>
    <w:p>
      <w:pPr>
        <w:pStyle w:val="ListBullet"/>
        <w:spacing w:after="40"/>
      </w:pPr>
      <w:r>
        <w:t>Alpha is the return above or below the return predicted by a benchmark/model over a stated period; it is not a replacement for beta in the CAPM formula.</w:t>
      </w:r>
    </w:p>
    <w:p>
      <w:r>
        <w:t>Example: risk-free rate = 4%, beta = 1.2, expected market return = 9%.</w:t>
      </w:r>
    </w:p>
    <w:p>
      <w:pPr>
        <w:spacing w:before="40" w:after="100"/>
        <w:ind w:left="360"/>
      </w:pPr>
      <w:r>
        <w:rPr>
          <w:rFonts w:ascii="Aptos" w:hAnsi="Aptos"/>
          <w:b/>
          <w:color w:val="1F4E79"/>
          <w:sz w:val="21"/>
        </w:rPr>
        <w:t>rₑ = 4% + 1.2(9% − 4%) = 10%</w:t>
      </w:r>
    </w:p>
    <w:p>
      <w:pPr>
        <w:pStyle w:val="Heading2"/>
      </w:pPr>
      <w:r>
        <w:t>10. Cost of equity using the Dividend Growth Model</w:t>
      </w:r>
    </w:p>
    <w:p>
      <w:pPr>
        <w:spacing w:before="40" w:after="100"/>
        <w:ind w:left="360"/>
      </w:pPr>
      <w:r>
        <w:rPr>
          <w:rFonts w:ascii="Aptos" w:hAnsi="Aptos"/>
          <w:b/>
          <w:color w:val="1F4E79"/>
          <w:sz w:val="21"/>
        </w:rPr>
        <w:t>rₑ = D₁ / P₀ + g</w:t>
      </w:r>
    </w:p>
    <w:p>
      <w:pPr>
        <w:pStyle w:val="ListBullet"/>
        <w:spacing w:after="40"/>
      </w:pPr>
      <w:r>
        <w:t>D₁/P₀ is the expected dividend yield; g is the assumed constant dividend growth rate.</w:t>
      </w:r>
    </w:p>
    <w:p>
      <w:pPr>
        <w:pStyle w:val="ListBullet"/>
        <w:spacing w:after="40"/>
      </w:pPr>
      <w:r>
        <w:t>This estimate depends on the stability and reasonableness of dividend and growth assumptions.</w:t>
      </w:r>
    </w:p>
    <w:p>
      <w:pPr>
        <w:pStyle w:val="ListBullet"/>
        <w:spacing w:after="40"/>
      </w:pPr>
      <w:r>
        <w:t>Retention ratio = earnings retained / earnings; payout ratio = dividends / earnings. For a simple sustainable-growth estimate, g ≈ retention ratio × return on equity (ROE), assuming the relevant conditions hold.</w:t>
      </w:r>
    </w:p>
    <w:p>
      <w:pPr>
        <w:pStyle w:val="Heading2"/>
      </w:pPr>
      <w:r>
        <w:t>11. Capital structure weights</w:t>
      </w:r>
    </w:p>
    <w:p>
      <w:pPr>
        <w:spacing w:before="40" w:after="100"/>
        <w:ind w:left="360"/>
      </w:pPr>
      <w:r>
        <w:rPr>
          <w:rFonts w:ascii="Aptos" w:hAnsi="Aptos"/>
          <w:b/>
          <w:color w:val="1F4E79"/>
          <w:sz w:val="21"/>
        </w:rPr>
        <w:t>w_d = D / (D + E)     and     wₑ = E / (D + E)</w:t>
      </w:r>
    </w:p>
    <w:p>
      <w:pPr>
        <w:pStyle w:val="ListBullet"/>
        <w:spacing w:after="40"/>
      </w:pPr>
      <w:r>
        <w:t>D = value of debt financing; E = value of equity financing.</w:t>
      </w:r>
    </w:p>
    <w:p>
      <w:pPr>
        <w:pStyle w:val="ListBullet"/>
        <w:spacing w:after="40"/>
      </w:pPr>
      <w:r>
        <w:t>Weights must add to 1 (or 100%).</w:t>
      </w:r>
    </w:p>
    <w:p>
      <w:pPr>
        <w:pStyle w:val="ListBullet"/>
        <w:spacing w:after="40"/>
      </w:pPr>
      <w:r>
        <w:t>Market-value weights are usually preferred for a current, market-based WACC because they reflect current investor valuations. Book-value weights are based on accounting amounts and may differ materially.</w:t>
      </w:r>
    </w:p>
    <w:p>
      <w:pPr>
        <w:pStyle w:val="ListBullet"/>
        <w:spacing w:after="40"/>
      </w:pPr>
      <w:r>
        <w:t>Target capital structure weights may be used when the company has a meaningful target financing mix for future operations.</w:t>
      </w:r>
    </w:p>
    <w:p>
      <w:pPr>
        <w:pStyle w:val="Heading2"/>
      </w:pPr>
      <w:r>
        <w:t>12. WACC formula</w:t>
      </w:r>
    </w:p>
    <w:p>
      <w:pPr>
        <w:spacing w:before="40" w:after="100"/>
        <w:ind w:left="360"/>
      </w:pPr>
      <w:r>
        <w:rPr>
          <w:rFonts w:ascii="Aptos" w:hAnsi="Aptos"/>
          <w:b/>
          <w:color w:val="1F4E79"/>
          <w:sz w:val="21"/>
        </w:rPr>
        <w:t>WACC = w_d × r_d × (1 − T) + wₑ × rₑ</w:t>
      </w:r>
    </w:p>
    <w:p>
      <w:r>
        <w:t>If there are additional financing classes, include each class’s weight multiplied by its relevant after-tax or applicable cost. The simple two-source formula assumes debt and equity are the relevant financing categories.</w:t>
      </w:r>
    </w:p>
    <w:p>
      <w:pPr>
        <w:pStyle w:val="Heading3"/>
      </w:pPr>
      <w:r>
        <w:t>Worked WACC example</w:t>
      </w:r>
    </w:p>
    <w:p>
      <w:r>
        <w:t>Assume market-value debt = $40m, market-value equity = $60m, pre-tax debt cost = 6%, tax rate = 25%, and equity cost = 11%.</w:t>
      </w:r>
    </w:p>
    <w:p>
      <w:pPr>
        <w:spacing w:before="40" w:after="100"/>
        <w:ind w:left="360"/>
      </w:pPr>
      <w:r>
        <w:rPr>
          <w:rFonts w:ascii="Aptos" w:hAnsi="Aptos"/>
          <w:b/>
          <w:color w:val="1F4E79"/>
          <w:sz w:val="21"/>
        </w:rPr>
        <w:t>w_d = 40/(40 + 60) = 40%; wₑ = 60/(40 + 60) = 60%</w:t>
      </w:r>
    </w:p>
    <w:p>
      <w:pPr>
        <w:spacing w:before="40" w:after="100"/>
        <w:ind w:left="360"/>
      </w:pPr>
      <w:r>
        <w:rPr>
          <w:rFonts w:ascii="Aptos" w:hAnsi="Aptos"/>
          <w:b/>
          <w:color w:val="1F4E79"/>
          <w:sz w:val="21"/>
        </w:rPr>
        <w:t>WACC = 0.40 × 6% × (1 − 0.25) + 0.60 × 11%</w:t>
      </w:r>
    </w:p>
    <w:p>
      <w:pPr>
        <w:spacing w:before="40" w:after="100"/>
        <w:ind w:left="360"/>
      </w:pPr>
      <w:r>
        <w:rPr>
          <w:rFonts w:ascii="Aptos" w:hAnsi="Aptos"/>
          <w:b/>
          <w:color w:val="1F4E79"/>
          <w:sz w:val="21"/>
        </w:rPr>
        <w:t>WACC = 1.80% + 6.60% = 8.40%</w:t>
      </w:r>
    </w:p>
    <w:p>
      <w:pPr>
        <w:pStyle w:val="Heading2"/>
      </w:pPr>
      <w:r>
        <w:t>13. Examples noted from the WACC lecture</w:t>
      </w:r>
    </w:p>
    <w:p>
      <w:r>
        <w:t>The prior one-shot lesson reported the following figures from the WACC deck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pPr>
              <w:spacing w:after="0"/>
            </w:pPr>
            <w:r/>
            <w:r>
              <w:rPr>
                <w:b/>
                <w:sz w:val="18"/>
              </w:rPr>
              <w:t>Company / weighting basis</w:t>
            </w:r>
          </w:p>
        </w:tc>
        <w:tc>
          <w:tcPr>
            <w:tcW w:type="dxa" w:w="5040"/>
            <w:vAlign w:val="center"/>
            <w:shd w:fill="D9E5F2"/>
          </w:tcPr>
          <w:p>
            <w:pPr>
              <w:spacing w:after="0"/>
            </w:pPr>
            <w:r/>
            <w:r>
              <w:rPr>
                <w:b/>
                <w:sz w:val="18"/>
              </w:rPr>
              <w:t>WACC figure reported</w:t>
            </w:r>
          </w:p>
        </w:tc>
      </w:tr>
      <w:tr>
        <w:tc>
          <w:tcPr>
            <w:tcW w:type="dxa" w:w="5040"/>
            <w:vAlign w:val="center"/>
          </w:tcPr>
          <w:p>
            <w:pPr>
              <w:spacing w:after="0"/>
            </w:pPr>
            <w:r/>
            <w:r>
              <w:rPr>
                <w:b w:val="0"/>
                <w:sz w:val="18"/>
              </w:rPr>
              <w:t>Reliance Industries — market-value weights</w:t>
            </w:r>
          </w:p>
        </w:tc>
        <w:tc>
          <w:tcPr>
            <w:tcW w:type="dxa" w:w="5040"/>
            <w:vAlign w:val="center"/>
          </w:tcPr>
          <w:p>
            <w:pPr>
              <w:spacing w:after="0"/>
            </w:pPr>
            <w:r/>
            <w:r>
              <w:rPr>
                <w:b w:val="0"/>
                <w:sz w:val="18"/>
              </w:rPr>
              <w:t>12.2%</w:t>
            </w:r>
          </w:p>
        </w:tc>
      </w:tr>
      <w:tr>
        <w:tc>
          <w:tcPr>
            <w:tcW w:type="dxa" w:w="5040"/>
            <w:vAlign w:val="center"/>
          </w:tcPr>
          <w:p>
            <w:pPr>
              <w:spacing w:after="0"/>
            </w:pPr>
            <w:r/>
            <w:r>
              <w:rPr>
                <w:b w:val="0"/>
                <w:sz w:val="18"/>
              </w:rPr>
              <w:t>Reliance Industries — book-value weights</w:t>
            </w:r>
          </w:p>
        </w:tc>
        <w:tc>
          <w:tcPr>
            <w:tcW w:type="dxa" w:w="5040"/>
            <w:vAlign w:val="center"/>
          </w:tcPr>
          <w:p>
            <w:pPr>
              <w:spacing w:after="0"/>
            </w:pPr>
            <w:r/>
            <w:r>
              <w:rPr>
                <w:b w:val="0"/>
                <w:sz w:val="18"/>
              </w:rPr>
              <w:t>11.1%</w:t>
            </w:r>
          </w:p>
        </w:tc>
      </w:tr>
      <w:tr>
        <w:tc>
          <w:tcPr>
            <w:tcW w:type="dxa" w:w="5040"/>
            <w:vAlign w:val="center"/>
          </w:tcPr>
          <w:p>
            <w:pPr>
              <w:spacing w:after="0"/>
            </w:pPr>
            <w:r/>
            <w:r>
              <w:rPr>
                <w:b w:val="0"/>
                <w:sz w:val="18"/>
              </w:rPr>
              <w:t>Infosys — market-value weights</w:t>
            </w:r>
          </w:p>
        </w:tc>
        <w:tc>
          <w:tcPr>
            <w:tcW w:type="dxa" w:w="5040"/>
            <w:vAlign w:val="center"/>
          </w:tcPr>
          <w:p>
            <w:pPr>
              <w:spacing w:after="0"/>
            </w:pPr>
            <w:r/>
            <w:r>
              <w:rPr>
                <w:b w:val="0"/>
                <w:sz w:val="18"/>
              </w:rPr>
              <w:t>11.4%</w:t>
            </w:r>
          </w:p>
        </w:tc>
      </w:tr>
      <w:tr>
        <w:tc>
          <w:tcPr>
            <w:tcW w:type="dxa" w:w="5040"/>
            <w:vAlign w:val="center"/>
          </w:tcPr>
          <w:p>
            <w:pPr>
              <w:spacing w:after="0"/>
            </w:pPr>
            <w:r/>
            <w:r>
              <w:rPr>
                <w:b w:val="0"/>
                <w:sz w:val="18"/>
              </w:rPr>
              <w:t>Infosys — book-value weights</w:t>
            </w:r>
          </w:p>
        </w:tc>
        <w:tc>
          <w:tcPr>
            <w:tcW w:type="dxa" w:w="5040"/>
            <w:vAlign w:val="center"/>
          </w:tcPr>
          <w:p>
            <w:pPr>
              <w:spacing w:after="0"/>
            </w:pPr>
            <w:r/>
            <w:r>
              <w:rPr>
                <w:b w:val="0"/>
                <w:sz w:val="18"/>
              </w:rPr>
              <w:t>11.0%</w:t>
            </w:r>
          </w:p>
        </w:tc>
      </w:tr>
    </w:tbl>
    <w:p/>
    <w:p>
      <w:r>
        <w:t>These are recorded as reported summary figures; the complete input tables and calculation steps were not available in the summarized notes, so they should not be reverse-engineered from the figures alone.</w:t>
      </w:r>
    </w:p>
    <w:p>
      <w:pPr>
        <w:pStyle w:val="Heading2"/>
      </w:pPr>
      <w:r>
        <w:t>14. How WACC is used</w:t>
      </w:r>
    </w:p>
    <w:p>
      <w:pPr>
        <w:pStyle w:val="ListBullet"/>
        <w:spacing w:after="40"/>
      </w:pPr>
      <w:r>
        <w:t>Compare a project’s expected return with an appropriate required return, while considering project-specific risk.</w:t>
      </w:r>
    </w:p>
    <w:p>
      <w:pPr>
        <w:pStyle w:val="ListBullet"/>
        <w:spacing w:after="40"/>
      </w:pPr>
      <w:r>
        <w:t>Discount FCFF to estimate the value of the firm when the cash flows and WACC assumptions are consistent.</w:t>
      </w:r>
    </w:p>
    <w:p>
      <w:pPr>
        <w:pStyle w:val="ListBullet"/>
        <w:spacing w:after="40"/>
      </w:pPr>
      <w:r>
        <w:t>Do not automatically use WACC to discount FCFE: FCFE is equity cash flow and is generally discounted at the cost of equity.</w:t>
      </w:r>
    </w:p>
    <w:p>
      <w:pPr>
        <w:pStyle w:val="Heading1"/>
      </w:pPr>
      <w:r>
        <w:t>PART C — Valuation &amp; Forecasting</w:t>
      </w:r>
    </w:p>
    <w:p>
      <w:pPr>
        <w:pStyle w:val="Heading2"/>
      </w:pPr>
      <w:r>
        <w:t>15. What is business valuation?</w:t>
      </w:r>
    </w:p>
    <w:p>
      <w:r>
        <w:t>Business valuation is the process of estimating the economic value of a business or an ownership interest. Different methods suit different situations.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pPr>
              <w:spacing w:after="0"/>
            </w:pPr>
            <w:r/>
            <w:r>
              <w:rPr>
                <w:b/>
                <w:sz w:val="18"/>
              </w:rPr>
              <w:t>Approach</w:t>
            </w:r>
          </w:p>
        </w:tc>
        <w:tc>
          <w:tcPr>
            <w:tcW w:type="dxa" w:w="3360"/>
            <w:vAlign w:val="center"/>
            <w:shd w:fill="D9E5F2"/>
          </w:tcPr>
          <w:p>
            <w:pPr>
              <w:spacing w:after="0"/>
            </w:pPr>
            <w:r/>
            <w:r>
              <w:rPr>
                <w:b/>
                <w:sz w:val="18"/>
              </w:rPr>
              <w:t>Core idea</w:t>
            </w:r>
          </w:p>
        </w:tc>
        <w:tc>
          <w:tcPr>
            <w:tcW w:type="dxa" w:w="3360"/>
            <w:vAlign w:val="center"/>
            <w:shd w:fill="D9E5F2"/>
          </w:tcPr>
          <w:p>
            <w:pPr>
              <w:spacing w:after="0"/>
            </w:pPr>
            <w:r/>
            <w:r>
              <w:rPr>
                <w:b/>
                <w:sz w:val="18"/>
              </w:rPr>
              <w:t>Typical use / caution</w:t>
            </w:r>
          </w:p>
        </w:tc>
      </w:tr>
      <w:tr>
        <w:tc>
          <w:tcPr>
            <w:tcW w:type="dxa" w:w="3360"/>
            <w:vAlign w:val="center"/>
          </w:tcPr>
          <w:p>
            <w:pPr>
              <w:spacing w:after="0"/>
            </w:pPr>
            <w:r/>
            <w:r>
              <w:rPr>
                <w:b w:val="0"/>
                <w:sz w:val="18"/>
              </w:rPr>
              <w:t>Income / DCF approach</w:t>
            </w:r>
          </w:p>
        </w:tc>
        <w:tc>
          <w:tcPr>
            <w:tcW w:type="dxa" w:w="3360"/>
            <w:vAlign w:val="center"/>
          </w:tcPr>
          <w:p>
            <w:pPr>
              <w:spacing w:after="0"/>
            </w:pPr>
            <w:r/>
            <w:r>
              <w:rPr>
                <w:b w:val="0"/>
                <w:sz w:val="18"/>
              </w:rPr>
              <w:t>Value expected future cash flows discounted for time and risk</w:t>
            </w:r>
          </w:p>
        </w:tc>
        <w:tc>
          <w:tcPr>
            <w:tcW w:type="dxa" w:w="3360"/>
            <w:vAlign w:val="center"/>
          </w:tcPr>
          <w:p>
            <w:pPr>
              <w:spacing w:after="0"/>
            </w:pPr>
            <w:r/>
            <w:r>
              <w:rPr>
                <w:b w:val="0"/>
                <w:sz w:val="18"/>
              </w:rPr>
              <w:t>Sensitive to forecasts, discount rate, and terminal value</w:t>
            </w:r>
          </w:p>
        </w:tc>
      </w:tr>
      <w:tr>
        <w:tc>
          <w:tcPr>
            <w:tcW w:type="dxa" w:w="3360"/>
            <w:vAlign w:val="center"/>
          </w:tcPr>
          <w:p>
            <w:pPr>
              <w:spacing w:after="0"/>
            </w:pPr>
            <w:r/>
            <w:r>
              <w:rPr>
                <w:b w:val="0"/>
                <w:sz w:val="18"/>
              </w:rPr>
              <w:t>Market / relative approach</w:t>
            </w:r>
          </w:p>
        </w:tc>
        <w:tc>
          <w:tcPr>
            <w:tcW w:type="dxa" w:w="3360"/>
            <w:vAlign w:val="center"/>
          </w:tcPr>
          <w:p>
            <w:pPr>
              <w:spacing w:after="0"/>
            </w:pPr>
            <w:r/>
            <w:r>
              <w:rPr>
                <w:b w:val="0"/>
                <w:sz w:val="18"/>
              </w:rPr>
              <w:t>Use prices or valuation multiples of comparable companies or transactions</w:t>
            </w:r>
          </w:p>
        </w:tc>
        <w:tc>
          <w:tcPr>
            <w:tcW w:type="dxa" w:w="3360"/>
            <w:vAlign w:val="center"/>
          </w:tcPr>
          <w:p>
            <w:pPr>
              <w:spacing w:after="0"/>
            </w:pPr>
            <w:r/>
            <w:r>
              <w:rPr>
                <w:b w:val="0"/>
                <w:sz w:val="18"/>
              </w:rPr>
              <w:t>Comparables must be genuinely comparable</w:t>
            </w:r>
          </w:p>
        </w:tc>
      </w:tr>
      <w:tr>
        <w:tc>
          <w:tcPr>
            <w:tcW w:type="dxa" w:w="3360"/>
            <w:vAlign w:val="center"/>
          </w:tcPr>
          <w:p>
            <w:pPr>
              <w:spacing w:after="0"/>
            </w:pPr>
            <w:r/>
            <w:r>
              <w:rPr>
                <w:b w:val="0"/>
                <w:sz w:val="18"/>
              </w:rPr>
              <w:t>Asset-based approach</w:t>
            </w:r>
          </w:p>
        </w:tc>
        <w:tc>
          <w:tcPr>
            <w:tcW w:type="dxa" w:w="3360"/>
            <w:vAlign w:val="center"/>
          </w:tcPr>
          <w:p>
            <w:pPr>
              <w:spacing w:after="0"/>
            </w:pPr>
            <w:r/>
            <w:r>
              <w:rPr>
                <w:b w:val="0"/>
                <w:sz w:val="18"/>
              </w:rPr>
              <w:t>Estimate value from assets less liabilities, with suitable adjustments</w:t>
            </w:r>
          </w:p>
        </w:tc>
        <w:tc>
          <w:tcPr>
            <w:tcW w:type="dxa" w:w="3360"/>
            <w:vAlign w:val="center"/>
          </w:tcPr>
          <w:p>
            <w:pPr>
              <w:spacing w:after="0"/>
            </w:pPr>
            <w:r/>
            <w:r>
              <w:rPr>
                <w:b w:val="0"/>
                <w:sz w:val="18"/>
              </w:rPr>
              <w:t>May not fully capture value from future earnings or intangible strengths</w:t>
            </w:r>
          </w:p>
        </w:tc>
      </w:tr>
    </w:tbl>
    <w:p/>
    <w:p>
      <w:pPr>
        <w:pStyle w:val="Heading2"/>
      </w:pPr>
      <w:r>
        <w:t>16. Factors that affect business value</w:t>
      </w:r>
    </w:p>
    <w:p>
      <w:pPr>
        <w:pStyle w:val="ListBullet"/>
        <w:spacing w:after="40"/>
      </w:pPr>
      <w:r>
        <w:t>Expected cash-flow amount and growth.</w:t>
      </w:r>
    </w:p>
    <w:p>
      <w:pPr>
        <w:pStyle w:val="ListBullet"/>
        <w:spacing w:after="40"/>
      </w:pPr>
      <w:r>
        <w:t>Timing of cash flows: earlier cash is worth more than the same cash received later, all else equal.</w:t>
      </w:r>
    </w:p>
    <w:p>
      <w:pPr>
        <w:pStyle w:val="ListBullet"/>
        <w:spacing w:after="40"/>
      </w:pPr>
      <w:r>
        <w:t>Risk and uncertainty of forecasts.</w:t>
      </w:r>
    </w:p>
    <w:p>
      <w:pPr>
        <w:pStyle w:val="ListBullet"/>
        <w:spacing w:after="40"/>
      </w:pPr>
      <w:r>
        <w:t>Discount rate / required return.</w:t>
      </w:r>
    </w:p>
    <w:p>
      <w:pPr>
        <w:pStyle w:val="ListBullet"/>
        <w:spacing w:after="40"/>
      </w:pPr>
      <w:r>
        <w:t>Competitive position, customer demand, margins, capital needs, and operating efficiency.</w:t>
      </w:r>
    </w:p>
    <w:p>
      <w:pPr>
        <w:pStyle w:val="ListBullet"/>
        <w:spacing w:after="40"/>
      </w:pPr>
      <w:r>
        <w:t>Capital structure, tax effects, and the company’s ability to reinvest and grow.</w:t>
      </w:r>
    </w:p>
    <w:p>
      <w:pPr>
        <w:pStyle w:val="ListBullet"/>
        <w:spacing w:after="40"/>
      </w:pPr>
      <w:r>
        <w:t>Terminal value assumptions, especially when a large share of estimated value comes from cash flows beyond the explicit forecast period.</w:t>
      </w:r>
    </w:p>
    <w:p>
      <w:pPr>
        <w:pStyle w:val="Heading2"/>
      </w:pPr>
      <w:r>
        <w:t>17. Free cash flow (FCF): core meaning</w:t>
      </w:r>
    </w:p>
    <w:p>
      <w:r>
        <w:t>Free cash flow is cash generated by operations that remains after the relevant operating costs and investment needs are accounted for. The exact formula depends on whether the cash flow is for all capital providers (FCFF) or only equity holders (FCFE). It is not the same thing as accounting net income.</w:t>
      </w:r>
    </w:p>
    <w:p>
      <w:pPr>
        <w:pStyle w:val="ListBullet"/>
        <w:spacing w:after="40"/>
      </w:pPr>
      <w:r>
        <w:t>Non-cash expenses such as depreciation reduce accounting profit but are added back when converting profit to cash flow.</w:t>
      </w:r>
    </w:p>
    <w:p>
      <w:pPr>
        <w:pStyle w:val="ListBullet"/>
        <w:spacing w:after="40"/>
      </w:pPr>
      <w:r>
        <w:t>Capital expenditure (CapEx) is a cash outflow for long-term operating assets.</w:t>
      </w:r>
    </w:p>
    <w:p>
      <w:pPr>
        <w:pStyle w:val="ListBullet"/>
        <w:spacing w:after="40"/>
      </w:pPr>
      <w:r>
        <w:t>An increase in net working capital generally uses cash; a decrease generally releases cash.</w:t>
      </w:r>
    </w:p>
    <w:p>
      <w:pPr>
        <w:pStyle w:val="ListBullet"/>
        <w:spacing w:after="40"/>
      </w:pPr>
      <w:r>
        <w:t>Forecasting requires assumptions about sales, operating costs, taxes, investment, and working capital.</w:t>
      </w:r>
    </w:p>
    <w:p>
      <w:pPr>
        <w:pStyle w:val="Heading2"/>
      </w:pPr>
      <w:r>
        <w:t>18. Free Cash Flow to the Firm (FCFF)</w:t>
      </w:r>
    </w:p>
    <w:p>
      <w:pPr>
        <w:spacing w:before="40" w:after="100"/>
        <w:ind w:left="360"/>
      </w:pPr>
      <w:r>
        <w:rPr>
          <w:rFonts w:ascii="Aptos" w:hAnsi="Aptos"/>
          <w:b/>
          <w:color w:val="1F4E79"/>
          <w:sz w:val="21"/>
        </w:rPr>
        <w:t>FCFF = EBIT × (1 − T) + Depreciation &amp; Amortization − CapEx − ΔNWC</w:t>
      </w:r>
    </w:p>
    <w:p>
      <w:pPr>
        <w:pStyle w:val="ListBullet"/>
        <w:spacing w:after="40"/>
      </w:pPr>
      <w:r>
        <w:t>EBIT = earnings before interest and taxes.</w:t>
      </w:r>
    </w:p>
    <w:p>
      <w:pPr>
        <w:pStyle w:val="ListBullet"/>
        <w:spacing w:after="40"/>
      </w:pPr>
      <w:r>
        <w:t>T = tax rate applied to operating earnings.</w:t>
      </w:r>
    </w:p>
    <w:p>
      <w:pPr>
        <w:pStyle w:val="ListBullet"/>
        <w:spacing w:after="40"/>
      </w:pPr>
      <w:r>
        <w:t>Depreciation &amp; Amortization are added back because they are non-cash expenses.</w:t>
      </w:r>
    </w:p>
    <w:p>
      <w:pPr>
        <w:pStyle w:val="ListBullet"/>
        <w:spacing w:after="40"/>
      </w:pPr>
      <w:r>
        <w:t>CapEx = capital expenditures.</w:t>
      </w:r>
    </w:p>
    <w:p>
      <w:pPr>
        <w:pStyle w:val="ListBullet"/>
        <w:spacing w:after="40"/>
      </w:pPr>
      <w:r>
        <w:t>ΔNWC = change in net working capital; an increase is subtracted.</w:t>
      </w:r>
    </w:p>
    <w:p>
      <w:r>
        <w:t>FCFF is available to both debt and equity capital providers, before debt-related payments. It is commonly discounted using WACC to estimate enterprise value.</w:t>
      </w:r>
    </w:p>
    <w:p>
      <w:pPr>
        <w:pStyle w:val="Heading3"/>
      </w:pPr>
      <w:r>
        <w:t>FCFF worked example</w:t>
      </w:r>
    </w:p>
    <w:p>
      <w:r>
        <w:t>Assume EBIT = 500, tax rate = 25%, depreciation = 40, CapEx = 70, and increase in net working capital = 20 (all values in the same currency units).</w:t>
      </w:r>
    </w:p>
    <w:p>
      <w:pPr>
        <w:spacing w:before="40" w:after="100"/>
        <w:ind w:left="360"/>
      </w:pPr>
      <w:r>
        <w:rPr>
          <w:rFonts w:ascii="Aptos" w:hAnsi="Aptos"/>
          <w:b/>
          <w:color w:val="1F4E79"/>
          <w:sz w:val="21"/>
        </w:rPr>
        <w:t>FCFF = 500 × (1 − 0.25) + 40 − 70 − 20</w:t>
      </w:r>
    </w:p>
    <w:p>
      <w:pPr>
        <w:spacing w:before="40" w:after="100"/>
        <w:ind w:left="360"/>
      </w:pPr>
      <w:r>
        <w:rPr>
          <w:rFonts w:ascii="Aptos" w:hAnsi="Aptos"/>
          <w:b/>
          <w:color w:val="1F4E79"/>
          <w:sz w:val="21"/>
        </w:rPr>
        <w:t>FCFF = 375 + 40 − 70 − 20 = 325</w:t>
      </w:r>
    </w:p>
    <w:p>
      <w:r>
        <w:t>Estimated FCFF is 325. It represents cash flow before payments to debt and equity providers.</w:t>
      </w:r>
    </w:p>
    <w:p>
      <w:pPr>
        <w:pStyle w:val="Heading2"/>
      </w:pPr>
      <w:r>
        <w:t>19. Free Cash Flow to Equity (FCFE)</w:t>
      </w:r>
    </w:p>
    <w:p>
      <w:pPr>
        <w:spacing w:before="40" w:after="100"/>
        <w:ind w:left="360"/>
      </w:pPr>
      <w:r>
        <w:rPr>
          <w:rFonts w:ascii="Aptos" w:hAnsi="Aptos"/>
          <w:b/>
          <w:color w:val="1F4E79"/>
          <w:sz w:val="21"/>
        </w:rPr>
        <w:t>FCFE = Net Income + Depreciation &amp; Amortization − CapEx − ΔNWC + Net Borrowing</w:t>
      </w:r>
    </w:p>
    <w:p>
      <w:pPr>
        <w:pStyle w:val="ListBullet"/>
        <w:spacing w:after="40"/>
      </w:pPr>
      <w:r>
        <w:t>Net borrowing = new debt issued minus principal repaid over the period.</w:t>
      </w:r>
    </w:p>
    <w:p>
      <w:pPr>
        <w:pStyle w:val="ListBullet"/>
        <w:spacing w:after="40"/>
      </w:pPr>
      <w:r>
        <w:t>FCFE is the cash flow available to ordinary equity holders after operating needs, reinvestment, and net debt financing.</w:t>
      </w:r>
    </w:p>
    <w:p>
      <w:pPr>
        <w:pStyle w:val="ListBullet"/>
        <w:spacing w:after="40"/>
      </w:pPr>
      <w:r>
        <w:t>FCFE is commonly discounted using the cost of equity to estimate equity value.</w:t>
      </w:r>
    </w:p>
    <w:p>
      <w:r>
        <w:t>An equivalent bridge can start with FCFF and adjust for after-tax interest and net borrowing; use one internally consistent formulation and avoid mixing definitions.</w:t>
      </w:r>
    </w:p>
    <w:p>
      <w:pPr>
        <w:pStyle w:val="Heading3"/>
      </w:pPr>
      <w:r>
        <w:t>FCFE worked example</w:t>
      </w:r>
    </w:p>
    <w:p>
      <w:r>
        <w:t>Assume net income = 300, depreciation = 30, CapEx = 55, increase in net working capital = 15, and net borrowing = 20.</w:t>
      </w:r>
    </w:p>
    <w:p>
      <w:pPr>
        <w:spacing w:before="40" w:after="100"/>
        <w:ind w:left="360"/>
      </w:pPr>
      <w:r>
        <w:rPr>
          <w:rFonts w:ascii="Aptos" w:hAnsi="Aptos"/>
          <w:b/>
          <w:color w:val="1F4E79"/>
          <w:sz w:val="21"/>
        </w:rPr>
        <w:t>FCFE = 300 + 30 − 55 − 15 + 20 = 280</w:t>
      </w:r>
    </w:p>
    <w:p>
      <w:r>
        <w:t>Estimated FCFE is 280, available to equity holders under the stated assumptions.</w:t>
      </w:r>
    </w:p>
    <w:p>
      <w:pPr>
        <w:pStyle w:val="Heading2"/>
      </w:pPr>
      <w:r>
        <w:t>20. FCFF versus FCFE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pPr>
              <w:spacing w:after="0"/>
            </w:pPr>
            <w:r/>
            <w:r>
              <w:rPr>
                <w:b/>
                <w:sz w:val="18"/>
              </w:rPr>
              <w:t>Item</w:t>
            </w:r>
          </w:p>
        </w:tc>
        <w:tc>
          <w:tcPr>
            <w:tcW w:type="dxa" w:w="3360"/>
            <w:vAlign w:val="center"/>
            <w:shd w:fill="D9E5F2"/>
          </w:tcPr>
          <w:p>
            <w:pPr>
              <w:spacing w:after="0"/>
            </w:pPr>
            <w:r/>
            <w:r>
              <w:rPr>
                <w:b/>
                <w:sz w:val="18"/>
              </w:rPr>
              <w:t>FCFF</w:t>
            </w:r>
          </w:p>
        </w:tc>
        <w:tc>
          <w:tcPr>
            <w:tcW w:type="dxa" w:w="3360"/>
            <w:vAlign w:val="center"/>
            <w:shd w:fill="D9E5F2"/>
          </w:tcPr>
          <w:p>
            <w:pPr>
              <w:spacing w:after="0"/>
            </w:pPr>
            <w:r/>
            <w:r>
              <w:rPr>
                <w:b/>
                <w:sz w:val="18"/>
              </w:rPr>
              <w:t>FCFE</w:t>
            </w:r>
          </w:p>
        </w:tc>
      </w:tr>
      <w:tr>
        <w:tc>
          <w:tcPr>
            <w:tcW w:type="dxa" w:w="3360"/>
            <w:vAlign w:val="center"/>
          </w:tcPr>
          <w:p>
            <w:pPr>
              <w:spacing w:after="0"/>
            </w:pPr>
            <w:r/>
            <w:r>
              <w:rPr>
                <w:b w:val="0"/>
                <w:sz w:val="18"/>
              </w:rPr>
              <w:t>Available to</w:t>
            </w:r>
          </w:p>
        </w:tc>
        <w:tc>
          <w:tcPr>
            <w:tcW w:type="dxa" w:w="3360"/>
            <w:vAlign w:val="center"/>
          </w:tcPr>
          <w:p>
            <w:pPr>
              <w:spacing w:after="0"/>
            </w:pPr>
            <w:r/>
            <w:r>
              <w:rPr>
                <w:b w:val="0"/>
                <w:sz w:val="18"/>
              </w:rPr>
              <w:t>Debt and equity providers</w:t>
            </w:r>
          </w:p>
        </w:tc>
        <w:tc>
          <w:tcPr>
            <w:tcW w:type="dxa" w:w="3360"/>
            <w:vAlign w:val="center"/>
          </w:tcPr>
          <w:p>
            <w:pPr>
              <w:spacing w:after="0"/>
            </w:pPr>
            <w:r/>
            <w:r>
              <w:rPr>
                <w:b w:val="0"/>
                <w:sz w:val="18"/>
              </w:rPr>
              <w:t>Equity holders</w:t>
            </w:r>
          </w:p>
        </w:tc>
      </w:tr>
      <w:tr>
        <w:tc>
          <w:tcPr>
            <w:tcW w:type="dxa" w:w="3360"/>
            <w:vAlign w:val="center"/>
          </w:tcPr>
          <w:p>
            <w:pPr>
              <w:spacing w:after="0"/>
            </w:pPr>
            <w:r/>
            <w:r>
              <w:rPr>
                <w:b w:val="0"/>
                <w:sz w:val="18"/>
              </w:rPr>
              <w:t>Typical starting point</w:t>
            </w:r>
          </w:p>
        </w:tc>
        <w:tc>
          <w:tcPr>
            <w:tcW w:type="dxa" w:w="3360"/>
            <w:vAlign w:val="center"/>
          </w:tcPr>
          <w:p>
            <w:pPr>
              <w:spacing w:after="0"/>
            </w:pPr>
            <w:r/>
            <w:r>
              <w:rPr>
                <w:b w:val="0"/>
                <w:sz w:val="18"/>
              </w:rPr>
              <w:t>EBIT / operating earnings</w:t>
            </w:r>
          </w:p>
        </w:tc>
        <w:tc>
          <w:tcPr>
            <w:tcW w:type="dxa" w:w="3360"/>
            <w:vAlign w:val="center"/>
          </w:tcPr>
          <w:p>
            <w:pPr>
              <w:spacing w:after="0"/>
            </w:pPr>
            <w:r/>
            <w:r>
              <w:rPr>
                <w:b w:val="0"/>
                <w:sz w:val="18"/>
              </w:rPr>
              <w:t>Net income</w:t>
            </w:r>
          </w:p>
        </w:tc>
      </w:tr>
      <w:tr>
        <w:tc>
          <w:tcPr>
            <w:tcW w:type="dxa" w:w="3360"/>
            <w:vAlign w:val="center"/>
          </w:tcPr>
          <w:p>
            <w:pPr>
              <w:spacing w:after="0"/>
            </w:pPr>
            <w:r/>
            <w:r>
              <w:rPr>
                <w:b w:val="0"/>
                <w:sz w:val="18"/>
              </w:rPr>
              <w:t>Debt cash flows</w:t>
            </w:r>
          </w:p>
        </w:tc>
        <w:tc>
          <w:tcPr>
            <w:tcW w:type="dxa" w:w="3360"/>
            <w:vAlign w:val="center"/>
          </w:tcPr>
          <w:p>
            <w:pPr>
              <w:spacing w:after="0"/>
            </w:pPr>
            <w:r/>
            <w:r>
              <w:rPr>
                <w:b w:val="0"/>
                <w:sz w:val="18"/>
              </w:rPr>
              <w:t>Before debt interest and net borrowing flows</w:t>
            </w:r>
          </w:p>
        </w:tc>
        <w:tc>
          <w:tcPr>
            <w:tcW w:type="dxa" w:w="3360"/>
            <w:vAlign w:val="center"/>
          </w:tcPr>
          <w:p>
            <w:pPr>
              <w:spacing w:after="0"/>
            </w:pPr>
            <w:r/>
            <w:r>
              <w:rPr>
                <w:b w:val="0"/>
                <w:sz w:val="18"/>
              </w:rPr>
              <w:t>Reflects debt financing through net borrowing; net income is after interest</w:t>
            </w:r>
          </w:p>
        </w:tc>
      </w:tr>
      <w:tr>
        <w:tc>
          <w:tcPr>
            <w:tcW w:type="dxa" w:w="3360"/>
            <w:vAlign w:val="center"/>
          </w:tcPr>
          <w:p>
            <w:pPr>
              <w:spacing w:after="0"/>
            </w:pPr>
            <w:r/>
            <w:r>
              <w:rPr>
                <w:b w:val="0"/>
                <w:sz w:val="18"/>
              </w:rPr>
              <w:t>Typical discount rate</w:t>
            </w:r>
          </w:p>
        </w:tc>
        <w:tc>
          <w:tcPr>
            <w:tcW w:type="dxa" w:w="3360"/>
            <w:vAlign w:val="center"/>
          </w:tcPr>
          <w:p>
            <w:pPr>
              <w:spacing w:after="0"/>
            </w:pPr>
            <w:r/>
            <w:r>
              <w:rPr>
                <w:b w:val="0"/>
                <w:sz w:val="18"/>
              </w:rPr>
              <w:t>WACC</w:t>
            </w:r>
          </w:p>
        </w:tc>
        <w:tc>
          <w:tcPr>
            <w:tcW w:type="dxa" w:w="3360"/>
            <w:vAlign w:val="center"/>
          </w:tcPr>
          <w:p>
            <w:pPr>
              <w:spacing w:after="0"/>
            </w:pPr>
            <w:r/>
            <w:r>
              <w:rPr>
                <w:b w:val="0"/>
                <w:sz w:val="18"/>
              </w:rPr>
              <w:t>Cost of equity</w:t>
            </w:r>
          </w:p>
        </w:tc>
      </w:tr>
      <w:tr>
        <w:tc>
          <w:tcPr>
            <w:tcW w:type="dxa" w:w="3360"/>
            <w:vAlign w:val="center"/>
          </w:tcPr>
          <w:p>
            <w:pPr>
              <w:spacing w:after="0"/>
            </w:pPr>
            <w:r/>
            <w:r>
              <w:rPr>
                <w:b w:val="0"/>
                <w:sz w:val="18"/>
              </w:rPr>
              <w:t>Value produced by DCF</w:t>
            </w:r>
          </w:p>
        </w:tc>
        <w:tc>
          <w:tcPr>
            <w:tcW w:type="dxa" w:w="3360"/>
            <w:vAlign w:val="center"/>
          </w:tcPr>
          <w:p>
            <w:pPr>
              <w:spacing w:after="0"/>
            </w:pPr>
            <w:r/>
            <w:r>
              <w:rPr>
                <w:b w:val="0"/>
                <w:sz w:val="18"/>
              </w:rPr>
              <w:t>Enterprise / firm value</w:t>
            </w:r>
          </w:p>
        </w:tc>
        <w:tc>
          <w:tcPr>
            <w:tcW w:type="dxa" w:w="3360"/>
            <w:vAlign w:val="center"/>
          </w:tcPr>
          <w:p>
            <w:pPr>
              <w:spacing w:after="0"/>
            </w:pPr>
            <w:r/>
            <w:r>
              <w:rPr>
                <w:b w:val="0"/>
                <w:sz w:val="18"/>
              </w:rPr>
              <w:t>Equity value</w:t>
            </w:r>
          </w:p>
        </w:tc>
      </w:tr>
    </w:tbl>
    <w:p/>
    <w:p>
      <w:r>
        <w:t>Enterprise value and equity value are not interchangeable. A common bridge is: Equity value ≈ Enterprise value − debt + cash (with other non-operating items and claims adjusted as appropriate).</w:t>
      </w:r>
    </w:p>
    <w:p>
      <w:pPr>
        <w:pStyle w:val="Heading2"/>
      </w:pPr>
      <w:r>
        <w:t>21. Forecasting workflow</w:t>
      </w:r>
    </w:p>
    <w:p>
      <w:pPr>
        <w:pStyle w:val="ListNumber"/>
        <w:spacing w:after="40"/>
      </w:pPr>
      <w:r>
        <w:t>Forecast operating drivers such as revenue growth, operating margins, taxes, and working capital.</w:t>
      </w:r>
    </w:p>
    <w:p>
      <w:pPr>
        <w:pStyle w:val="ListNumber"/>
        <w:spacing w:after="40"/>
      </w:pPr>
      <w:r>
        <w:t>Estimate operating profit or net income consistently with the chosen cash-flow method.</w:t>
      </w:r>
    </w:p>
    <w:p>
      <w:pPr>
        <w:pStyle w:val="ListNumber"/>
        <w:spacing w:after="40"/>
      </w:pPr>
      <w:r>
        <w:t>Add back non-cash charges such as depreciation and amortization.</w:t>
      </w:r>
    </w:p>
    <w:p>
      <w:pPr>
        <w:pStyle w:val="ListNumber"/>
        <w:spacing w:after="40"/>
      </w:pPr>
      <w:r>
        <w:t>Subtract required capital expenditures and increases in net working capital.</w:t>
      </w:r>
    </w:p>
    <w:p>
      <w:pPr>
        <w:pStyle w:val="ListNumber"/>
        <w:spacing w:after="40"/>
      </w:pPr>
      <w:r>
        <w:t>For FCFE, incorporate net borrowing; for FCFF, calculate cash flow before debt financing flows.</w:t>
      </w:r>
    </w:p>
    <w:p>
      <w:pPr>
        <w:pStyle w:val="ListNumber"/>
        <w:spacing w:after="40"/>
      </w:pPr>
      <w:r>
        <w:t>Estimate the discount rate consistent with the cash-flow definition and risk.</w:t>
      </w:r>
    </w:p>
    <w:p>
      <w:pPr>
        <w:pStyle w:val="ListNumber"/>
        <w:spacing w:after="40"/>
      </w:pPr>
      <w:r>
        <w:t>Discount the explicit forecast cash flows to present value.</w:t>
      </w:r>
    </w:p>
    <w:p>
      <w:pPr>
        <w:pStyle w:val="ListNumber"/>
        <w:spacing w:after="40"/>
      </w:pPr>
      <w:r>
        <w:t>Estimate terminal value if the business is assumed to continue beyond the explicit forecast horizon.</w:t>
      </w:r>
    </w:p>
    <w:p>
      <w:pPr>
        <w:pStyle w:val="ListNumber"/>
        <w:spacing w:after="40"/>
      </w:pPr>
      <w:r>
        <w:t>Discount terminal value to present value and add it to the present value of forecast-period cash flows.</w:t>
      </w:r>
    </w:p>
    <w:p>
      <w:pPr>
        <w:pStyle w:val="Heading2"/>
      </w:pPr>
      <w:r>
        <w:t>22. Terminal value in a DCF</w:t>
      </w:r>
    </w:p>
    <w:p>
      <w:pPr>
        <w:spacing w:before="40" w:after="100"/>
        <w:ind w:left="360"/>
      </w:pPr>
      <w:r>
        <w:rPr>
          <w:rFonts w:ascii="Aptos" w:hAnsi="Aptos"/>
          <w:b/>
          <w:color w:val="1F4E79"/>
          <w:sz w:val="21"/>
        </w:rPr>
        <w:t>Terminal Value at year n = FCFₙ₊₁ / (r − g)</w:t>
      </w:r>
    </w:p>
    <w:p>
      <w:pPr>
        <w:pStyle w:val="ListBullet"/>
        <w:spacing w:after="40"/>
      </w:pPr>
      <w:r>
        <w:t>Use FCFF with WACC for a firm/enterprise valuation, or FCFE with cost of equity for an equity valuation.</w:t>
      </w:r>
    </w:p>
    <w:p>
      <w:pPr>
        <w:pStyle w:val="ListBullet"/>
        <w:spacing w:after="40"/>
      </w:pPr>
      <w:r>
        <w:t>FCFₙ₊₁ is the cash flow in the first year after the explicit forecast period.</w:t>
      </w:r>
    </w:p>
    <w:p>
      <w:pPr>
        <w:pStyle w:val="ListBullet"/>
        <w:spacing w:after="40"/>
      </w:pPr>
      <w:r>
        <w:t>r is the matching discount rate; g is the sustainable perpetual growth rate.</w:t>
      </w:r>
    </w:p>
    <w:p>
      <w:pPr>
        <w:pStyle w:val="ListBullet"/>
        <w:spacing w:after="40"/>
      </w:pPr>
      <w:r>
        <w:t>The stable-growth model requires r &gt; g. A perpetual growth rate should be plausible for a mature business and consistent with the currency and inflation assumptions in the model.</w:t>
      </w:r>
    </w:p>
    <w:p>
      <w:pPr>
        <w:spacing w:before="40" w:after="100"/>
        <w:ind w:left="360"/>
      </w:pPr>
      <w:r>
        <w:rPr>
          <w:rFonts w:ascii="Aptos" w:hAnsi="Aptos"/>
          <w:b/>
          <w:color w:val="1F4E79"/>
          <w:sz w:val="21"/>
        </w:rPr>
        <w:t>Present value of terminal value = TVₙ / (1 + r)ⁿ</w:t>
      </w:r>
    </w:p>
    <w:p>
      <w:r>
        <w:t>Terminal value can make up a large portion of total DCF value, so small changes in r or g can have a large effect on the estimate.</w:t>
      </w:r>
    </w:p>
    <w:p>
      <w:pPr>
        <w:pStyle w:val="Heading2"/>
      </w:pPr>
      <w:r>
        <w:t>23. Common mistakes to avoid</w:t>
      </w:r>
    </w:p>
    <w:p>
      <w:pPr>
        <w:pStyle w:val="ListBullet"/>
        <w:spacing w:after="40"/>
      </w:pPr>
      <w:r>
        <w:t>Mixing annual rates with semi-annual coupon periods.</w:t>
      </w:r>
    </w:p>
    <w:p>
      <w:pPr>
        <w:pStyle w:val="ListBullet"/>
        <w:spacing w:after="40"/>
      </w:pPr>
      <w:r>
        <w:t>Using D₀ instead of D₁ in the Gordon Growth Model without first growing the dividend.</w:t>
      </w:r>
    </w:p>
    <w:p>
      <w:pPr>
        <w:pStyle w:val="ListBullet"/>
        <w:spacing w:after="40"/>
      </w:pPr>
      <w:r>
        <w:t>Using the Gordon model when required return is less than or equal to the perpetual growth rate.</w:t>
      </w:r>
    </w:p>
    <w:p>
      <w:pPr>
        <w:pStyle w:val="ListBullet"/>
        <w:spacing w:after="40"/>
      </w:pPr>
      <w:r>
        <w:t>Forgetting the tax adjustment on debt cost in WACC.</w:t>
      </w:r>
    </w:p>
    <w:p>
      <w:pPr>
        <w:pStyle w:val="ListBullet"/>
        <w:spacing w:after="40"/>
      </w:pPr>
      <w:r>
        <w:t>Using book-value weights when the task specifically requests market-value weights, or vice versa.</w:t>
      </w:r>
    </w:p>
    <w:p>
      <w:pPr>
        <w:pStyle w:val="ListBullet"/>
        <w:spacing w:after="40"/>
      </w:pPr>
      <w:r>
        <w:t>Subtracting a decrease in working capital instead of recognizing that it generally releases cash.</w:t>
      </w:r>
    </w:p>
    <w:p>
      <w:pPr>
        <w:pStyle w:val="ListBullet"/>
        <w:spacing w:after="40"/>
      </w:pPr>
      <w:r>
        <w:t>Adding depreciation but forgetting to subtract CapEx.</w:t>
      </w:r>
    </w:p>
    <w:p>
      <w:pPr>
        <w:pStyle w:val="ListBullet"/>
        <w:spacing w:after="40"/>
      </w:pPr>
      <w:r>
        <w:t>Treating FCFF and FCFE as the same cash flow.</w:t>
      </w:r>
    </w:p>
    <w:p>
      <w:pPr>
        <w:pStyle w:val="ListBullet"/>
        <w:spacing w:after="40"/>
      </w:pPr>
      <w:r>
        <w:t>Discounting FCFF at the cost of equity or FCFE at WACC without a justified, consistent setup.</w:t>
      </w:r>
    </w:p>
    <w:p>
      <w:pPr>
        <w:pStyle w:val="ListBullet"/>
        <w:spacing w:after="40"/>
      </w:pPr>
      <w:r>
        <w:t>Confusing enterprise value with equity value.</w:t>
      </w:r>
    </w:p>
    <w:p>
      <w:pPr>
        <w:pStyle w:val="ListBullet"/>
        <w:spacing w:after="40"/>
      </w:pPr>
      <w:r>
        <w:t>Using a terminal-value formula with the wrong next-period cash flow or mismatched discount rate.</w:t>
      </w:r>
    </w:p>
    <w:p>
      <w:pPr>
        <w:pStyle w:val="Heading1"/>
      </w:pPr>
      <w:r>
        <w:t>24. Formula sheet — quick revision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pPr>
              <w:spacing w:after="0"/>
            </w:pPr>
            <w:r/>
            <w:r>
              <w:rPr>
                <w:b/>
                <w:sz w:val="18"/>
              </w:rPr>
              <w:t>Concept</w:t>
            </w:r>
          </w:p>
        </w:tc>
        <w:tc>
          <w:tcPr>
            <w:tcW w:type="dxa" w:w="5040"/>
            <w:vAlign w:val="center"/>
            <w:shd w:fill="D9E5F2"/>
          </w:tcPr>
          <w:p>
            <w:pPr>
              <w:spacing w:after="0"/>
            </w:pPr>
            <w:r/>
            <w:r>
              <w:rPr>
                <w:b/>
                <w:sz w:val="18"/>
              </w:rPr>
              <w:t>Formula</w:t>
            </w:r>
          </w:p>
        </w:tc>
      </w:tr>
      <w:tr>
        <w:tc>
          <w:tcPr>
            <w:tcW w:type="dxa" w:w="5040"/>
            <w:vAlign w:val="center"/>
          </w:tcPr>
          <w:p>
            <w:pPr>
              <w:spacing w:after="0"/>
            </w:pPr>
            <w:r/>
            <w:r>
              <w:rPr>
                <w:b w:val="0"/>
                <w:sz w:val="18"/>
              </w:rPr>
              <w:t>Coupon payment</w:t>
            </w:r>
          </w:p>
        </w:tc>
        <w:tc>
          <w:tcPr>
            <w:tcW w:type="dxa" w:w="5040"/>
            <w:vAlign w:val="center"/>
          </w:tcPr>
          <w:p>
            <w:pPr>
              <w:spacing w:after="0"/>
            </w:pPr>
            <w:r/>
            <w:r>
              <w:rPr>
                <w:b w:val="0"/>
                <w:sz w:val="18"/>
              </w:rPr>
              <w:t>C = coupon rate × face value</w:t>
            </w:r>
          </w:p>
        </w:tc>
      </w:tr>
      <w:tr>
        <w:tc>
          <w:tcPr>
            <w:tcW w:type="dxa" w:w="5040"/>
            <w:vAlign w:val="center"/>
          </w:tcPr>
          <w:p>
            <w:pPr>
              <w:spacing w:after="0"/>
            </w:pPr>
            <w:r/>
            <w:r>
              <w:rPr>
                <w:b w:val="0"/>
                <w:sz w:val="18"/>
              </w:rPr>
              <w:t>Coupon bond value</w:t>
            </w:r>
          </w:p>
        </w:tc>
        <w:tc>
          <w:tcPr>
            <w:tcW w:type="dxa" w:w="5040"/>
            <w:vAlign w:val="center"/>
          </w:tcPr>
          <w:p>
            <w:pPr>
              <w:spacing w:after="0"/>
            </w:pPr>
            <w:r/>
            <w:r>
              <w:rPr>
                <w:b w:val="0"/>
                <w:sz w:val="18"/>
              </w:rPr>
              <w:t>P₀ = C[1 − (1+r)⁻ⁿ]/r + F/(1+r)ⁿ</w:t>
            </w:r>
          </w:p>
        </w:tc>
      </w:tr>
      <w:tr>
        <w:tc>
          <w:tcPr>
            <w:tcW w:type="dxa" w:w="5040"/>
            <w:vAlign w:val="center"/>
          </w:tcPr>
          <w:p>
            <w:pPr>
              <w:spacing w:after="0"/>
            </w:pPr>
            <w:r/>
            <w:r>
              <w:rPr>
                <w:b w:val="0"/>
                <w:sz w:val="18"/>
              </w:rPr>
              <w:t>Zero-coupon bond</w:t>
            </w:r>
          </w:p>
        </w:tc>
        <w:tc>
          <w:tcPr>
            <w:tcW w:type="dxa" w:w="5040"/>
            <w:vAlign w:val="center"/>
          </w:tcPr>
          <w:p>
            <w:pPr>
              <w:spacing w:after="0"/>
            </w:pPr>
            <w:r/>
            <w:r>
              <w:rPr>
                <w:b w:val="0"/>
                <w:sz w:val="18"/>
              </w:rPr>
              <w:t>P₀ = F/(1+r)ⁿ</w:t>
            </w:r>
          </w:p>
        </w:tc>
      </w:tr>
      <w:tr>
        <w:tc>
          <w:tcPr>
            <w:tcW w:type="dxa" w:w="5040"/>
            <w:vAlign w:val="center"/>
          </w:tcPr>
          <w:p>
            <w:pPr>
              <w:spacing w:after="0"/>
            </w:pPr>
            <w:r/>
            <w:r>
              <w:rPr>
                <w:b w:val="0"/>
                <w:sz w:val="18"/>
              </w:rPr>
              <w:t>Perpetual bond</w:t>
            </w:r>
          </w:p>
        </w:tc>
        <w:tc>
          <w:tcPr>
            <w:tcW w:type="dxa" w:w="5040"/>
            <w:vAlign w:val="center"/>
          </w:tcPr>
          <w:p>
            <w:pPr>
              <w:spacing w:after="0"/>
            </w:pPr>
            <w:r/>
            <w:r>
              <w:rPr>
                <w:b w:val="0"/>
                <w:sz w:val="18"/>
              </w:rPr>
              <w:t>P₀ = C/r</w:t>
            </w:r>
          </w:p>
        </w:tc>
      </w:tr>
      <w:tr>
        <w:tc>
          <w:tcPr>
            <w:tcW w:type="dxa" w:w="5040"/>
            <w:vAlign w:val="center"/>
          </w:tcPr>
          <w:p>
            <w:pPr>
              <w:spacing w:after="0"/>
            </w:pPr>
            <w:r/>
            <w:r>
              <w:rPr>
                <w:b w:val="0"/>
                <w:sz w:val="18"/>
              </w:rPr>
              <w:t>Approximate YTM</w:t>
            </w:r>
          </w:p>
        </w:tc>
        <w:tc>
          <w:tcPr>
            <w:tcW w:type="dxa" w:w="5040"/>
            <w:vAlign w:val="center"/>
          </w:tcPr>
          <w:p>
            <w:pPr>
              <w:spacing w:after="0"/>
            </w:pPr>
            <w:r/>
            <w:r>
              <w:rPr>
                <w:b w:val="0"/>
                <w:sz w:val="18"/>
              </w:rPr>
              <w:t>[C + (F − P₀)/n] / [(F + P₀)/2]</w:t>
            </w:r>
          </w:p>
        </w:tc>
      </w:tr>
      <w:tr>
        <w:tc>
          <w:tcPr>
            <w:tcW w:type="dxa" w:w="5040"/>
            <w:vAlign w:val="center"/>
          </w:tcPr>
          <w:p>
            <w:pPr>
              <w:spacing w:after="0"/>
            </w:pPr>
            <w:r/>
            <w:r>
              <w:rPr>
                <w:b w:val="0"/>
                <w:sz w:val="18"/>
              </w:rPr>
              <w:t>Zero-growth dividend value</w:t>
            </w:r>
          </w:p>
        </w:tc>
        <w:tc>
          <w:tcPr>
            <w:tcW w:type="dxa" w:w="5040"/>
            <w:vAlign w:val="center"/>
          </w:tcPr>
          <w:p>
            <w:pPr>
              <w:spacing w:after="0"/>
            </w:pPr>
            <w:r/>
            <w:r>
              <w:rPr>
                <w:b w:val="0"/>
                <w:sz w:val="18"/>
              </w:rPr>
              <w:t>P₀ = D/rₑ</w:t>
            </w:r>
          </w:p>
        </w:tc>
      </w:tr>
      <w:tr>
        <w:tc>
          <w:tcPr>
            <w:tcW w:type="dxa" w:w="5040"/>
            <w:vAlign w:val="center"/>
          </w:tcPr>
          <w:p>
            <w:pPr>
              <w:spacing w:after="0"/>
            </w:pPr>
            <w:r/>
            <w:r>
              <w:rPr>
                <w:b w:val="0"/>
                <w:sz w:val="18"/>
              </w:rPr>
              <w:t>Gordon Growth Model</w:t>
            </w:r>
          </w:p>
        </w:tc>
        <w:tc>
          <w:tcPr>
            <w:tcW w:type="dxa" w:w="5040"/>
            <w:vAlign w:val="center"/>
          </w:tcPr>
          <w:p>
            <w:pPr>
              <w:spacing w:after="0"/>
            </w:pPr>
            <w:r/>
            <w:r>
              <w:rPr>
                <w:b w:val="0"/>
                <w:sz w:val="18"/>
              </w:rPr>
              <w:t>P₀ = D₁/(rₑ − g)</w:t>
            </w:r>
          </w:p>
        </w:tc>
      </w:tr>
      <w:tr>
        <w:tc>
          <w:tcPr>
            <w:tcW w:type="dxa" w:w="5040"/>
            <w:vAlign w:val="center"/>
          </w:tcPr>
          <w:p>
            <w:pPr>
              <w:spacing w:after="0"/>
            </w:pPr>
            <w:r/>
            <w:r>
              <w:rPr>
                <w:b w:val="0"/>
                <w:sz w:val="18"/>
              </w:rPr>
              <w:t>Cost of equity — DGM</w:t>
            </w:r>
          </w:p>
        </w:tc>
        <w:tc>
          <w:tcPr>
            <w:tcW w:type="dxa" w:w="5040"/>
            <w:vAlign w:val="center"/>
          </w:tcPr>
          <w:p>
            <w:pPr>
              <w:spacing w:after="0"/>
            </w:pPr>
            <w:r/>
            <w:r>
              <w:rPr>
                <w:b w:val="0"/>
                <w:sz w:val="18"/>
              </w:rPr>
              <w:t>rₑ = D₁/P₀ + g</w:t>
            </w:r>
          </w:p>
        </w:tc>
      </w:tr>
      <w:tr>
        <w:tc>
          <w:tcPr>
            <w:tcW w:type="dxa" w:w="5040"/>
            <w:vAlign w:val="center"/>
          </w:tcPr>
          <w:p>
            <w:pPr>
              <w:spacing w:after="0"/>
            </w:pPr>
            <w:r/>
            <w:r>
              <w:rPr>
                <w:b w:val="0"/>
                <w:sz w:val="18"/>
              </w:rPr>
              <w:t>CAPM</w:t>
            </w:r>
          </w:p>
        </w:tc>
        <w:tc>
          <w:tcPr>
            <w:tcW w:type="dxa" w:w="5040"/>
            <w:vAlign w:val="center"/>
          </w:tcPr>
          <w:p>
            <w:pPr>
              <w:spacing w:after="0"/>
            </w:pPr>
            <w:r/>
            <w:r>
              <w:rPr>
                <w:b w:val="0"/>
                <w:sz w:val="18"/>
              </w:rPr>
              <w:t>rₑ = R_f + β(R_m − R_f)</w:t>
            </w:r>
          </w:p>
        </w:tc>
      </w:tr>
      <w:tr>
        <w:tc>
          <w:tcPr>
            <w:tcW w:type="dxa" w:w="5040"/>
            <w:vAlign w:val="center"/>
          </w:tcPr>
          <w:p>
            <w:pPr>
              <w:spacing w:after="0"/>
            </w:pPr>
            <w:r/>
            <w:r>
              <w:rPr>
                <w:b w:val="0"/>
                <w:sz w:val="18"/>
              </w:rPr>
              <w:t>After-tax cost of debt</w:t>
            </w:r>
          </w:p>
        </w:tc>
        <w:tc>
          <w:tcPr>
            <w:tcW w:type="dxa" w:w="5040"/>
            <w:vAlign w:val="center"/>
          </w:tcPr>
          <w:p>
            <w:pPr>
              <w:spacing w:after="0"/>
            </w:pPr>
            <w:r/>
            <w:r>
              <w:rPr>
                <w:b w:val="0"/>
                <w:sz w:val="18"/>
              </w:rPr>
              <w:t>r_d(1 − T)</w:t>
            </w:r>
          </w:p>
        </w:tc>
      </w:tr>
      <w:tr>
        <w:tc>
          <w:tcPr>
            <w:tcW w:type="dxa" w:w="5040"/>
            <w:vAlign w:val="center"/>
          </w:tcPr>
          <w:p>
            <w:pPr>
              <w:spacing w:after="0"/>
            </w:pPr>
            <w:r/>
            <w:r>
              <w:rPr>
                <w:b w:val="0"/>
                <w:sz w:val="18"/>
              </w:rPr>
              <w:t>Capital weights</w:t>
            </w:r>
          </w:p>
        </w:tc>
        <w:tc>
          <w:tcPr>
            <w:tcW w:type="dxa" w:w="5040"/>
            <w:vAlign w:val="center"/>
          </w:tcPr>
          <w:p>
            <w:pPr>
              <w:spacing w:after="0"/>
            </w:pPr>
            <w:r/>
            <w:r>
              <w:rPr>
                <w:b w:val="0"/>
                <w:sz w:val="18"/>
              </w:rPr>
              <w:t>w_d = D/(D+E); wₑ = E/(D+E)</w:t>
            </w:r>
          </w:p>
        </w:tc>
      </w:tr>
      <w:tr>
        <w:tc>
          <w:tcPr>
            <w:tcW w:type="dxa" w:w="5040"/>
            <w:vAlign w:val="center"/>
          </w:tcPr>
          <w:p>
            <w:pPr>
              <w:spacing w:after="0"/>
            </w:pPr>
            <w:r/>
            <w:r>
              <w:rPr>
                <w:b w:val="0"/>
                <w:sz w:val="18"/>
              </w:rPr>
              <w:t>WACC</w:t>
            </w:r>
          </w:p>
        </w:tc>
        <w:tc>
          <w:tcPr>
            <w:tcW w:type="dxa" w:w="5040"/>
            <w:vAlign w:val="center"/>
          </w:tcPr>
          <w:p>
            <w:pPr>
              <w:spacing w:after="0"/>
            </w:pPr>
            <w:r/>
            <w:r>
              <w:rPr>
                <w:b w:val="0"/>
                <w:sz w:val="18"/>
              </w:rPr>
              <w:t>w_d r_d(1−T) + wₑ rₑ</w:t>
            </w:r>
          </w:p>
        </w:tc>
      </w:tr>
      <w:tr>
        <w:tc>
          <w:tcPr>
            <w:tcW w:type="dxa" w:w="5040"/>
            <w:vAlign w:val="center"/>
          </w:tcPr>
          <w:p>
            <w:pPr>
              <w:spacing w:after="0"/>
            </w:pPr>
            <w:r/>
            <w:r>
              <w:rPr>
                <w:b w:val="0"/>
                <w:sz w:val="18"/>
              </w:rPr>
              <w:t>FCFF</w:t>
            </w:r>
          </w:p>
        </w:tc>
        <w:tc>
          <w:tcPr>
            <w:tcW w:type="dxa" w:w="5040"/>
            <w:vAlign w:val="center"/>
          </w:tcPr>
          <w:p>
            <w:pPr>
              <w:spacing w:after="0"/>
            </w:pPr>
            <w:r/>
            <w:r>
              <w:rPr>
                <w:b w:val="0"/>
                <w:sz w:val="18"/>
              </w:rPr>
              <w:t>EBIT(1−T) + D&amp;A − CapEx − ΔNWC</w:t>
            </w:r>
          </w:p>
        </w:tc>
      </w:tr>
      <w:tr>
        <w:tc>
          <w:tcPr>
            <w:tcW w:type="dxa" w:w="5040"/>
            <w:vAlign w:val="center"/>
          </w:tcPr>
          <w:p>
            <w:pPr>
              <w:spacing w:after="0"/>
            </w:pPr>
            <w:r/>
            <w:r>
              <w:rPr>
                <w:b w:val="0"/>
                <w:sz w:val="18"/>
              </w:rPr>
              <w:t>FCFE</w:t>
            </w:r>
          </w:p>
        </w:tc>
        <w:tc>
          <w:tcPr>
            <w:tcW w:type="dxa" w:w="5040"/>
            <w:vAlign w:val="center"/>
          </w:tcPr>
          <w:p>
            <w:pPr>
              <w:spacing w:after="0"/>
            </w:pPr>
            <w:r/>
            <w:r>
              <w:rPr>
                <w:b w:val="0"/>
                <w:sz w:val="18"/>
              </w:rPr>
              <w:t>Net income + D&amp;A − CapEx − ΔNWC + net borrowing</w:t>
            </w:r>
          </w:p>
        </w:tc>
      </w:tr>
      <w:tr>
        <w:tc>
          <w:tcPr>
            <w:tcW w:type="dxa" w:w="5040"/>
            <w:vAlign w:val="center"/>
          </w:tcPr>
          <w:p>
            <w:pPr>
              <w:spacing w:after="0"/>
            </w:pPr>
            <w:r/>
            <w:r>
              <w:rPr>
                <w:b w:val="0"/>
                <w:sz w:val="18"/>
              </w:rPr>
              <w:t>Terminal value</w:t>
            </w:r>
          </w:p>
        </w:tc>
        <w:tc>
          <w:tcPr>
            <w:tcW w:type="dxa" w:w="5040"/>
            <w:vAlign w:val="center"/>
          </w:tcPr>
          <w:p>
            <w:pPr>
              <w:spacing w:after="0"/>
            </w:pPr>
            <w:r/>
            <w:r>
              <w:rPr>
                <w:b w:val="0"/>
                <w:sz w:val="18"/>
              </w:rPr>
              <w:t>FCFₙ₊₁/(r−g)</w:t>
            </w:r>
          </w:p>
        </w:tc>
      </w:tr>
      <w:tr>
        <w:tc>
          <w:tcPr>
            <w:tcW w:type="dxa" w:w="5040"/>
            <w:vAlign w:val="center"/>
          </w:tcPr>
          <w:p>
            <w:pPr>
              <w:spacing w:after="0"/>
            </w:pPr>
            <w:r/>
            <w:r>
              <w:rPr>
                <w:b w:val="0"/>
                <w:sz w:val="18"/>
              </w:rPr>
              <w:t>PV of terminal value</w:t>
            </w:r>
          </w:p>
        </w:tc>
        <w:tc>
          <w:tcPr>
            <w:tcW w:type="dxa" w:w="5040"/>
            <w:vAlign w:val="center"/>
          </w:tcPr>
          <w:p>
            <w:pPr>
              <w:spacing w:after="0"/>
            </w:pPr>
            <w:r/>
            <w:r>
              <w:rPr>
                <w:b w:val="0"/>
                <w:sz w:val="18"/>
              </w:rPr>
              <w:t>TVₙ/(1+r)ⁿ</w:t>
            </w:r>
          </w:p>
        </w:tc>
      </w:tr>
    </w:tbl>
    <w:p/>
    <w:p>
      <w:pPr>
        <w:pStyle w:val="Heading1"/>
      </w:pPr>
      <w:r>
        <w:t>25. YouTube / learning resources</w:t>
      </w:r>
    </w:p>
    <w:p>
      <w:r>
        <w:t>These are the video resources shared in the lesson. The first two are YouTube search links so you can choose the matching NPTEL lecture; the others link to the resource directly.</w:t>
      </w:r>
    </w:p>
    <w:p>
      <w:pPr>
        <w:pStyle w:val="ListBullet"/>
        <w:spacing w:after="80"/>
      </w:pPr>
      <w:r>
        <w:t xml:space="preserve">NPTEL — Bond Valuation, Part I (YouTube search): </w:t>
      </w:r>
      <w:r>
        <w:t>https://www.youtube.com/results?search_query=NPTEL+Foundations+Accounting+Finance+Bond+Valuation+Part+I</w:t>
      </w:r>
    </w:p>
    <w:p>
      <w:pPr>
        <w:pStyle w:val="ListBullet"/>
        <w:spacing w:after="80"/>
      </w:pPr>
      <w:r>
        <w:t xml:space="preserve">NPTEL — Bond Valuation, Part II: YTM / zero-coupon (YouTube search): </w:t>
      </w:r>
      <w:r>
        <w:t>https://www.youtube.com/results?search_query=NPTEL+Bond+Valuation+Part+II+Yield+to+Maturity+Zero+Coupon</w:t>
      </w:r>
    </w:p>
    <w:p>
      <w:pPr>
        <w:pStyle w:val="ListBullet"/>
        <w:spacing w:after="80"/>
      </w:pPr>
      <w:r>
        <w:t xml:space="preserve">WACC explained — Ryan O’Connell Finance: </w:t>
      </w:r>
      <w:r>
        <w:t>https://ryanoconnellfinance.com/video/weighted-average-cost-of-capital-wacc-explained/</w:t>
      </w:r>
    </w:p>
    <w:p>
      <w:pPr>
        <w:pStyle w:val="ListBullet"/>
        <w:spacing w:after="80"/>
      </w:pPr>
      <w:r>
        <w:t xml:space="preserve">CFI — Cash flow, FCFE and FCFF video: </w:t>
      </w:r>
      <w:r>
        <w:t>https://www.youtube.com/watch?v=sTYjXC4Udrc</w:t>
      </w:r>
    </w:p>
    <w:p>
      <w:pPr>
        <w:pStyle w:val="Heading1"/>
      </w:pPr>
      <w:r>
        <w:t>Final mental model</w:t>
      </w:r>
    </w:p>
    <w:p>
      <w:pPr>
        <w:pStyle w:val="ListBullet"/>
        <w:spacing w:after="40"/>
      </w:pPr>
      <w:r>
        <w:t>Security valuation: value = present value of expected security cash flows.</w:t>
      </w:r>
    </w:p>
    <w:p>
      <w:pPr>
        <w:pStyle w:val="ListBullet"/>
        <w:spacing w:after="40"/>
      </w:pPr>
      <w:r>
        <w:t>WACC: weighted required return from debt and equity providers, with debt adjusted for the tax shield.</w:t>
      </w:r>
    </w:p>
    <w:p>
      <w:pPr>
        <w:pStyle w:val="ListBullet"/>
        <w:spacing w:after="40"/>
      </w:pPr>
      <w:r>
        <w:t>FCFF: cash available to all capital providers; discount using WACC to estimate firm value.</w:t>
      </w:r>
    </w:p>
    <w:p>
      <w:pPr>
        <w:pStyle w:val="ListBullet"/>
        <w:spacing w:after="40"/>
      </w:pPr>
      <w:r>
        <w:t>FCFE: cash available to equity holders; discount using cost of equity to estimate equity value.</w:t>
      </w:r>
    </w:p>
    <w:p>
      <w:pPr>
        <w:pStyle w:val="ListBullet"/>
        <w:spacing w:after="40"/>
      </w:pPr>
      <w:r>
        <w:t>DCF: present value of forecast-period cash flows plus present value of terminal value.</w:t>
      </w:r>
    </w:p>
    <w:p/>
    <w:p>
      <w:pPr>
        <w:jc w:val="center"/>
      </w:pPr>
      <w:r>
        <w:rPr>
          <w:i/>
          <w:color w:val="646464"/>
        </w:rPr>
        <w:t>End of one-shot notes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