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A6E"/>
          <w:sz w:val="36"/>
          <w:szCs w:val="36"/>
        </w:rPr>
        <w:t xml:space="preserve">DeepThought Business Analytics Fellowship</w:t>
      </w:r>
    </w:p>
    <w:p>
      <w:pPr>
        <w:spacing w:after="60" w:before="0"/>
      </w:pPr>
      <w:r>
        <w:rPr>
          <w:rFonts w:ascii="Arial" w:cs="Arial" w:eastAsia="Arial" w:hAnsi="Arial"/>
          <w:color w:val="444444"/>
          <w:sz w:val="26"/>
          <w:szCs w:val="26"/>
        </w:rPr>
        <w:t xml:space="preserve">Part B — Question 1: Sourcing Methods</w:t>
      </w:r>
    </w:p>
    <w:p>
      <w:pPr>
        <w:pBdr>
          <w:bottom w:val="single" w:color="1F3A6E" w:sz="6" w:space="8"/>
        </w:pBdr>
        <w:spacing w:after="320" w:before="0"/>
      </w:pPr>
      <w:r>
        <w:rPr>
          <w:rFonts w:ascii="Arial" w:cs="Arial" w:eastAsia="Arial" w:hAnsi="Arial"/>
          <w:i/>
          <w:iCs/>
          <w:color w:val="666666"/>
          <w:sz w:val="22"/>
          <w:szCs w:val="22"/>
        </w:rPr>
        <w:t xml:space="preserve">How to find Federer-profile companies across India at scale</w:t>
      </w:r>
    </w:p>
    <w:p>
      <w:pPr>
        <w:spacing w:after="80" w:before="60"/>
      </w:pPr>
      <w:r>
        <w:rPr>
          <w:rFonts w:ascii="Arial" w:cs="Arial" w:eastAsia="Arial" w:hAnsi="Arial"/>
          <w:sz w:val="22"/>
          <w:szCs w:val="22"/>
        </w:rPr>
        <w:t xml:space="preserve">Google search is a starting point, not a sourcing strategy. To consistently find Federer companies — differentiated manufacturers with technical founders and operational depth — you need sources that already filter for the signals we care about: verified manufacturing, R&amp;D investment, quality systems, and sector fit. The six methods below each provide a different angle on the same ICP.</w:t>
      </w:r>
    </w:p>
    <w:p>
      <w:pPr>
        <w:pBdr>
          <w:bottom w:val="single" w:color="1F3A6E" w:sz="4" w:space="6"/>
        </w:pBdr>
        <w:spacing w:after="160" w:before="360"/>
      </w:pPr>
      <w:r>
        <w:rPr>
          <w:rFonts w:ascii="Arial" w:cs="Arial" w:eastAsia="Arial" w:hAnsi="Arial"/>
          <w:b/>
          <w:bCs/>
          <w:color w:val="1F3A6E"/>
          <w:sz w:val="28"/>
          <w:szCs w:val="28"/>
        </w:rPr>
        <w:t xml:space="preserve">Method 1 — MCA21 + Tofler (Government Registry)</w:t>
      </w:r>
    </w:p>
    <w:p>
      <w:pPr>
        <w:spacing w:after="80" w:before="60"/>
      </w:pPr>
      <w:r>
        <w:rPr>
          <w:rFonts w:ascii="Arial" w:cs="Arial" w:eastAsia="Arial" w:hAnsi="Arial"/>
          <w:sz w:val="22"/>
          <w:szCs w:val="22"/>
        </w:rPr>
        <w:t xml:space="preserve">Every registered Indian company files with the Ministry of Corporate Affairs. MCA21 is the primary source of ground-truth data on which companies actually exist, what they do, and who runs them.</w:t>
      </w:r>
    </w:p>
    <w:p>
      <w:pPr>
        <w:spacing w:after="0" w:before="80"/>
      </w:pPr>
      <w:r>
        <w:t xml:space="preserve"/>
      </w:r>
    </w:p>
    <w:p>
      <w:pPr>
        <w:spacing w:after="100" w:before="240"/>
      </w:pPr>
      <w:r>
        <w:rPr>
          <w:rFonts w:ascii="Arial" w:cs="Arial" w:eastAsia="Arial" w:hAnsi="Arial"/>
          <w:b/>
          <w:bCs/>
          <w:color w:val="2C3E6B"/>
          <w:sz w:val="24"/>
          <w:szCs w:val="24"/>
        </w:rPr>
        <w:t xml:space="preserve">How to use it</w:t>
      </w:r>
    </w:p>
    <w:p>
      <w:pPr>
        <w:spacing w:after="80" w:before="60"/>
      </w:pPr>
      <w:r>
        <w:rPr>
          <w:rFonts w:ascii="Arial" w:cs="Arial" w:eastAsia="Arial" w:hAnsi="Arial"/>
          <w:sz w:val="22"/>
          <w:szCs w:val="22"/>
        </w:rPr>
        <w:t xml:space="preserve">Search MCA21 by NIC code (National Industry Classification) to pull companies in target sectors:</w:t>
      </w:r>
    </w:p>
    <w:p>
      <w:pPr>
        <w:pStyle w:val="ListParagraph"/>
        <w:numPr>
          <w:ilvl w:val="0"/>
          <w:numId w:val="2"/>
        </w:numPr>
        <w:spacing w:after="50" w:before="50"/>
      </w:pPr>
      <w:r>
        <w:rPr>
          <w:rFonts w:ascii="Arial" w:cs="Arial" w:eastAsia="Arial" w:hAnsi="Arial"/>
          <w:b w:val="false"/>
          <w:bCs w:val="false"/>
          <w:sz w:val="22"/>
          <w:szCs w:val="22"/>
        </w:rPr>
        <w:t xml:space="preserve">2011, 2012, 2099 — basic and specialty chemicals</w:t>
      </w:r>
    </w:p>
    <w:p>
      <w:pPr>
        <w:pStyle w:val="ListParagraph"/>
        <w:numPr>
          <w:ilvl w:val="0"/>
          <w:numId w:val="2"/>
        </w:numPr>
        <w:spacing w:after="50" w:before="50"/>
      </w:pPr>
      <w:r>
        <w:rPr>
          <w:rFonts w:ascii="Arial" w:cs="Arial" w:eastAsia="Arial" w:hAnsi="Arial"/>
          <w:b w:val="false"/>
          <w:bCs w:val="false"/>
          <w:sz w:val="22"/>
          <w:szCs w:val="22"/>
        </w:rPr>
        <w:t xml:space="preserve">2710 — pharmaceutical manufacturing</w:t>
      </w:r>
    </w:p>
    <w:p>
      <w:pPr>
        <w:pStyle w:val="ListParagraph"/>
        <w:numPr>
          <w:ilvl w:val="0"/>
          <w:numId w:val="2"/>
        </w:numPr>
        <w:spacing w:after="50" w:before="50"/>
      </w:pPr>
      <w:r>
        <w:rPr>
          <w:rFonts w:ascii="Arial" w:cs="Arial" w:eastAsia="Arial" w:hAnsi="Arial"/>
          <w:b w:val="false"/>
          <w:bCs w:val="false"/>
          <w:sz w:val="22"/>
          <w:szCs w:val="22"/>
        </w:rPr>
        <w:t xml:space="preserve">2090 — other chemical products (includes agri-chemicals, biocides)</w:t>
      </w:r>
    </w:p>
    <w:p>
      <w:pPr>
        <w:pStyle w:val="ListParagraph"/>
        <w:numPr>
          <w:ilvl w:val="0"/>
          <w:numId w:val="2"/>
        </w:numPr>
        <w:spacing w:after="50" w:before="50"/>
      </w:pPr>
      <w:r>
        <w:rPr>
          <w:rFonts w:ascii="Arial" w:cs="Arial" w:eastAsia="Arial" w:hAnsi="Arial"/>
          <w:b w:val="false"/>
          <w:bCs w:val="false"/>
          <w:sz w:val="22"/>
          <w:szCs w:val="22"/>
        </w:rPr>
        <w:t xml:space="preserve">0111, 0112 — seed production and crop farming inputs</w:t>
      </w:r>
    </w:p>
    <w:p>
      <w:pPr>
        <w:pStyle w:val="ListParagraph"/>
        <w:numPr>
          <w:ilvl w:val="0"/>
          <w:numId w:val="2"/>
        </w:numPr>
        <w:spacing w:after="50" w:before="50"/>
      </w:pPr>
      <w:r>
        <w:rPr>
          <w:rFonts w:ascii="Arial" w:cs="Arial" w:eastAsia="Arial" w:hAnsi="Arial"/>
          <w:b w:val="false"/>
          <w:bCs w:val="false"/>
          <w:sz w:val="22"/>
          <w:szCs w:val="22"/>
        </w:rPr>
        <w:t xml:space="preserve">2120 — biological products and biotech manufacturing</w:t>
      </w:r>
    </w:p>
    <w:p>
      <w:pPr>
        <w:spacing w:after="0" w:before="60"/>
      </w:pPr>
      <w:r>
        <w:t xml:space="preserve"/>
      </w:r>
    </w:p>
    <w:p>
      <w:pPr>
        <w:spacing w:after="80" w:before="60"/>
      </w:pPr>
      <w:r>
        <w:rPr>
          <w:rFonts w:ascii="Arial" w:cs="Arial" w:eastAsia="Arial" w:hAnsi="Arial"/>
          <w:sz w:val="22"/>
          <w:szCs w:val="22"/>
        </w:rPr>
        <w:t xml:space="preserve">Tofler sits on top of MCA data and makes it searchable with filters for state, city, revenue band, incorporation year, and director names. For each shortlisted company you can pull: revenue band, net worth trend, number of directors, registered address, and filing status — all without a paid database subscription.</w:t>
      </w:r>
    </w:p>
    <w:p>
      <w:pPr>
        <w:spacing w:after="0" w:before="80"/>
      </w:pPr>
      <w:r>
        <w:t xml:space="preserve"/>
      </w:r>
    </w:p>
    <w:p>
      <w:pPr>
        <w:spacing w:after="100" w:before="240"/>
      </w:pPr>
      <w:r>
        <w:rPr>
          <w:rFonts w:ascii="Arial" w:cs="Arial" w:eastAsia="Arial" w:hAnsi="Arial"/>
          <w:b/>
          <w:bCs/>
          <w:color w:val="2C3E6B"/>
          <w:sz w:val="24"/>
          <w:szCs w:val="24"/>
        </w:rPr>
        <w:t xml:space="preserve">Why it works for this ICP</w:t>
      </w:r>
    </w:p>
    <w:p>
      <w:pPr>
        <w:spacing w:after="80" w:before="60"/>
      </w:pPr>
      <w:r>
        <w:rPr>
          <w:rFonts w:ascii="Arial" w:cs="Arial" w:eastAsia="Arial" w:hAnsi="Arial"/>
          <w:sz w:val="22"/>
          <w:szCs w:val="22"/>
        </w:rPr>
        <w:t xml:space="preserve">NIC codes pre-filter for manufacturing. Combined with a city or state filter, this produces a list of legally registered producers, not traders or service companies. Director names from MCA filings are usable for LinkedIn lookup and decision-maker verification.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Strength</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Ground-truth data. Every manufacturer with a CIN number appears here regardless of whether they have a website or LinkedIn presence.</w:t>
            </w:r>
          </w:p>
        </w:tc>
      </w:tr>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Limitation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NIC codes are self-reported and sometimes incorrect. Revenue data is not always current. Requires manual cross-checking to confirm active operations.</w:t>
            </w:r>
          </w:p>
        </w:tc>
      </w:tr>
    </w:tbl>
    <w:p>
      <w:pPr>
        <w:pBdr>
          <w:bottom w:val="single" w:color="1F3A6E" w:sz="4" w:space="6"/>
        </w:pBdr>
        <w:spacing w:after="160" w:before="360"/>
      </w:pPr>
      <w:r>
        <w:rPr>
          <w:rFonts w:ascii="Arial" w:cs="Arial" w:eastAsia="Arial" w:hAnsi="Arial"/>
          <w:b/>
          <w:bCs/>
          <w:color w:val="1F3A6E"/>
          <w:sz w:val="28"/>
          <w:szCs w:val="28"/>
        </w:rPr>
        <w:t xml:space="preserve">Method 2 — DSIR / BIRAC / DBT Grant Lists (R&amp;D Signal)</w:t>
      </w:r>
    </w:p>
    <w:p>
      <w:pPr>
        <w:spacing w:after="80" w:before="60"/>
      </w:pPr>
      <w:r>
        <w:rPr>
          <w:rFonts w:ascii="Arial" w:cs="Arial" w:eastAsia="Arial" w:hAnsi="Arial"/>
          <w:sz w:val="22"/>
          <w:szCs w:val="22"/>
        </w:rPr>
        <w:t xml:space="preserve">Three government bodies publish lists of companies they have officially validated for R&amp;D quality. These lists are publicly available and are among the strongest available pre-filters for Federer fit.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DSIR</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Department of Scientific and Industrial Research — recognizes in-house R&amp;D units. Published list available on dsir.gov.in. Every company on this list has cleared a government audit of their R&amp;D capability.</w:t>
            </w:r>
          </w:p>
        </w:tc>
      </w:tr>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BIRAC</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Biotechnology Industry Research Assistance Council — publishes all BIG grant, PACE grant, and BioE3 programme recipients. Available on birac.nic.in. Covers biotech manufacturers specifically.</w:t>
            </w:r>
          </w:p>
        </w:tc>
      </w:tr>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DBT / DPIIT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Startup India registration and DBT-recognized biotech companies. Separately, DPIIT's Udyam Aadhar portal lists MSME manufacturers by state and sector.</w:t>
            </w:r>
          </w:p>
        </w:tc>
      </w:tr>
    </w:tbl>
    <w:p>
      <w:pPr>
        <w:spacing w:after="0" w:before="80"/>
      </w:pPr>
      <w:r>
        <w:t xml:space="preserve"/>
      </w:r>
    </w:p>
    <w:p>
      <w:pPr>
        <w:spacing w:after="100" w:before="240"/>
      </w:pPr>
      <w:r>
        <w:rPr>
          <w:rFonts w:ascii="Arial" w:cs="Arial" w:eastAsia="Arial" w:hAnsi="Arial"/>
          <w:b/>
          <w:bCs/>
          <w:color w:val="2C3E6B"/>
          <w:sz w:val="24"/>
          <w:szCs w:val="24"/>
        </w:rPr>
        <w:t xml:space="preserve">Why it works for this ICP</w:t>
      </w:r>
    </w:p>
    <w:p>
      <w:pPr>
        <w:spacing w:after="80" w:before="60"/>
      </w:pPr>
      <w:r>
        <w:rPr>
          <w:rFonts w:ascii="Arial" w:cs="Arial" w:eastAsia="Arial" w:hAnsi="Arial"/>
          <w:sz w:val="22"/>
          <w:szCs w:val="22"/>
        </w:rPr>
        <w:t xml:space="preserve">A company that has received a DSIR or BIRAC recognition has already been evaluated by a technical committee. This pre-validates C3 (Differentiation) and C7 (Systems Maturity) before you make a single call. These lists effectively do the hardest part of Federer screening for you — for free.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Strength</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Pre-screened for R&amp;D quality by government bodies. High signal-to-noise ratio for technical founders and differentiated products.</w:t>
            </w:r>
          </w:p>
        </w:tc>
      </w:tr>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Limitation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BIRAC is biotech-only. DSIR list coverage of small specialty chemical manufacturers is incomplete. Lists are not always updated in real time.</w:t>
            </w:r>
          </w:p>
        </w:tc>
      </w:tr>
    </w:tbl>
    <w:p>
      <w:pPr>
        <w:pBdr>
          <w:bottom w:val="single" w:color="1F3A6E" w:sz="4" w:space="6"/>
        </w:pBdr>
        <w:spacing w:after="160" w:before="360"/>
      </w:pPr>
      <w:r>
        <w:rPr>
          <w:rFonts w:ascii="Arial" w:cs="Arial" w:eastAsia="Arial" w:hAnsi="Arial"/>
          <w:b/>
          <w:bCs/>
          <w:color w:val="1F3A6E"/>
          <w:sz w:val="28"/>
          <w:szCs w:val="28"/>
        </w:rPr>
        <w:t xml:space="preserve">Method 3 — Geographic Cluster Search (Industrial Estates)</w:t>
      </w:r>
    </w:p>
    <w:p>
      <w:pPr>
        <w:spacing w:after="80" w:before="60"/>
      </w:pPr>
      <w:r>
        <w:rPr>
          <w:rFonts w:ascii="Arial" w:cs="Arial" w:eastAsia="Arial" w:hAnsi="Arial"/>
          <w:sz w:val="22"/>
          <w:szCs w:val="22"/>
        </w:rPr>
        <w:t xml:space="preserve">India's specialty manufacturers are not evenly distributed — they concentrate in specific MIDC and industrial estate clusters. Searching by cluster rather than by city produces denser, higher-quality results because the cluster itself is a manufacturing filter.</w:t>
      </w:r>
    </w:p>
    <w:p>
      <w:pPr>
        <w:spacing w:after="0" w:before="80"/>
      </w:pPr>
      <w:r>
        <w:t xml:space="preserve"/>
      </w:r>
    </w:p>
    <w:p>
      <w:pPr>
        <w:spacing w:after="100" w:before="240"/>
      </w:pPr>
      <w:r>
        <w:rPr>
          <w:rFonts w:ascii="Arial" w:cs="Arial" w:eastAsia="Arial" w:hAnsi="Arial"/>
          <w:b/>
          <w:bCs/>
          <w:color w:val="2C3E6B"/>
          <w:sz w:val="24"/>
          <w:szCs w:val="24"/>
        </w:rPr>
        <w:t xml:space="preserve">How to use it</w:t>
      </w:r>
    </w:p>
    <w:p>
      <w:pPr>
        <w:spacing w:after="80" w:before="60"/>
      </w:pPr>
      <w:r>
        <w:rPr>
          <w:rFonts w:ascii="Arial" w:cs="Arial" w:eastAsia="Arial" w:hAnsi="Arial"/>
          <w:sz w:val="22"/>
          <w:szCs w:val="22"/>
        </w:rPr>
        <w:t xml:space="preserve">Search for target segments within named industrial clusters:</w:t>
      </w:r>
    </w:p>
    <w:p>
      <w:pPr>
        <w:pStyle w:val="ListParagraph"/>
        <w:numPr>
          <w:ilvl w:val="0"/>
          <w:numId w:val="2"/>
        </w:numPr>
        <w:spacing w:after="50" w:before="50"/>
      </w:pPr>
      <w:r>
        <w:rPr>
          <w:rFonts w:ascii="Arial" w:cs="Arial" w:eastAsia="Arial" w:hAnsi="Arial"/>
          <w:b w:val="false"/>
          <w:bCs w:val="false"/>
          <w:sz w:val="22"/>
          <w:szCs w:val="22"/>
        </w:rPr>
        <w:t xml:space="preserve">"Specialty chemical manufacturers Ankleshwar industrial cluster" — Gujarat's largest chemical belt</w:t>
      </w:r>
    </w:p>
    <w:p>
      <w:pPr>
        <w:pStyle w:val="ListParagraph"/>
        <w:numPr>
          <w:ilvl w:val="0"/>
          <w:numId w:val="2"/>
        </w:numPr>
        <w:spacing w:after="50" w:before="50"/>
      </w:pPr>
      <w:r>
        <w:rPr>
          <w:rFonts w:ascii="Arial" w:cs="Arial" w:eastAsia="Arial" w:hAnsi="Arial"/>
          <w:b w:val="false"/>
          <w:bCs w:val="false"/>
          <w:sz w:val="22"/>
          <w:szCs w:val="22"/>
        </w:rPr>
        <w:t xml:space="preserve">"Biotech manufacturers Genome Valley Hyderabad" — India's dedicated biotech zone</w:t>
      </w:r>
    </w:p>
    <w:p>
      <w:pPr>
        <w:pStyle w:val="ListParagraph"/>
        <w:numPr>
          <w:ilvl w:val="0"/>
          <w:numId w:val="2"/>
        </w:numPr>
        <w:spacing w:after="50" w:before="50"/>
      </w:pPr>
      <w:r>
        <w:rPr>
          <w:rFonts w:ascii="Arial" w:cs="Arial" w:eastAsia="Arial" w:hAnsi="Arial"/>
          <w:b w:val="false"/>
          <w:bCs w:val="false"/>
          <w:sz w:val="22"/>
          <w:szCs w:val="22"/>
        </w:rPr>
        <w:t xml:space="preserve">"Pharma API manufacturers Jeedimetla MIDC Hyderabad"</w:t>
      </w:r>
    </w:p>
    <w:p>
      <w:pPr>
        <w:pStyle w:val="ListParagraph"/>
        <w:numPr>
          <w:ilvl w:val="0"/>
          <w:numId w:val="2"/>
        </w:numPr>
        <w:spacing w:after="50" w:before="50"/>
      </w:pPr>
      <w:r>
        <w:rPr>
          <w:rFonts w:ascii="Arial" w:cs="Arial" w:eastAsia="Arial" w:hAnsi="Arial"/>
          <w:b w:val="false"/>
          <w:bCs w:val="false"/>
          <w:sz w:val="22"/>
          <w:szCs w:val="22"/>
        </w:rPr>
        <w:t xml:space="preserve">"Specialty chemicals MIDC Tarapur Maharashtra"</w:t>
      </w:r>
    </w:p>
    <w:p>
      <w:pPr>
        <w:pStyle w:val="ListParagraph"/>
        <w:numPr>
          <w:ilvl w:val="0"/>
          <w:numId w:val="2"/>
        </w:numPr>
        <w:spacing w:after="50" w:before="50"/>
      </w:pPr>
      <w:r>
        <w:rPr>
          <w:rFonts w:ascii="Arial" w:cs="Arial" w:eastAsia="Arial" w:hAnsi="Arial"/>
          <w:b w:val="false"/>
          <w:bCs w:val="false"/>
          <w:sz w:val="22"/>
          <w:szCs w:val="22"/>
        </w:rPr>
        <w:t xml:space="preserve">"Agri-biotech manufacturers Nashik MIDC"</w:t>
      </w:r>
    </w:p>
    <w:p>
      <w:pPr>
        <w:pStyle w:val="ListParagraph"/>
        <w:numPr>
          <w:ilvl w:val="0"/>
          <w:numId w:val="2"/>
        </w:numPr>
        <w:spacing w:after="50" w:before="50"/>
      </w:pPr>
      <w:r>
        <w:rPr>
          <w:rFonts w:ascii="Arial" w:cs="Arial" w:eastAsia="Arial" w:hAnsi="Arial"/>
          <w:b w:val="false"/>
          <w:bCs w:val="false"/>
          <w:sz w:val="22"/>
          <w:szCs w:val="22"/>
        </w:rPr>
        <w:t xml:space="preserve">"Industrial chemicals MIDC Bhosari Pimpri Pune"</w:t>
      </w:r>
    </w:p>
    <w:p>
      <w:pPr>
        <w:pStyle w:val="ListParagraph"/>
        <w:numPr>
          <w:ilvl w:val="0"/>
          <w:numId w:val="2"/>
        </w:numPr>
        <w:spacing w:after="50" w:before="50"/>
      </w:pPr>
      <w:r>
        <w:rPr>
          <w:rFonts w:ascii="Arial" w:cs="Arial" w:eastAsia="Arial" w:hAnsi="Arial"/>
          <w:b w:val="false"/>
          <w:bCs w:val="false"/>
          <w:sz w:val="22"/>
          <w:szCs w:val="22"/>
        </w:rPr>
        <w:t xml:space="preserve">"Specialty coatings manufacturers MIDC Ambernath"</w:t>
      </w:r>
    </w:p>
    <w:p>
      <w:pPr>
        <w:spacing w:after="0" w:before="80"/>
      </w:pPr>
      <w:r>
        <w:t xml:space="preserve"/>
      </w:r>
    </w:p>
    <w:p>
      <w:pPr>
        <w:spacing w:after="80" w:before="60"/>
      </w:pPr>
      <w:r>
        <w:rPr>
          <w:rFonts w:ascii="Arial" w:cs="Arial" w:eastAsia="Arial" w:hAnsi="Arial"/>
          <w:sz w:val="22"/>
          <w:szCs w:val="22"/>
        </w:rPr>
        <w:t xml:space="preserve">Each cluster has its own industrial directory, often maintained by the local MIDC authority, industrial association, or state industries department. These directories list member companies with addresses, contact details, and product categories.</w:t>
      </w:r>
    </w:p>
    <w:p>
      <w:pPr>
        <w:spacing w:after="0" w:before="80"/>
      </w:pPr>
      <w:r>
        <w:t xml:space="preserve"/>
      </w:r>
    </w:p>
    <w:p>
      <w:pPr>
        <w:spacing w:after="100" w:before="240"/>
      </w:pPr>
      <w:r>
        <w:rPr>
          <w:rFonts w:ascii="Arial" w:cs="Arial" w:eastAsia="Arial" w:hAnsi="Arial"/>
          <w:b/>
          <w:bCs/>
          <w:color w:val="2C3E6B"/>
          <w:sz w:val="24"/>
          <w:szCs w:val="24"/>
        </w:rPr>
        <w:t xml:space="preserve">Why it works for this ICP</w:t>
      </w:r>
    </w:p>
    <w:p>
      <w:pPr>
        <w:spacing w:after="80" w:before="60"/>
      </w:pPr>
      <w:r>
        <w:rPr>
          <w:rFonts w:ascii="Arial" w:cs="Arial" w:eastAsia="Arial" w:hAnsi="Arial"/>
          <w:sz w:val="22"/>
          <w:szCs w:val="22"/>
        </w:rPr>
        <w:t xml:space="preserve">Industrial cluster presence is itself a signal — companies that have invested in MIDC plots are committed manufacturers with physical infrastructure, not virtual offices. Cluster-level searches surface companies that have no digital footprint beyond a basic Indiamart listing.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Strength</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Finds manufacturers with no web presence. Cluster membership confirms physical infrastructure investment.</w:t>
            </w:r>
          </w:p>
        </w:tc>
      </w:tr>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Limitation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Directory data is often outdated. Requires filtering out traders and distributors who list in the same directories. Some directories require direct request or in-person access.</w:t>
            </w:r>
          </w:p>
        </w:tc>
      </w:tr>
    </w:tbl>
    <w:p>
      <w:pPr>
        <w:spacing w:after="0" w:before="80"/>
      </w:pPr>
      <w:r>
        <w:t xml:space="preserve"/>
      </w:r>
    </w:p>
    <w:p>
      <w:pPr>
        <w:spacing w:after="100" w:before="240"/>
      </w:pPr>
      <w:r>
        <w:rPr>
          <w:rFonts w:ascii="Arial" w:cs="Arial" w:eastAsia="Arial" w:hAnsi="Arial"/>
          <w:b/>
          <w:bCs/>
          <w:color w:val="2C3E6B"/>
          <w:sz w:val="24"/>
          <w:szCs w:val="24"/>
        </w:rPr>
        <w:t xml:space="preserve">Key clusters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A6E" w:val="clear"/>
            <w:tcMar>
              <w:top w:type="dxa" w:w="100"/>
              <w:left w:type="dxa" w:w="140"/>
              <w:bottom w:type="dxa" w:w="100"/>
              <w:right w:type="dxa" w:w="140"/>
            </w:tcMar>
            <w:vAlign w:val="top"/>
          </w:tcPr>
          <w:p>
            <w:r>
              <w:rPr>
                <w:rFonts w:ascii="Arial" w:cs="Arial" w:eastAsia="Arial" w:hAnsi="Arial"/>
                <w:b/>
                <w:bCs/>
                <w:color w:val="FFFFFF"/>
                <w:sz w:val="22"/>
                <w:szCs w:val="22"/>
              </w:rPr>
              <w:t xml:space="preserve">Segment</w:t>
            </w:r>
          </w:p>
        </w:tc>
        <w:tc>
          <w:tcPr>
            <w:tcW w:type="dxa" w:w="4360"/>
            <w:tcBorders>
              <w:top w:val="single" w:color="CCCCCC" w:sz="1"/>
              <w:left w:val="single" w:color="CCCCCC" w:sz="1"/>
              <w:bottom w:val="single" w:color="CCCCCC" w:sz="1"/>
              <w:right w:val="single" w:color="CCCCCC" w:sz="1"/>
            </w:tcBorders>
            <w:shd w:fill="1F3A6E" w:val="clear"/>
            <w:tcMar>
              <w:top w:type="dxa" w:w="100"/>
              <w:left w:type="dxa" w:w="140"/>
              <w:bottom w:type="dxa" w:w="100"/>
              <w:right w:type="dxa" w:w="140"/>
            </w:tcMar>
            <w:vAlign w:val="top"/>
          </w:tcPr>
          <w:p>
            <w:r>
              <w:rPr>
                <w:rFonts w:ascii="Arial" w:cs="Arial" w:eastAsia="Arial" w:hAnsi="Arial"/>
                <w:b/>
                <w:bCs/>
                <w:color w:val="FFFFFF"/>
                <w:sz w:val="22"/>
                <w:szCs w:val="22"/>
              </w:rPr>
              <w:t xml:space="preserve">Primary Clusters</w:t>
            </w:r>
          </w:p>
        </w:tc>
        <w:tc>
          <w:tcPr>
            <w:tcW w:type="dxa" w:w="2800"/>
            <w:tcBorders>
              <w:top w:val="single" w:color="CCCCCC" w:sz="1"/>
              <w:left w:val="single" w:color="CCCCCC" w:sz="1"/>
              <w:bottom w:val="single" w:color="CCCCCC" w:sz="1"/>
              <w:right w:val="single" w:color="CCCCCC" w:sz="1"/>
            </w:tcBorders>
            <w:shd w:fill="1F3A6E" w:val="clear"/>
            <w:tcMar>
              <w:top w:type="dxa" w:w="100"/>
              <w:left w:type="dxa" w:w="140"/>
              <w:bottom w:type="dxa" w:w="100"/>
              <w:right w:type="dxa" w:w="140"/>
            </w:tcMar>
            <w:vAlign w:val="top"/>
          </w:tcPr>
          <w:p>
            <w:r>
              <w:rPr>
                <w:rFonts w:ascii="Arial" w:cs="Arial" w:eastAsia="Arial" w:hAnsi="Arial"/>
                <w:b/>
                <w:bCs/>
                <w:color w:val="FFFFFF"/>
                <w:sz w:val="22"/>
                <w:szCs w:val="22"/>
              </w:rPr>
              <w:t xml:space="preserve">State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Specialty Chemicals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Ankleshwar, Vapi, Tarapur, Dahej</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Gujarat / Maharashtra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Pharma / API</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Jeedimetla, Patancheru, Baddi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Telangana / HP</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Biotech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Genome Valley, Peenya, Electronic City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Telangana / Karnataka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Agri-Biotech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Nashik, Aurangabad, Dharwad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Maharashtra / Karnataka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Specialty Chemicals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Bhosari, Chakan, Pimpri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Pune, Maharashtra</w:t>
            </w:r>
          </w:p>
        </w:tc>
      </w:tr>
    </w:tbl>
    <w:p>
      <w:pPr>
        <w:pBdr>
          <w:bottom w:val="single" w:color="1F3A6E" w:sz="4" w:space="6"/>
        </w:pBdr>
        <w:spacing w:after="160" w:before="360"/>
      </w:pPr>
      <w:r>
        <w:rPr>
          <w:rFonts w:ascii="Arial" w:cs="Arial" w:eastAsia="Arial" w:hAnsi="Arial"/>
          <w:b/>
          <w:bCs/>
          <w:color w:val="1F3A6E"/>
          <w:sz w:val="28"/>
          <w:szCs w:val="28"/>
        </w:rPr>
        <w:t xml:space="preserve">Method 4 — Trade Expos and Industry Associations</w:t>
      </w:r>
    </w:p>
    <w:p>
      <w:pPr>
        <w:spacing w:after="80" w:before="60"/>
      </w:pPr>
      <w:r>
        <w:rPr>
          <w:rFonts w:ascii="Arial" w:cs="Arial" w:eastAsia="Arial" w:hAnsi="Arial"/>
          <w:sz w:val="22"/>
          <w:szCs w:val="22"/>
        </w:rPr>
        <w:t xml:space="preserve">Federer companies participate in sector ecosystems. They exhibit at trade fairs, hold memberships in technical associations, and appear on award shortlists. These sources concentrate exactly the kind of export-oriented, technically differentiated firms this ICP targets.</w:t>
      </w:r>
    </w:p>
    <w:p>
      <w:pPr>
        <w:spacing w:after="0" w:before="80"/>
      </w:pPr>
      <w:r>
        <w:t xml:space="preserve"/>
      </w:r>
    </w:p>
    <w:p>
      <w:pPr>
        <w:spacing w:after="100" w:before="240"/>
      </w:pPr>
      <w:r>
        <w:rPr>
          <w:rFonts w:ascii="Arial" w:cs="Arial" w:eastAsia="Arial" w:hAnsi="Arial"/>
          <w:b/>
          <w:bCs/>
          <w:color w:val="2C3E6B"/>
          <w:sz w:val="24"/>
          <w:szCs w:val="24"/>
        </w:rPr>
        <w:t xml:space="preserve">Trade expos to 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A6E" w:val="clear"/>
            <w:tcMar>
              <w:top w:type="dxa" w:w="100"/>
              <w:left w:type="dxa" w:w="140"/>
              <w:bottom w:type="dxa" w:w="100"/>
              <w:right w:type="dxa" w:w="140"/>
            </w:tcMar>
            <w:vAlign w:val="top"/>
          </w:tcPr>
          <w:p>
            <w:r>
              <w:rPr>
                <w:rFonts w:ascii="Arial" w:cs="Arial" w:eastAsia="Arial" w:hAnsi="Arial"/>
                <w:b/>
                <w:bCs/>
                <w:color w:val="FFFFFF"/>
                <w:sz w:val="22"/>
                <w:szCs w:val="22"/>
              </w:rPr>
              <w:t xml:space="preserve">Expo / Event</w:t>
            </w:r>
          </w:p>
        </w:tc>
        <w:tc>
          <w:tcPr>
            <w:tcW w:type="dxa" w:w="4360"/>
            <w:tcBorders>
              <w:top w:val="single" w:color="CCCCCC" w:sz="1"/>
              <w:left w:val="single" w:color="CCCCCC" w:sz="1"/>
              <w:bottom w:val="single" w:color="CCCCCC" w:sz="1"/>
              <w:right w:val="single" w:color="CCCCCC" w:sz="1"/>
            </w:tcBorders>
            <w:shd w:fill="1F3A6E" w:val="clear"/>
            <w:tcMar>
              <w:top w:type="dxa" w:w="100"/>
              <w:left w:type="dxa" w:w="140"/>
              <w:bottom w:type="dxa" w:w="100"/>
              <w:right w:type="dxa" w:w="140"/>
            </w:tcMar>
            <w:vAlign w:val="top"/>
          </w:tcPr>
          <w:p>
            <w:r>
              <w:rPr>
                <w:rFonts w:ascii="Arial" w:cs="Arial" w:eastAsia="Arial" w:hAnsi="Arial"/>
                <w:b/>
                <w:bCs/>
                <w:color w:val="FFFFFF"/>
                <w:sz w:val="22"/>
                <w:szCs w:val="22"/>
              </w:rPr>
              <w:t xml:space="preserve">What it surfaces</w:t>
            </w:r>
          </w:p>
        </w:tc>
        <w:tc>
          <w:tcPr>
            <w:tcW w:type="dxa" w:w="2800"/>
            <w:tcBorders>
              <w:top w:val="single" w:color="CCCCCC" w:sz="1"/>
              <w:left w:val="single" w:color="CCCCCC" w:sz="1"/>
              <w:bottom w:val="single" w:color="CCCCCC" w:sz="1"/>
              <w:right w:val="single" w:color="CCCCCC" w:sz="1"/>
            </w:tcBorders>
            <w:shd w:fill="1F3A6E" w:val="clear"/>
            <w:tcMar>
              <w:top w:type="dxa" w:w="100"/>
              <w:left w:type="dxa" w:w="140"/>
              <w:bottom w:type="dxa" w:w="100"/>
              <w:right w:type="dxa" w:w="140"/>
            </w:tcMar>
            <w:vAlign w:val="top"/>
          </w:tcPr>
          <w:p>
            <w:r>
              <w:rPr>
                <w:rFonts w:ascii="Arial" w:cs="Arial" w:eastAsia="Arial" w:hAnsi="Arial"/>
                <w:b/>
                <w:bCs/>
                <w:color w:val="FFFFFF"/>
                <w:sz w:val="22"/>
                <w:szCs w:val="22"/>
              </w:rPr>
              <w:t xml:space="preserve">Frequency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India Chem (Mumbai)</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Specialty and fine chemical manufacturers, exporters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Biennial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CPHI India</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Pharma excipient and API manufacturers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Annual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Agri Expo / Biofach India</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Agri-biotech, biopesticide, organic input manufacturers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Annual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Analytica Anacon India</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Lab diagnostics and biotech tool manufacturers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Annual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PlastIndia / Chemtech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Specialty polymer and performance chemical companies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Annual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Bio Asia (Hyderabad)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Biotech manufacturers, BIRAC/DBT grantees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2"/>
                <w:szCs w:val="22"/>
              </w:rPr>
              <w:t xml:space="preserve">Annual</w:t>
            </w:r>
          </w:p>
        </w:tc>
      </w:tr>
    </w:tbl>
    <w:p>
      <w:pPr>
        <w:spacing w:after="0" w:before="80"/>
      </w:pPr>
      <w:r>
        <w:t xml:space="preserve"/>
      </w:r>
    </w:p>
    <w:p>
      <w:pPr>
        <w:spacing w:after="100" w:before="240"/>
      </w:pPr>
      <w:r>
        <w:rPr>
          <w:rFonts w:ascii="Arial" w:cs="Arial" w:eastAsia="Arial" w:hAnsi="Arial"/>
          <w:b/>
          <w:bCs/>
          <w:color w:val="2C3E6B"/>
          <w:sz w:val="24"/>
          <w:szCs w:val="24"/>
        </w:rPr>
        <w:t xml:space="preserve">Industry associations to mine</w:t>
      </w:r>
    </w:p>
    <w:p>
      <w:pPr>
        <w:pStyle w:val="ListParagraph"/>
        <w:numPr>
          <w:ilvl w:val="0"/>
          <w:numId w:val="2"/>
        </w:numPr>
        <w:spacing w:after="50" w:before="50"/>
      </w:pPr>
      <w:r>
        <w:rPr>
          <w:rFonts w:ascii="Arial" w:cs="Arial" w:eastAsia="Arial" w:hAnsi="Arial"/>
          <w:b w:val="false"/>
          <w:bCs w:val="false"/>
          <w:sz w:val="22"/>
          <w:szCs w:val="22"/>
        </w:rPr>
        <w:t xml:space="preserve">CHEMEXCIL — Chemical Export Promotion Council; directory of export-registered chemical manufacturers by product and state</w:t>
      </w:r>
    </w:p>
    <w:p>
      <w:pPr>
        <w:pStyle w:val="ListParagraph"/>
        <w:numPr>
          <w:ilvl w:val="0"/>
          <w:numId w:val="2"/>
        </w:numPr>
        <w:spacing w:after="50" w:before="50"/>
      </w:pPr>
      <w:r>
        <w:rPr>
          <w:rFonts w:ascii="Arial" w:cs="Arial" w:eastAsia="Arial" w:hAnsi="Arial"/>
          <w:b w:val="false"/>
          <w:bCs w:val="false"/>
          <w:sz w:val="22"/>
          <w:szCs w:val="22"/>
        </w:rPr>
        <w:t xml:space="preserve">FICCI Chemical Committee and CII Chemicals Panel — member directories of mid-sized specialty manufacturers</w:t>
      </w:r>
    </w:p>
    <w:p>
      <w:pPr>
        <w:pStyle w:val="ListParagraph"/>
        <w:numPr>
          <w:ilvl w:val="0"/>
          <w:numId w:val="2"/>
        </w:numPr>
        <w:spacing w:after="50" w:before="50"/>
      </w:pPr>
      <w:r>
        <w:rPr>
          <w:rFonts w:ascii="Arial" w:cs="Arial" w:eastAsia="Arial" w:hAnsi="Arial"/>
          <w:b w:val="false"/>
          <w:bCs w:val="false"/>
          <w:sz w:val="22"/>
          <w:szCs w:val="22"/>
        </w:rPr>
        <w:t xml:space="preserve">Association of Biotechnology Led Enterprises (ABLE) — India biotech manufacturer directory</w:t>
      </w:r>
    </w:p>
    <w:p>
      <w:pPr>
        <w:pStyle w:val="ListParagraph"/>
        <w:numPr>
          <w:ilvl w:val="0"/>
          <w:numId w:val="2"/>
        </w:numPr>
        <w:spacing w:after="50" w:before="50"/>
      </w:pPr>
      <w:r>
        <w:rPr>
          <w:rFonts w:ascii="Arial" w:cs="Arial" w:eastAsia="Arial" w:hAnsi="Arial"/>
          <w:b w:val="false"/>
          <w:bCs w:val="false"/>
          <w:sz w:val="22"/>
          <w:szCs w:val="22"/>
        </w:rPr>
        <w:t xml:space="preserve">SEPC (Services Export Promotion Council) and PLEXCONCIL for specialty polymers</w:t>
      </w:r>
    </w:p>
    <w:p>
      <w:pPr>
        <w:pStyle w:val="ListParagraph"/>
        <w:numPr>
          <w:ilvl w:val="0"/>
          <w:numId w:val="2"/>
        </w:numPr>
        <w:spacing w:after="50" w:before="50"/>
      </w:pPr>
      <w:r>
        <w:rPr>
          <w:rFonts w:ascii="Arial" w:cs="Arial" w:eastAsia="Arial" w:hAnsi="Arial"/>
          <w:b w:val="false"/>
          <w:bCs w:val="false"/>
          <w:sz w:val="22"/>
          <w:szCs w:val="22"/>
        </w:rPr>
        <w:t xml:space="preserve">State-level chambers: MCCIA (Pune), GCCI (Gujarat), FKCCI (Karnataka)</w:t>
      </w:r>
    </w:p>
    <w:p>
      <w:pPr>
        <w:spacing w:after="0" w:before="80"/>
      </w:pPr>
      <w:r>
        <w:t xml:space="preserve"/>
      </w:r>
    </w:p>
    <w:p>
      <w:pPr>
        <w:spacing w:after="100" w:before="240"/>
      </w:pPr>
      <w:r>
        <w:rPr>
          <w:rFonts w:ascii="Arial" w:cs="Arial" w:eastAsia="Arial" w:hAnsi="Arial"/>
          <w:b/>
          <w:bCs/>
          <w:color w:val="2C3E6B"/>
          <w:sz w:val="24"/>
          <w:szCs w:val="24"/>
        </w:rPr>
        <w:t xml:space="preserve">Why it works for this ICP</w:t>
      </w:r>
    </w:p>
    <w:p>
      <w:pPr>
        <w:spacing w:after="80" w:before="60"/>
      </w:pPr>
      <w:r>
        <w:rPr>
          <w:rFonts w:ascii="Arial" w:cs="Arial" w:eastAsia="Arial" w:hAnsi="Arial"/>
          <w:sz w:val="22"/>
          <w:szCs w:val="22"/>
        </w:rPr>
        <w:t xml:space="preserve">Expo exhibitor lists and association directories are self-selecting for the right companies. A company that pays to exhibit at India Chem or holds an ABLE membership is signalling export ambition, product differentiation, and engagement with sector peers — all Federer-adjacent behaviours. Exhibitor lists are public and usually downloadable from event websites.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Strength</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Export-oriented and technically differentiated firms concentrate here. Exhibitor lists often include website, product category, and contact person — reducing qualification work significantly.</w:t>
            </w:r>
          </w:p>
        </w:tc>
      </w:tr>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Limitation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Lists go stale between events. Large companies (above Rs.500Cr) exhibit heavily and need to be filtered out. Not all Federer companies participate — some are too small or regionally focused.</w:t>
            </w:r>
          </w:p>
        </w:tc>
      </w:tr>
    </w:tbl>
    <w:p>
      <w:pPr>
        <w:pBdr>
          <w:bottom w:val="single" w:color="1F3A6E" w:sz="4" w:space="6"/>
        </w:pBdr>
        <w:spacing w:after="160" w:before="360"/>
      </w:pPr>
      <w:r>
        <w:rPr>
          <w:rFonts w:ascii="Arial" w:cs="Arial" w:eastAsia="Arial" w:hAnsi="Arial"/>
          <w:b/>
          <w:bCs/>
          <w:color w:val="1F3A6E"/>
          <w:sz w:val="28"/>
          <w:szCs w:val="28"/>
        </w:rPr>
        <w:t xml:space="preserve">Method 5 — Quality Certification Holder Databases</w:t>
      </w:r>
    </w:p>
    <w:p>
      <w:pPr>
        <w:spacing w:after="80" w:before="60"/>
      </w:pPr>
      <w:r>
        <w:rPr>
          <w:rFonts w:ascii="Arial" w:cs="Arial" w:eastAsia="Arial" w:hAnsi="Arial"/>
          <w:sz w:val="22"/>
          <w:szCs w:val="22"/>
        </w:rPr>
        <w:t xml:space="preserve">Companies that have invested in quality certifications are signalling systems maturity (C7) before any conversation happens. Several certification bodies maintain searchable public directories of current licence holders.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BIS (Bureau of Indian Standards)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Searchable database of BIS-licensed manufacturers by product category and state. Covers specialty chemicals, food ingredients, agricultural inputs. bis.gov.in/product/certification.</w:t>
            </w:r>
          </w:p>
        </w:tc>
      </w:tr>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WHO-GMP Certificates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CDSCO (Central Drugs Standard Control Organisation) publishes a list of WHO-GMP certified pharma and biotech manufacturers in India. Directly maps to C7 Strong.</w:t>
            </w:r>
          </w:p>
        </w:tc>
      </w:tr>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ISO Certification Registries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Bodies like BV, SGS, TUV, Bureau Veritas publish searchable databases of ISO 9001/14001/45001-certified companies. Filter by country, state, and industry sector.</w:t>
            </w:r>
          </w:p>
        </w:tc>
      </w:tr>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FSSAI Licensed Manufacturers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FSSAI's food business operator search covers food ingredient, nutraceutical, and functional food manufacturers — relevant for Basket A specialty biotech companies.</w:t>
            </w:r>
          </w:p>
        </w:tc>
      </w:tr>
    </w:tbl>
    <w:p>
      <w:pPr>
        <w:spacing w:after="0" w:before="80"/>
      </w:pPr>
      <w:r>
        <w:t xml:space="preserve"/>
      </w:r>
    </w:p>
    <w:p>
      <w:pPr>
        <w:spacing w:after="100" w:before="240"/>
      </w:pPr>
      <w:r>
        <w:rPr>
          <w:rFonts w:ascii="Arial" w:cs="Arial" w:eastAsia="Arial" w:hAnsi="Arial"/>
          <w:b/>
          <w:bCs/>
          <w:color w:val="2C3E6B"/>
          <w:sz w:val="24"/>
          <w:szCs w:val="24"/>
        </w:rPr>
        <w:t xml:space="preserve">Why it works for this ICP</w:t>
      </w:r>
    </w:p>
    <w:p>
      <w:pPr>
        <w:spacing w:after="80" w:before="60"/>
      </w:pPr>
      <w:r>
        <w:rPr>
          <w:rFonts w:ascii="Arial" w:cs="Arial" w:eastAsia="Arial" w:hAnsi="Arial"/>
          <w:sz w:val="22"/>
          <w:szCs w:val="22"/>
        </w:rPr>
        <w:t xml:space="preserve">Certification holder lists pre-filter for the C7 Systems Maturity criterion. A company that holds ISO 9001 + WHO-GMP has already demonstrated structured operations, documented processes, and external audit readiness — exactly what Federer scoring rewards.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Strength</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C7 is the hardest criterion to assess publicly. These databases do that work upfront. High confidence that companies here have real systems, not just a quality policy on paper.</w:t>
            </w:r>
          </w:p>
        </w:tc>
      </w:tr>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Limitation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Certification databases are not always current — certificates lapse and listings are not immediately removed. Requires cross-checking against company website or direct enquiry.</w:t>
            </w:r>
          </w:p>
        </w:tc>
      </w:tr>
    </w:tbl>
    <w:p>
      <w:pPr>
        <w:pBdr>
          <w:bottom w:val="single" w:color="1F3A6E" w:sz="4" w:space="6"/>
        </w:pBdr>
        <w:spacing w:after="160" w:before="360"/>
      </w:pPr>
      <w:r>
        <w:rPr>
          <w:rFonts w:ascii="Arial" w:cs="Arial" w:eastAsia="Arial" w:hAnsi="Arial"/>
          <w:b/>
          <w:bCs/>
          <w:color w:val="1F3A6E"/>
          <w:sz w:val="28"/>
          <w:szCs w:val="28"/>
        </w:rPr>
        <w:t xml:space="preserve">Method 6 — LinkedIn Sales Navigator + Alumni Networks</w:t>
      </w:r>
    </w:p>
    <w:p>
      <w:pPr>
        <w:spacing w:after="80" w:before="60"/>
      </w:pPr>
      <w:r>
        <w:rPr>
          <w:rFonts w:ascii="Arial" w:cs="Arial" w:eastAsia="Arial" w:hAnsi="Arial"/>
          <w:sz w:val="22"/>
          <w:szCs w:val="22"/>
        </w:rPr>
        <w:t xml:space="preserve">For finding the decision-maker directly — rather than the company — LinkedIn remains the strongest tool when used precisely.</w:t>
      </w:r>
    </w:p>
    <w:p>
      <w:pPr>
        <w:spacing w:after="0" w:before="80"/>
      </w:pPr>
      <w:r>
        <w:t xml:space="preserve"/>
      </w:r>
    </w:p>
    <w:p>
      <w:pPr>
        <w:spacing w:after="100" w:before="240"/>
      </w:pPr>
      <w:r>
        <w:rPr>
          <w:rFonts w:ascii="Arial" w:cs="Arial" w:eastAsia="Arial" w:hAnsi="Arial"/>
          <w:b/>
          <w:bCs/>
          <w:color w:val="2C3E6B"/>
          <w:sz w:val="24"/>
          <w:szCs w:val="24"/>
        </w:rPr>
        <w:t xml:space="preserve">How to use it</w:t>
      </w:r>
    </w:p>
    <w:p>
      <w:pPr>
        <w:pStyle w:val="ListParagraph"/>
        <w:numPr>
          <w:ilvl w:val="0"/>
          <w:numId w:val="2"/>
        </w:numPr>
        <w:spacing w:after="50" w:before="50"/>
      </w:pPr>
      <w:r>
        <w:rPr>
          <w:rFonts w:ascii="Arial" w:cs="Arial" w:eastAsia="Arial" w:hAnsi="Arial"/>
          <w:b w:val="false"/>
          <w:bCs w:val="false"/>
          <w:sz w:val="22"/>
          <w:szCs w:val="22"/>
        </w:rPr>
        <w:t xml:space="preserve">Search for founders or MDs with keywords: "Founder" + "chemical" + "Pune" or "MD" + "biotech" + "Hyderabad" + "manufacturing"</w:t>
      </w:r>
    </w:p>
    <w:p>
      <w:pPr>
        <w:pStyle w:val="ListParagraph"/>
        <w:numPr>
          <w:ilvl w:val="0"/>
          <w:numId w:val="2"/>
        </w:numPr>
        <w:spacing w:after="50" w:before="50"/>
      </w:pPr>
      <w:r>
        <w:rPr>
          <w:rFonts w:ascii="Arial" w:cs="Arial" w:eastAsia="Arial" w:hAnsi="Arial"/>
          <w:b w:val="false"/>
          <w:bCs w:val="false"/>
          <w:sz w:val="22"/>
          <w:szCs w:val="22"/>
        </w:rPr>
        <w:t xml:space="preserve">Filter by company headcount (11–200 employees) to stay in the right size band</w:t>
      </w:r>
    </w:p>
    <w:p>
      <w:pPr>
        <w:pStyle w:val="ListParagraph"/>
        <w:numPr>
          <w:ilvl w:val="0"/>
          <w:numId w:val="2"/>
        </w:numPr>
        <w:spacing w:after="50" w:before="50"/>
      </w:pPr>
      <w:r>
        <w:rPr>
          <w:rFonts w:ascii="Arial" w:cs="Arial" w:eastAsia="Arial" w:hAnsi="Arial"/>
          <w:b w:val="false"/>
          <w:bCs w:val="false"/>
          <w:sz w:val="22"/>
          <w:szCs w:val="22"/>
        </w:rPr>
        <w:t xml:space="preserve">Use alumni filters: search for NCL Pune, IIT Bombay, ICT Mumbai alumni who are currently founders or directors of manufacturing companies</w:t>
      </w:r>
    </w:p>
    <w:p>
      <w:pPr>
        <w:pStyle w:val="ListParagraph"/>
        <w:numPr>
          <w:ilvl w:val="0"/>
          <w:numId w:val="2"/>
        </w:numPr>
        <w:spacing w:after="50" w:before="50"/>
      </w:pPr>
      <w:r>
        <w:rPr>
          <w:rFonts w:ascii="Arial" w:cs="Arial" w:eastAsia="Arial" w:hAnsi="Arial"/>
          <w:b w:val="false"/>
          <w:bCs w:val="false"/>
          <w:sz w:val="22"/>
          <w:szCs w:val="22"/>
        </w:rPr>
        <w:t xml:space="preserve">Search for BIRAC or DSIR grant recipients who have announced funding on LinkedIn</w:t>
      </w:r>
    </w:p>
    <w:p>
      <w:pPr>
        <w:pStyle w:val="ListParagraph"/>
        <w:numPr>
          <w:ilvl w:val="0"/>
          <w:numId w:val="2"/>
        </w:numPr>
        <w:spacing w:after="50" w:before="50"/>
      </w:pPr>
      <w:r>
        <w:rPr>
          <w:rFonts w:ascii="Arial" w:cs="Arial" w:eastAsia="Arial" w:hAnsi="Arial"/>
          <w:b w:val="false"/>
          <w:bCs w:val="false"/>
          <w:sz w:val="22"/>
          <w:szCs w:val="22"/>
        </w:rPr>
        <w:t xml:space="preserve">Follow company pages for MIDC industrial estates — they frequently tag or mention new member companies</w:t>
      </w:r>
    </w:p>
    <w:p>
      <w:pPr>
        <w:spacing w:after="0" w:before="80"/>
      </w:pPr>
      <w:r>
        <w:t xml:space="preserve"/>
      </w:r>
    </w:p>
    <w:p>
      <w:pPr>
        <w:spacing w:after="100" w:before="240"/>
      </w:pPr>
      <w:r>
        <w:rPr>
          <w:rFonts w:ascii="Arial" w:cs="Arial" w:eastAsia="Arial" w:hAnsi="Arial"/>
          <w:b/>
          <w:bCs/>
          <w:color w:val="2C3E6B"/>
          <w:sz w:val="24"/>
          <w:szCs w:val="24"/>
        </w:rPr>
        <w:t xml:space="preserve">Why it works for this ICP</w:t>
      </w:r>
    </w:p>
    <w:p>
      <w:pPr>
        <w:spacing w:after="80" w:before="60"/>
      </w:pPr>
      <w:r>
        <w:rPr>
          <w:rFonts w:ascii="Arial" w:cs="Arial" w:eastAsia="Arial" w:hAnsi="Arial"/>
          <w:sz w:val="22"/>
          <w:szCs w:val="22"/>
        </w:rPr>
        <w:t xml:space="preserve">The C4 criterion is about decision-maker quality. LinkedIn lets you find the person first, then work backwards to the company — which is the reverse of every other method. NCL / IIT alumni running manufacturing companies are textbook Federer decision-makers. This method surfaces companies that have no web presence but whose founders are professionally active on LinkedIn.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Strength</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Person-first sourcing. Directly validates C4 before outreach. Alumni filters surface technically credible founders that no database would otherwise flag.</w:t>
            </w:r>
          </w:p>
        </w:tc>
      </w:tr>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vAlign w:val="top"/>
          </w:tcPr>
          <w:p>
            <w:r>
              <w:rPr>
                <w:rFonts w:ascii="Arial" w:cs="Arial" w:eastAsia="Arial" w:hAnsi="Arial"/>
                <w:b/>
                <w:bCs/>
                <w:sz w:val="22"/>
                <w:szCs w:val="22"/>
              </w:rPr>
              <w:t xml:space="preserve">Limitation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sz w:val="22"/>
                <w:szCs w:val="22"/>
              </w:rPr>
              <w:t xml:space="preserve">Sales Navigator requires a paid subscription. Coverage is better for urban clusters (Pune, Hyderabad, Bangalore) than for smaller industrial towns. Not all founders maintain active profiles.</w:t>
            </w:r>
          </w:p>
        </w:tc>
      </w:tr>
    </w:tbl>
    <w:p>
      <w:pPr>
        <w:pBdr>
          <w:bottom w:val="single" w:color="1F3A6E" w:sz="4" w:space="6"/>
        </w:pBdr>
        <w:spacing w:after="160" w:before="360"/>
      </w:pPr>
      <w:r>
        <w:rPr>
          <w:rFonts w:ascii="Arial" w:cs="Arial" w:eastAsia="Arial" w:hAnsi="Arial"/>
          <w:b/>
          <w:bCs/>
          <w:color w:val="1F3A6E"/>
          <w:sz w:val="28"/>
          <w:szCs w:val="28"/>
        </w:rPr>
        <w:t xml:space="preserve">Summary — Method vs. Federer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1F3A6E" w:val="clear"/>
            <w:tcMar>
              <w:top w:type="dxa" w:w="100"/>
              <w:left w:type="dxa" w:w="140"/>
              <w:bottom w:type="dxa" w:w="100"/>
              <w:right w:type="dxa" w:w="140"/>
            </w:tcMar>
          </w:tcPr>
          <w:p>
            <w:r>
              <w:rPr>
                <w:rFonts w:ascii="Arial" w:cs="Arial" w:eastAsia="Arial" w:hAnsi="Arial"/>
                <w:b/>
                <w:bCs/>
                <w:color w:val="FFFFFF"/>
                <w:sz w:val="22"/>
                <w:szCs w:val="22"/>
              </w:rPr>
              <w:t xml:space="preserve">Method</w:t>
            </w:r>
          </w:p>
        </w:tc>
        <w:tc>
          <w:tcPr>
            <w:tcW w:type="dxa" w:w="3960"/>
            <w:tcBorders>
              <w:top w:val="single" w:color="CCCCCC" w:sz="1"/>
              <w:left w:val="single" w:color="CCCCCC" w:sz="1"/>
              <w:bottom w:val="single" w:color="CCCCCC" w:sz="1"/>
              <w:right w:val="single" w:color="CCCCCC" w:sz="1"/>
            </w:tcBorders>
            <w:shd w:fill="1F3A6E" w:val="clear"/>
            <w:tcMar>
              <w:top w:type="dxa" w:w="100"/>
              <w:left w:type="dxa" w:w="140"/>
              <w:bottom w:type="dxa" w:w="100"/>
              <w:right w:type="dxa" w:w="140"/>
            </w:tcMar>
          </w:tcPr>
          <w:p>
            <w:r>
              <w:rPr>
                <w:rFonts w:ascii="Arial" w:cs="Arial" w:eastAsia="Arial" w:hAnsi="Arial"/>
                <w:b/>
                <w:bCs/>
                <w:color w:val="FFFFFF"/>
                <w:sz w:val="22"/>
                <w:szCs w:val="22"/>
              </w:rPr>
              <w:t xml:space="preserve">Primary Federer Signal</w:t>
            </w:r>
          </w:p>
        </w:tc>
        <w:tc>
          <w:tcPr>
            <w:tcW w:type="dxa" w:w="3000"/>
            <w:tcBorders>
              <w:top w:val="single" w:color="CCCCCC" w:sz="1"/>
              <w:left w:val="single" w:color="CCCCCC" w:sz="1"/>
              <w:bottom w:val="single" w:color="CCCCCC" w:sz="1"/>
              <w:right w:val="single" w:color="CCCCCC" w:sz="1"/>
            </w:tcBorders>
            <w:shd w:fill="1F3A6E" w:val="clear"/>
            <w:tcMar>
              <w:top w:type="dxa" w:w="100"/>
              <w:left w:type="dxa" w:w="140"/>
              <w:bottom w:type="dxa" w:w="100"/>
              <w:right w:type="dxa" w:w="140"/>
            </w:tcMar>
          </w:tcPr>
          <w:p>
            <w:r>
              <w:rPr>
                <w:rFonts w:ascii="Arial" w:cs="Arial" w:eastAsia="Arial" w:hAnsi="Arial"/>
                <w:b/>
                <w:bCs/>
                <w:color w:val="FFFFFF"/>
                <w:sz w:val="22"/>
                <w:szCs w:val="22"/>
              </w:rPr>
              <w:t xml:space="preserve">Best For</w:t>
            </w:r>
          </w:p>
        </w:tc>
      </w:tr>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tcPr>
          <w:p>
            <w:r>
              <w:rPr>
                <w:rFonts w:ascii="Arial" w:cs="Arial" w:eastAsia="Arial" w:hAnsi="Arial"/>
                <w:b/>
                <w:bCs/>
                <w:sz w:val="22"/>
                <w:szCs w:val="22"/>
              </w:rPr>
              <w:t xml:space="preserve">MCA21 + Tofler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2"/>
                <w:szCs w:val="22"/>
              </w:rPr>
              <w:t xml:space="preserve">E1 (Producer), E2 (Location)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2"/>
                <w:szCs w:val="22"/>
              </w:rPr>
              <w:t xml:space="preserve">Initial universe, all sectors</w:t>
            </w:r>
          </w:p>
        </w:tc>
      </w:tr>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tcPr>
          <w:p>
            <w:r>
              <w:rPr>
                <w:rFonts w:ascii="Arial" w:cs="Arial" w:eastAsia="Arial" w:hAnsi="Arial"/>
                <w:b/>
                <w:bCs/>
                <w:sz w:val="22"/>
                <w:szCs w:val="22"/>
              </w:rPr>
              <w:t xml:space="preserve">DSIR / BIRAC / DBT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2"/>
                <w:szCs w:val="22"/>
              </w:rPr>
              <w:t xml:space="preserve">C3 (Differentiation), C7 (Systems)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2"/>
                <w:szCs w:val="22"/>
              </w:rPr>
              <w:t xml:space="preserve">Biotech and R&amp;D-intensive firms</w:t>
            </w:r>
          </w:p>
        </w:tc>
      </w:tr>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tcPr>
          <w:p>
            <w:r>
              <w:rPr>
                <w:rFonts w:ascii="Arial" w:cs="Arial" w:eastAsia="Arial" w:hAnsi="Arial"/>
                <w:b/>
                <w:bCs/>
                <w:sz w:val="22"/>
                <w:szCs w:val="22"/>
              </w:rPr>
              <w:t xml:space="preserve">Geographic Cluster Search</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2"/>
                <w:szCs w:val="22"/>
              </w:rPr>
              <w:t xml:space="preserve">E1 (Producer), E2 (Location)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2"/>
                <w:szCs w:val="22"/>
              </w:rPr>
              <w:t xml:space="preserve">Low-digital-footprint manufacturers</w:t>
            </w:r>
          </w:p>
        </w:tc>
      </w:tr>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tcPr>
          <w:p>
            <w:r>
              <w:rPr>
                <w:rFonts w:ascii="Arial" w:cs="Arial" w:eastAsia="Arial" w:hAnsi="Arial"/>
                <w:b/>
                <w:bCs/>
                <w:sz w:val="22"/>
                <w:szCs w:val="22"/>
              </w:rPr>
              <w:t xml:space="preserve">Trade Expos + Associations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2"/>
                <w:szCs w:val="22"/>
              </w:rPr>
              <w:t xml:space="preserve">C3, C5 (Sector), C6 (Growth)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2"/>
                <w:szCs w:val="22"/>
              </w:rPr>
              <w:t xml:space="preserve">Export-oriented, sector-active firms</w:t>
            </w:r>
          </w:p>
        </w:tc>
      </w:tr>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tcPr>
          <w:p>
            <w:r>
              <w:rPr>
                <w:rFonts w:ascii="Arial" w:cs="Arial" w:eastAsia="Arial" w:hAnsi="Arial"/>
                <w:b/>
                <w:bCs/>
                <w:sz w:val="22"/>
                <w:szCs w:val="22"/>
              </w:rPr>
              <w:t xml:space="preserve">Certification Databases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2"/>
                <w:szCs w:val="22"/>
              </w:rPr>
              <w:t xml:space="preserve">C7 (Systems Maturity)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2"/>
                <w:szCs w:val="22"/>
              </w:rPr>
              <w:t xml:space="preserve">Quality-system-mature manufacturers</w:t>
            </w:r>
          </w:p>
        </w:tc>
      </w:tr>
      <w:tr>
        <w:tc>
          <w:tcPr>
            <w:tcW w:type="dxa" w:w="2400"/>
            <w:tcBorders>
              <w:top w:val="single" w:color="CCCCCC" w:sz="1"/>
              <w:left w:val="single" w:color="CCCCCC" w:sz="1"/>
              <w:bottom w:val="single" w:color="CCCCCC" w:sz="1"/>
              <w:right w:val="single" w:color="CCCCCC" w:sz="1"/>
            </w:tcBorders>
            <w:shd w:fill="EEF2FA" w:val="clear"/>
            <w:tcMar>
              <w:top w:type="dxa" w:w="100"/>
              <w:left w:type="dxa" w:w="140"/>
              <w:bottom w:type="dxa" w:w="100"/>
              <w:right w:type="dxa" w:w="140"/>
            </w:tcMar>
          </w:tcPr>
          <w:p>
            <w:r>
              <w:rPr>
                <w:rFonts w:ascii="Arial" w:cs="Arial" w:eastAsia="Arial" w:hAnsi="Arial"/>
                <w:b/>
                <w:bCs/>
                <w:sz w:val="22"/>
                <w:szCs w:val="22"/>
              </w:rPr>
              <w:t xml:space="preserve">LinkedIn / Alumni</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2"/>
                <w:szCs w:val="22"/>
              </w:rPr>
              <w:t xml:space="preserve">C4 (Decision-Maker)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2"/>
                <w:szCs w:val="22"/>
              </w:rPr>
              <w:t xml:space="preserve">Technical founders, small team companies</w:t>
            </w:r>
          </w:p>
        </w:tc>
      </w:tr>
    </w:tbl>
    <w:p>
      <w:pPr>
        <w:spacing w:after="0" w:before="120"/>
      </w:pPr>
      <w:r>
        <w:t xml:space="preserve"/>
      </w:r>
    </w:p>
    <w:p>
      <w:pPr>
        <w:spacing w:after="80" w:before="60"/>
      </w:pPr>
      <w:r>
        <w:rPr>
          <w:rFonts w:ascii="Arial" w:cs="Arial" w:eastAsia="Arial" w:hAnsi="Arial"/>
          <w:i/>
          <w:iCs/>
          <w:color w:val="555555"/>
          <w:sz w:val="22"/>
          <w:szCs w:val="22"/>
        </w:rPr>
        <w:t xml:space="preserve">No single method surfaces all Federer companies. The highest-quality lists come from combining at least three: MCA21 for the registered universe, DSIR/BIRAC for R&amp;D validation, and cluster search or expo lists to fill in manufacturers who don't show up in databases. LinkedIn is used last — to confirm decision-maker quality on companies that have already passed the other filters.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2026-05-30T14:33:53.050Z</dcterms:created>
  <dcterms:modified xsi:type="dcterms:W3CDTF">2026-05-30T14:33:53.052Z</dcterms:modified>
</cp:coreProperties>
</file>

<file path=docProps/custom.xml><?xml version="1.0" encoding="utf-8"?>
<Properties xmlns="http://schemas.openxmlformats.org/officeDocument/2006/custom-properties" xmlns:vt="http://schemas.openxmlformats.org/officeDocument/2006/docPropsVTypes"/>
</file>