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FE" w:rsidRPr="00A622FE" w:rsidRDefault="00A622FE" w:rsidP="00A622FE">
      <w:pPr>
        <w:widowControl/>
        <w:shd w:val="clear" w:color="auto" w:fill="FFFFFF"/>
        <w:jc w:val="center"/>
        <w:rPr>
          <w:rFonts w:ascii="SimSun-ExtB" w:eastAsia="SimSun-ExtB" w:hAnsi="SimSun-ExtB" w:cs="宋体"/>
          <w:b/>
          <w:bCs/>
          <w:color w:val="333333"/>
          <w:kern w:val="0"/>
          <w:sz w:val="24"/>
        </w:rPr>
      </w:pPr>
      <w:r w:rsidRPr="00A622FE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</w:rPr>
        <w:t>奉贤区出台十条政策降低困难企业成本，支持中小企业共渡难关</w:t>
      </w:r>
    </w:p>
    <w:p w:rsidR="00A622FE" w:rsidRPr="00A622FE" w:rsidRDefault="00A622FE" w:rsidP="00A622FE">
      <w:pPr>
        <w:widowControl/>
        <w:shd w:val="clear" w:color="auto" w:fill="FFFFFF"/>
        <w:jc w:val="center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发布日期：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 xml:space="preserve"> 2020-02-06 09:44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 xml:space="preserve">　阅读次数：</w:t>
      </w:r>
      <w:r w:rsidRPr="00A622FE">
        <w:rPr>
          <w:rFonts w:ascii="Calibri" w:eastAsia="SimSun-ExtB" w:hAnsi="Calibri" w:cs="Calibri"/>
          <w:color w:val="333333"/>
          <w:kern w:val="0"/>
          <w:szCs w:val="21"/>
        </w:rPr>
        <w:t>  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448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为全面落实党中央、国务院和市委、市政府关于疫情防控的决策部署，支持中小企业共渡难关，确保区域经济平稳有序发展，奉贤区主要针对受疫情影响，生产经营遇到困难的企业和参与防疫物资生产的相关企业，围绕千方百计降低企业财务成本、用工成本、时间成本等方面，创新政府服务方式，制定了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10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条政策意见。详见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↓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一、各银行机构加大对中小企业的支持，严格执行银监会相关要求，不盲目抽贷、压贷、断贷，鼓励各银行机构在原有贷款利率水平基础上下浮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10%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以上，确保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2020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年中小企业信贷余额不低于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2019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年同期余额，确保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2020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年中小企业信贷户数高于上年同期户数。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二、对列入市疫情防控需求物资生产和供应重点名单的企业，其在疫情期间因扩大生产而产生的损失，给予适当补贴，最高可达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300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万元。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三、减免中小企业房租。对承租区内国有资产类经营用房的中小企业，暂免收房租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1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个月，减半房租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2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个月，到期后视情况延长。对租用其他经营用房的，鼓励业主（房东）为租户减免租金，各镇、开发区可视情况从该经营用房产生的地方财政贡献中予以补贴。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四、搭建区内企业用工供需对接平台，加强协调调度，摸清企业用工总量和结构，引导无法复工企业富余劳动力就近在用工紧缺企业就业，帮助符合复工条件的企业尽快复工。对于企业急需的高校毕业生，提供公益性组团招聘和代理招聘等服务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五、对在停工期间组织职工参加线上职业技能培训的，区财政按实际培训费用的</w:t>
      </w:r>
      <w:r w:rsidRPr="00A622FE">
        <w:rPr>
          <w:rFonts w:ascii="SimSun-ExtB" w:eastAsia="SimSun-ExtB" w:hAnsi="SimSun-ExtB" w:cs="宋体" w:hint="eastAsia"/>
          <w:color w:val="333333"/>
          <w:kern w:val="0"/>
          <w:szCs w:val="21"/>
        </w:rPr>
        <w:t>95%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对企业进行补贴。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六、简化审批流程，加快对企业兑现专项资金扶持，对符合兑现条件的扶持项目即时兑现；对建设周期较长的项目，根据项目的实际投资发生额，提前按比例兑现扶持资金。对已申报国家和市级专项资金补助并成功的项目，提前兑现应由区、镇配套的资金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lastRenderedPageBreak/>
        <w:t>七、及时为企业提供防疫物资采购信息，帮助企业尽快复工。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八、超前服务，提前审批企业投资项目。对拟定的产业项目准入，不进行集中式会议评审，改由区政府领导按分工负责原则签批；项目开工涉及发展改革、规划资源、建设管理等部门的前期手续，在疫期加快审批，确保疫期后早日正式开工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九、搭建区内企业上下游供需信息平台，加强原辅材料供应、加工生产和流通环节配对，引导区内企业开展市场化合作，做强产业链、供应链和服务链，促进实体经济发展。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十、全面实行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一网通办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，疫期涉企事项原则上都在网上办理，切实减少环节、精简材料，真正实现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零跑动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。确需线下办理的，由区行政服务中心或职能部门派员上门办理或全程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帮办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。在企业作出承诺的情况下，启动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容缺受理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模式。</w:t>
      </w:r>
    </w:p>
    <w:p w:rsidR="00A622FE" w:rsidRPr="00A622FE" w:rsidRDefault="00A622FE" w:rsidP="00A622FE">
      <w:pPr>
        <w:widowControl/>
        <w:shd w:val="clear" w:color="auto" w:fill="FFFFFF"/>
        <w:ind w:firstLine="480"/>
        <w:rPr>
          <w:rFonts w:ascii="SimSun-ExtB" w:eastAsia="SimSun-ExtB" w:hAnsi="SimSun-ExtB" w:cs="宋体" w:hint="eastAsia"/>
          <w:color w:val="333333"/>
          <w:kern w:val="0"/>
          <w:szCs w:val="21"/>
        </w:rPr>
      </w:pP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确保在疫情防控期间，对于遇到特殊困难的企业，采用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一企一策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“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一事一议</w:t>
      </w:r>
      <w:r w:rsidRPr="00A622FE">
        <w:rPr>
          <w:rFonts w:ascii="Courier New" w:eastAsia="SimSun-ExtB" w:hAnsi="Courier New" w:cs="Courier New"/>
          <w:color w:val="333333"/>
          <w:kern w:val="0"/>
          <w:szCs w:val="21"/>
        </w:rPr>
        <w:t>”</w:t>
      </w:r>
      <w:r w:rsidRPr="00A622FE">
        <w:rPr>
          <w:rFonts w:ascii="微软雅黑" w:eastAsia="微软雅黑" w:hAnsi="微软雅黑" w:cs="微软雅黑" w:hint="eastAsia"/>
          <w:color w:val="333333"/>
          <w:kern w:val="0"/>
          <w:szCs w:val="21"/>
        </w:rPr>
        <w:t>方式予以支持。本政策由奉贤区发展和改革委员会负责解释，自发布之日起施行。</w:t>
      </w:r>
    </w:p>
    <w:p w:rsidR="00A622FE" w:rsidRPr="00A622FE" w:rsidRDefault="00A622FE" w:rsidP="00A622F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3815CE" w:rsidRPr="00A622FE" w:rsidRDefault="003815CE">
      <w:bookmarkStart w:id="0" w:name="_GoBack"/>
      <w:bookmarkEnd w:id="0"/>
    </w:p>
    <w:sectPr w:rsidR="003815CE" w:rsidRPr="00A622FE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FE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622FE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8C38-39CF-B540-9435-F41F70C9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22FE"/>
  </w:style>
  <w:style w:type="paragraph" w:styleId="a3">
    <w:name w:val="Normal (Web)"/>
    <w:basedOn w:val="a"/>
    <w:uiPriority w:val="99"/>
    <w:semiHidden/>
    <w:unhideWhenUsed/>
    <w:rsid w:val="00A62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1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6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2020-02-09T11:11:00Z</dcterms:created>
  <dcterms:modified xsi:type="dcterms:W3CDTF">2020-02-09T11:11:00Z</dcterms:modified>
</cp:coreProperties>
</file>