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E9F" w:rsidRDefault="00103E9F" w:rsidP="00103E9F">
      <w:pPr>
        <w:pStyle w:val="a3"/>
        <w:spacing w:before="0" w:beforeAutospacing="0" w:after="0" w:afterAutospacing="0"/>
        <w:jc w:val="center"/>
        <w:rPr>
          <w:color w:val="333333"/>
        </w:rPr>
      </w:pPr>
      <w:r>
        <w:rPr>
          <w:rFonts w:hint="eastAsia"/>
          <w:b/>
          <w:bCs/>
          <w:color w:val="333333"/>
          <w:sz w:val="36"/>
          <w:szCs w:val="36"/>
        </w:rPr>
        <w:t>国家发展改革委办公厅关于疫情防控期间做好企业债券工作的通知</w:t>
      </w:r>
      <w:r>
        <w:rPr>
          <w:rFonts w:hint="eastAsia"/>
          <w:color w:val="333333"/>
        </w:rPr>
        <w:br/>
      </w:r>
      <w:r>
        <w:rPr>
          <w:rFonts w:ascii="楷体" w:eastAsia="楷体" w:hAnsi="楷体" w:hint="eastAsia"/>
          <w:color w:val="333333"/>
        </w:rPr>
        <w:t>发改办财金〔2020〕111号</w:t>
      </w:r>
    </w:p>
    <w:p w:rsidR="00103E9F" w:rsidRDefault="00103E9F" w:rsidP="00103E9F">
      <w:pPr>
        <w:pStyle w:val="a3"/>
        <w:spacing w:before="0" w:beforeAutospacing="0" w:after="225" w:afterAutospacing="0"/>
        <w:rPr>
          <w:rFonts w:hint="eastAsia"/>
          <w:color w:val="333333"/>
        </w:rPr>
      </w:pPr>
      <w:r>
        <w:rPr>
          <w:rFonts w:hint="eastAsia"/>
          <w:color w:val="333333"/>
        </w:rPr>
        <w:t>各省、自治区、直辖市及计划单列市、新疆生产建设兵团发展改革委，各有关单位:</w:t>
      </w:r>
    </w:p>
    <w:p w:rsidR="00103E9F" w:rsidRDefault="00103E9F" w:rsidP="00103E9F">
      <w:pPr>
        <w:pStyle w:val="a3"/>
        <w:spacing w:before="0" w:beforeAutospacing="0" w:after="225" w:afterAutospacing="0"/>
        <w:ind w:firstLine="480"/>
        <w:rPr>
          <w:rFonts w:hint="eastAsia"/>
          <w:color w:val="333333"/>
        </w:rPr>
      </w:pPr>
      <w:r>
        <w:rPr>
          <w:rFonts w:hint="eastAsia"/>
          <w:color w:val="333333"/>
        </w:rPr>
        <w:t>为贯彻落实习近平总书记重要指示和《中共中央关于加强党的领导、为打赢疫情防控阻击战提供坚强政治保证的通知》精神，深入落实中央应对疫情工作领导小组和国务院联防联控机制有关要求，进一步强化金融对疫情防控工作的支持，现就疫情防控期间企业债券有关工作通知如下。</w:t>
      </w:r>
    </w:p>
    <w:p w:rsidR="00103E9F" w:rsidRDefault="00103E9F" w:rsidP="00103E9F">
      <w:pPr>
        <w:pStyle w:val="a3"/>
        <w:spacing w:before="0" w:beforeAutospacing="0" w:after="225" w:afterAutospacing="0"/>
        <w:ind w:firstLine="480"/>
        <w:rPr>
          <w:rFonts w:hint="eastAsia"/>
          <w:color w:val="333333"/>
        </w:rPr>
      </w:pPr>
      <w:r>
        <w:rPr>
          <w:rFonts w:hint="eastAsia"/>
          <w:color w:val="333333"/>
        </w:rPr>
        <w:t>一、多措并举支持疫情地区和疫情防控企业的债券融资需求</w:t>
      </w:r>
    </w:p>
    <w:p w:rsidR="00103E9F" w:rsidRDefault="00103E9F" w:rsidP="00103E9F">
      <w:pPr>
        <w:pStyle w:val="a3"/>
        <w:spacing w:before="0" w:beforeAutospacing="0" w:after="225" w:afterAutospacing="0"/>
        <w:ind w:firstLine="480"/>
        <w:rPr>
          <w:rFonts w:hint="eastAsia"/>
          <w:color w:val="333333"/>
        </w:rPr>
      </w:pPr>
      <w:r>
        <w:rPr>
          <w:rFonts w:hint="eastAsia"/>
          <w:color w:val="333333"/>
        </w:rPr>
        <w:t>（一）支持企业债券募集资金用于疫情防控相关医疗服务、科研攻关、医药产品制造以及疫情防控基础设施建设等项目，在偿债保障措施完善的情况下，可适当放宽该类项目收益覆盖要求。申报阶段，支持企业债券资金用于处于前期阶段的该类项目建设，但应全面详尽披露最新的项目合法合规信息。</w:t>
      </w:r>
    </w:p>
    <w:p w:rsidR="00103E9F" w:rsidRDefault="00103E9F" w:rsidP="00103E9F">
      <w:pPr>
        <w:pStyle w:val="a3"/>
        <w:spacing w:before="0" w:beforeAutospacing="0" w:after="225" w:afterAutospacing="0"/>
        <w:ind w:firstLine="480"/>
        <w:rPr>
          <w:rFonts w:hint="eastAsia"/>
          <w:color w:val="333333"/>
        </w:rPr>
      </w:pPr>
      <w:r>
        <w:rPr>
          <w:rFonts w:hint="eastAsia"/>
          <w:color w:val="333333"/>
        </w:rPr>
        <w:t>（二）允许企业债券募集资金用于偿还或置换前期因疫情防控工作产生的项目贷款。</w:t>
      </w:r>
    </w:p>
    <w:p w:rsidR="00103E9F" w:rsidRDefault="00103E9F" w:rsidP="00103E9F">
      <w:pPr>
        <w:pStyle w:val="a3"/>
        <w:spacing w:before="0" w:beforeAutospacing="0" w:after="225" w:afterAutospacing="0"/>
        <w:ind w:firstLine="480"/>
        <w:rPr>
          <w:rFonts w:hint="eastAsia"/>
          <w:color w:val="333333"/>
        </w:rPr>
      </w:pPr>
      <w:r>
        <w:rPr>
          <w:rFonts w:hint="eastAsia"/>
          <w:color w:val="333333"/>
        </w:rPr>
        <w:t>（三）鼓励信用优良企业发行小微企业增信集合债券，为受疫情影响的中小微企业提供流动性支持。允许债券发行人使用不超过40%的债券资金用于补充营运资金，同时将委托贷款集中度的要求放宽为“对单个委贷对象发放的委贷资金累计余额不得超过5000万元且不得超过小微债募集资金总规模的10%”。</w:t>
      </w:r>
    </w:p>
    <w:p w:rsidR="00103E9F" w:rsidRDefault="00103E9F" w:rsidP="00103E9F">
      <w:pPr>
        <w:pStyle w:val="a3"/>
        <w:spacing w:before="0" w:beforeAutospacing="0" w:after="225" w:afterAutospacing="0"/>
        <w:ind w:firstLine="480"/>
        <w:rPr>
          <w:rFonts w:hint="eastAsia"/>
          <w:color w:val="333333"/>
        </w:rPr>
      </w:pPr>
      <w:r>
        <w:rPr>
          <w:rFonts w:hint="eastAsia"/>
          <w:color w:val="333333"/>
        </w:rPr>
        <w:t>（四）对于自身资产质量优良、募投项目运营良好，但受疫情影响严重的企业，允许申请发行新的企业债券专项用于偿还2020年内即将到期的企业债券本金及利息。</w:t>
      </w:r>
    </w:p>
    <w:p w:rsidR="00103E9F" w:rsidRDefault="00103E9F" w:rsidP="00103E9F">
      <w:pPr>
        <w:pStyle w:val="a3"/>
        <w:spacing w:before="0" w:beforeAutospacing="0" w:after="225" w:afterAutospacing="0"/>
        <w:ind w:firstLine="480"/>
        <w:rPr>
          <w:rFonts w:hint="eastAsia"/>
          <w:color w:val="333333"/>
        </w:rPr>
      </w:pPr>
      <w:r>
        <w:rPr>
          <w:rFonts w:hint="eastAsia"/>
          <w:color w:val="333333"/>
        </w:rPr>
        <w:t>二、最大限度简便疫情防控期间企业债券业务办理</w:t>
      </w:r>
    </w:p>
    <w:p w:rsidR="00103E9F" w:rsidRDefault="00103E9F" w:rsidP="00103E9F">
      <w:pPr>
        <w:pStyle w:val="a3"/>
        <w:spacing w:before="0" w:beforeAutospacing="0" w:after="225" w:afterAutospacing="0"/>
        <w:ind w:firstLine="480"/>
        <w:rPr>
          <w:rFonts w:hint="eastAsia"/>
          <w:color w:val="333333"/>
        </w:rPr>
      </w:pPr>
      <w:r>
        <w:rPr>
          <w:rFonts w:hint="eastAsia"/>
          <w:color w:val="333333"/>
        </w:rPr>
        <w:t>（一）设立申报“绿色通道”。受疫情影响较大的企业以及疫情防控重点保障企业新申请企业债券的，企业可直接向我委报送申报材料，实行“即报即审”，安排专人对接、专项审核，并比照我委“加快和简化审核类”债券审核程序办理。</w:t>
      </w:r>
    </w:p>
    <w:p w:rsidR="00103E9F" w:rsidRDefault="00103E9F" w:rsidP="00103E9F">
      <w:pPr>
        <w:pStyle w:val="a3"/>
        <w:spacing w:before="0" w:beforeAutospacing="0" w:after="225" w:afterAutospacing="0"/>
        <w:ind w:firstLine="480"/>
        <w:rPr>
          <w:rFonts w:hint="eastAsia"/>
          <w:color w:val="333333"/>
        </w:rPr>
      </w:pPr>
      <w:r>
        <w:rPr>
          <w:rFonts w:hint="eastAsia"/>
          <w:color w:val="333333"/>
        </w:rPr>
        <w:t>（二）实行非现场业务办理。全面支持发行人、主承销商等中介机构通过非现场办理企业债券的发行申请、意见反馈、批文领取、信息披露、发行前备案等业务，可灵活选择线上系统、传真、电子邮件、邮寄等方式向我委政务服务大厅报送材料，纸质材料待疫情结束后进行补充提供或领取。</w:t>
      </w:r>
    </w:p>
    <w:p w:rsidR="00103E9F" w:rsidRDefault="00103E9F" w:rsidP="00103E9F">
      <w:pPr>
        <w:pStyle w:val="a3"/>
        <w:spacing w:before="0" w:beforeAutospacing="0" w:after="225" w:afterAutospacing="0"/>
        <w:ind w:firstLine="480"/>
        <w:rPr>
          <w:rFonts w:hint="eastAsia"/>
          <w:color w:val="333333"/>
        </w:rPr>
      </w:pPr>
      <w:r>
        <w:rPr>
          <w:rFonts w:hint="eastAsia"/>
          <w:color w:val="333333"/>
        </w:rPr>
        <w:lastRenderedPageBreak/>
        <w:t>（三）适当延长批文有效期。企业债券批复文件在2020年2月至6月期间到期的，相关批文有效期统一自动延长至2020年6月30日，并豁免发行人履行延期申请程序。</w:t>
      </w:r>
    </w:p>
    <w:p w:rsidR="00103E9F" w:rsidRDefault="00103E9F" w:rsidP="00103E9F">
      <w:pPr>
        <w:pStyle w:val="a3"/>
        <w:spacing w:before="0" w:beforeAutospacing="0" w:after="225" w:afterAutospacing="0"/>
        <w:ind w:firstLine="480"/>
        <w:rPr>
          <w:rFonts w:hint="eastAsia"/>
          <w:color w:val="333333"/>
        </w:rPr>
      </w:pPr>
      <w:r>
        <w:rPr>
          <w:rFonts w:hint="eastAsia"/>
          <w:color w:val="333333"/>
        </w:rPr>
        <w:t>（四）优化发行环节管理。一是近期获准通过但尚未领取企业债券批复文件的，可在发行材料中充分披露是否发生重大期后事项及其影响后，使用我委政务信息公开的电子批复文件启动发行。二是近期拟启动债券发行工作的发行人，应提前与中央国债登记结算有限责任公司联系，鼓励错峰预约簿记建档时间，并尽可能减少发行现场人员。三是对于已经启动债券发行程序，但因受疫情影响未能在发行有效期内完成发行的，可申请适当放宽债券发行时限，或者发行人可按照有关规定履行程序后，灵活选择择期发行。</w:t>
      </w:r>
    </w:p>
    <w:p w:rsidR="00103E9F" w:rsidRDefault="00103E9F" w:rsidP="00103E9F">
      <w:pPr>
        <w:pStyle w:val="a3"/>
        <w:spacing w:before="0" w:beforeAutospacing="0" w:after="225" w:afterAutospacing="0"/>
        <w:rPr>
          <w:rFonts w:hint="eastAsia"/>
          <w:color w:val="333333"/>
        </w:rPr>
      </w:pPr>
      <w:r>
        <w:rPr>
          <w:rFonts w:hint="eastAsia"/>
          <w:color w:val="333333"/>
        </w:rPr>
        <w:t>三、切实做好债券存续期信息披露和本息兑付工作</w:t>
      </w:r>
    </w:p>
    <w:p w:rsidR="00103E9F" w:rsidRDefault="00103E9F" w:rsidP="00103E9F">
      <w:pPr>
        <w:pStyle w:val="a3"/>
        <w:spacing w:before="0" w:beforeAutospacing="0" w:after="225" w:afterAutospacing="0"/>
        <w:ind w:firstLine="480"/>
        <w:rPr>
          <w:rFonts w:hint="eastAsia"/>
          <w:color w:val="333333"/>
        </w:rPr>
      </w:pPr>
      <w:r>
        <w:rPr>
          <w:rFonts w:hint="eastAsia"/>
          <w:color w:val="333333"/>
        </w:rPr>
        <w:t>（一）持续做好信息披露。发行人受疫情影响预计难以按期披露2019年年报和2020年一季度报告的，应按照交易场所有关规定提前披露延期公告，并在公告中说明受疫情影响导致无法披露的详细情况、预计可披露时间以及基本经营和财务数据等信息。期间，如发生重大期后事项，发行人应及时按照交易场所规定进行公告。</w:t>
      </w:r>
    </w:p>
    <w:p w:rsidR="00103E9F" w:rsidRDefault="00103E9F" w:rsidP="00103E9F">
      <w:pPr>
        <w:pStyle w:val="a3"/>
        <w:spacing w:before="0" w:beforeAutospacing="0" w:after="225" w:afterAutospacing="0"/>
        <w:ind w:firstLine="480"/>
        <w:rPr>
          <w:rFonts w:hint="eastAsia"/>
          <w:color w:val="333333"/>
        </w:rPr>
      </w:pPr>
      <w:r>
        <w:rPr>
          <w:rFonts w:hint="eastAsia"/>
          <w:color w:val="333333"/>
        </w:rPr>
        <w:t>（二）稳妥做好本息兑付。疫情期间涉及债券还本付息的，发行人应尽早安排偿债资金，确保顺利完成本息兑付。确需召开债券持有人会议的，鼓励以视频或电话会议等非现场方式召开，并可合理简化召集召开程序。</w:t>
      </w:r>
    </w:p>
    <w:p w:rsidR="00103E9F" w:rsidRDefault="00103E9F" w:rsidP="00103E9F">
      <w:pPr>
        <w:pStyle w:val="a3"/>
        <w:spacing w:before="0" w:beforeAutospacing="0" w:after="225" w:afterAutospacing="0"/>
        <w:ind w:firstLine="480"/>
        <w:rPr>
          <w:rFonts w:hint="eastAsia"/>
          <w:color w:val="333333"/>
        </w:rPr>
      </w:pPr>
      <w:r>
        <w:rPr>
          <w:rFonts w:hint="eastAsia"/>
          <w:color w:val="333333"/>
        </w:rPr>
        <w:t>各级发展改革部门和各有关单位应自觉加强党的领导、提高政治站位，增强“四个意识”、坚定“四个自信”、做到“两个维护”，深刻认识做好新型冠状病毒感染肺炎疫情防控的重要性和紧迫性，始终把人民群众生命安全和身体健康放在第一位，坚定不移把党中央、国务院各项决策部署落到实处，扎实做好企业债券对疫情防控的支持与保障工作，共同打赢疫情防控阻击战。</w:t>
      </w:r>
    </w:p>
    <w:p w:rsidR="00103E9F" w:rsidRDefault="00103E9F" w:rsidP="00103E9F">
      <w:pPr>
        <w:pStyle w:val="a3"/>
        <w:spacing w:before="0" w:beforeAutospacing="0" w:after="225" w:afterAutospacing="0"/>
        <w:jc w:val="right"/>
        <w:rPr>
          <w:rFonts w:hint="eastAsia"/>
          <w:color w:val="333333"/>
        </w:rPr>
      </w:pPr>
      <w:r>
        <w:rPr>
          <w:rFonts w:hint="eastAsia"/>
          <w:color w:val="333333"/>
        </w:rPr>
        <w:t>国家发展改革委办公厅</w:t>
      </w:r>
    </w:p>
    <w:p w:rsidR="00103E9F" w:rsidRDefault="00103E9F" w:rsidP="00103E9F">
      <w:pPr>
        <w:pStyle w:val="a3"/>
        <w:spacing w:before="0" w:beforeAutospacing="0" w:after="225" w:afterAutospacing="0"/>
        <w:jc w:val="right"/>
        <w:rPr>
          <w:rFonts w:hint="eastAsia"/>
          <w:color w:val="333333"/>
        </w:rPr>
      </w:pPr>
      <w:r>
        <w:rPr>
          <w:rFonts w:hint="eastAsia"/>
          <w:color w:val="333333"/>
        </w:rPr>
        <w:t>2020年2月8日</w:t>
      </w:r>
    </w:p>
    <w:p w:rsidR="003815CE" w:rsidRPr="00103E9F" w:rsidRDefault="003815CE">
      <w:bookmarkStart w:id="0" w:name="_GoBack"/>
      <w:bookmarkEnd w:id="0"/>
    </w:p>
    <w:sectPr w:rsidR="003815CE" w:rsidRPr="00103E9F"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E9F"/>
    <w:rsid w:val="00014B9A"/>
    <w:rsid w:val="00025649"/>
    <w:rsid w:val="00030A50"/>
    <w:rsid w:val="00050B6B"/>
    <w:rsid w:val="00054557"/>
    <w:rsid w:val="000A7E09"/>
    <w:rsid w:val="000B7461"/>
    <w:rsid w:val="000C1891"/>
    <w:rsid w:val="000C4D17"/>
    <w:rsid w:val="000C56A7"/>
    <w:rsid w:val="000C6A49"/>
    <w:rsid w:val="000F2B89"/>
    <w:rsid w:val="00103E9F"/>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4E1A8-1040-C140-8203-A180D52F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3E9F"/>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45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2020-02-09T13:05:00Z</dcterms:created>
  <dcterms:modified xsi:type="dcterms:W3CDTF">2020-02-09T13:05:00Z</dcterms:modified>
</cp:coreProperties>
</file>