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5FE" w:rsidRDefault="003845FE" w:rsidP="003845FE">
      <w:pPr>
        <w:pStyle w:val="a3"/>
        <w:spacing w:before="0" w:beforeAutospacing="0" w:after="0" w:afterAutospacing="0" w:line="480" w:lineRule="atLeast"/>
        <w:jc w:val="center"/>
        <w:rPr>
          <w:rFonts w:ascii="微软雅黑" w:eastAsia="微软雅黑" w:hAnsi="微软雅黑"/>
          <w:color w:val="424242"/>
        </w:rPr>
      </w:pPr>
      <w:r>
        <w:rPr>
          <w:rStyle w:val="a4"/>
          <w:rFonts w:ascii="微软雅黑" w:eastAsia="微软雅黑" w:hAnsi="微软雅黑" w:hint="eastAsia"/>
          <w:color w:val="424242"/>
          <w:bdr w:val="none" w:sz="0" w:space="0" w:color="auto" w:frame="1"/>
        </w:rPr>
        <w:t>关于应对新型冠状病毒感染的肺炎疫情</w:t>
      </w:r>
    </w:p>
    <w:p w:rsidR="003845FE" w:rsidRDefault="003845FE" w:rsidP="003845FE">
      <w:pPr>
        <w:pStyle w:val="a3"/>
        <w:spacing w:before="0" w:beforeAutospacing="0" w:after="0" w:afterAutospacing="0" w:line="480" w:lineRule="atLeast"/>
        <w:jc w:val="center"/>
        <w:rPr>
          <w:rFonts w:ascii="微软雅黑" w:eastAsia="微软雅黑" w:hAnsi="微软雅黑" w:hint="eastAsia"/>
          <w:color w:val="424242"/>
        </w:rPr>
      </w:pPr>
      <w:r>
        <w:rPr>
          <w:rStyle w:val="a4"/>
          <w:rFonts w:ascii="微软雅黑" w:eastAsia="微软雅黑" w:hAnsi="微软雅黑" w:hint="eastAsia"/>
          <w:color w:val="424242"/>
          <w:bdr w:val="none" w:sz="0" w:space="0" w:color="auto" w:frame="1"/>
        </w:rPr>
        <w:t>支持企业复工复产的若干政策措施</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为深入贯彻落实习近平总书记关于坚决打赢疫情防控阻击战的重要指示精神，全面落实党中央、国务院和省委关于疫情防控的决策部署，全力支持和推动受疫情影响的各类企业复工复产，提出如下政策措施。</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一、各级政府要进一步加大保障企业复工复产工作力度</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（一）加强防疫指引。</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省统一发布应对新型冠状病毒感染的肺炎系列预防控制指引，各地级以上市政府要强化主体责任，指派专人指导企业完成复工复产准备工作，确保企业在疫情防控达标前提下复工复产。</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（二）落实复工条件。</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细化复工复产保障方案，一企一策帮助企业协调解决职工返岗特别是专业技术人员返岗，以及口罩、防护服、消毒用品、测温仪等防控物资购置问题。</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（三）统筹做好防护。</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支持企业做好职工健康管理。鼓励大型企业设立集中隔离点。鼓励各类省级以上开发区（高新区、经开区、工业园区）由管委会统一设立集中隔离点。对不具备自行设置集中隔离条件的中小企业，由当地政府集中安排。</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（四）拓宽招工渠道。</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加强省内外劳务帮扶协作，落实重点企业服务专员制度，精准摸查发布企业用工需求信息，推进线上供求匹配对接和远程招聘。</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lastRenderedPageBreak/>
        <w:t xml:space="preserve">　　</w:t>
      </w:r>
      <w:r>
        <w:rPr>
          <w:rStyle w:val="a4"/>
          <w:rFonts w:ascii="微软雅黑" w:eastAsia="微软雅黑" w:hAnsi="微软雅黑" w:hint="eastAsia"/>
          <w:color w:val="424242"/>
          <w:bdr w:val="none" w:sz="0" w:space="0" w:color="auto" w:frame="1"/>
        </w:rPr>
        <w:t>二、进一步降低企业用工成本</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（五）减轻社会保险负担。</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对受疫情影响不能按时缴纳企业职工养老保险、医疗保险（含生育保险）、失业保险、工伤保险以及住房公积金的企业，允许延期至疫情解除后三个月内补办补缴；补办补缴社会保险费用免收滞纳金，相关待遇正常享受，不影响参保个人权益记录。继续实施阶段性降低失业保险费率、工伤保险费率的政策。</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（六）实施失业保险稳岗返还。</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继续对不裁员、少减员的企业实施稳岗返还失业保险费，按企业及其职工上年度实际缴纳失业保险费总额的50%予以返还。鼓励受疫情影响企业与职工协商采取调整薪酬、轮岗轮休等方式稳定工作岗位。</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（七）发放援企稳岗补贴。</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对职工因疫情接受治疗或被医学观察隔离期间企业所支付的工资待遇，按照不超过该职工基本养老保险缴费工资基数的50%补贴企业，所需资金在工业企业结构调整专项奖补资金中列支。鼓励企业组织职工（含在企业工作的劳务派遣人员）参加线上适岗职业技能培训，按规定给予补贴；平台企业（电商企业）以及新业态企业参照执行。</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三、进一步减轻企业经营负担</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（八）减轻企业税费负担。</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疫情防控期间，准许企业延期申报纳税。对符合延期缴纳税款条件的企业，依法延长不超过三个月的税款缴纳期限。对纳税确有困难的企业，依法合理予以</w:t>
      </w:r>
      <w:r>
        <w:rPr>
          <w:rFonts w:ascii="微软雅黑" w:eastAsia="微软雅黑" w:hAnsi="微软雅黑" w:hint="eastAsia"/>
          <w:color w:val="424242"/>
        </w:rPr>
        <w:lastRenderedPageBreak/>
        <w:t>减免房产税、城镇土地使用税。对“定期定额”户，合理调整定额或简化停业手续。及时落实小微企业普惠性减税等政策。</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（九）减轻企业租金负担。</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国有资产类经营用房对受疫情影响较大不能正常经营的民营承租企业免收第一个月租金，减半收取第二、三个月租金；鼓励其他物业持有人根据实际情况，适当减免租金。免租金两个月以上的企业，按免租金月份数给予房产税困难减免。</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（十）加大技改资金支持。</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企业在规定期限内通过技术改造扩大疫情防控急需重点调拨物资产能或转产上述物资的，对其符合条件的设备购置额加大奖励力度。</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（十一）发挥国有企业关键作用。</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国有大中型企业、行业龙头企业在货款回收、原材料供应、项目发包等方面，加大对产业链上中小企业的支持，促进产业链运行平稳。对已与国有企业签订合同的中小企业，确因疫情影响，无法按时履行合同义务的，可以适当延长合同履行期限。国有企业要按照合同约定按时足额支付中小企业、民营企业相关款项，不得形成新增逾期拖欠。</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 xml:space="preserve">　四、进一步加大财政金融支持</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Style w:val="a4"/>
          <w:rFonts w:ascii="微软雅黑" w:eastAsia="微软雅黑" w:hAnsi="微软雅黑" w:hint="eastAsia"/>
          <w:color w:val="424242"/>
          <w:bdr w:val="none" w:sz="0" w:space="0" w:color="auto" w:frame="1"/>
        </w:rPr>
        <w:t xml:space="preserve">　　（十二）加强金融纾困。</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鼓励银行业金融机构对受疫情影响较大企业给予延期还贷、展期续贷、降低利率和减免利息支持。省中小企业融资服务平台开通中小企业疫情应对金融服务专区和“绿色服务通道”，统筹省级扶持中小微企业专项资金，依托平台为贷款</w:t>
      </w:r>
      <w:r>
        <w:rPr>
          <w:rFonts w:ascii="微软雅黑" w:eastAsia="微软雅黑" w:hAnsi="微软雅黑" w:hint="eastAsia"/>
          <w:color w:val="424242"/>
        </w:rPr>
        <w:lastRenderedPageBreak/>
        <w:t>企业提供贴息和风险补偿服务。对受疫情影响较大企业，不得盲目抽贷、断贷、压贷。梳理确定全省防疫重点保障企业名单，用足用好国家专项再贷款政策。</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（十三）加大财政支持力度。</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省级财政对相关企业扩大口罩机、防护服贴条机、负压救护车等重点急需设备及关键、紧缺零部件生产予以资金支持。对国家和省确定的疫情防控重点保障企业以及支持疫情防控工作作用突出的其他卫生防疫、医药产品、医用器材企业（由省工业和信息化部门会同财政等部门审核确认）的2020年新增贷款部分，省财政按照人民银行再贷款利率的50%予以贴息。鼓励各级财政对受疫情影响较大畜禽水产养殖企业、休闲农业企业给予适当补助。鼓励市县财政对受疫情影响较大的中小企业给予贷款贴息、应收账款融资等重点支持，省财政给予适当补助。对创业者个人或小微企业创业担保贷款可视情展期1年，并继续享受财政贴息支持。</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 xml:space="preserve">　（十四）支持企业担保融资和租赁融资。</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取消省内各级政府性融资担保机构和再担保机构反担保要求，省融资再担保公司对纳入国家融资担保基金支持范围内的融资担保业务免收担保费用，各级政府性融资担保公司对受疫情影响较大企业新增融资担保费率不超过1%。融资租赁公司要调整受疫情影响较大企业还款期限和还款方式，酌情减免不超过6个月的租金利息，免收租金罚息。</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（十五）优化企业小额贷款服务。</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监管指标优良的小额贷款公司经过批准，融资杠杆率可放宽至净资产5倍，单户贷款余额上限上调为不超过注册资本的5%且不超过1000万元。鼓励对受</w:t>
      </w:r>
      <w:r>
        <w:rPr>
          <w:rFonts w:ascii="微软雅黑" w:eastAsia="微软雅黑" w:hAnsi="微软雅黑" w:hint="eastAsia"/>
          <w:color w:val="424242"/>
        </w:rPr>
        <w:lastRenderedPageBreak/>
        <w:t>疫情影响企业和个人下调贷款利率、延期或展期贷款1—3个月、免除1—3个月罚息和增加信用贷款及中长期贷款。</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（十六）优化企业征信管理。</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对受疫情影响暂时失去收入来源的企业，可按照调整后的还款安排，报送信用记录。各地贸促会要建立“绿色通道”，根据实际情况为受疫情直接影响的外贸企业出具与不可抗力相关的事实性证明。</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五、进一步优化政府服务</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Style w:val="a4"/>
          <w:rFonts w:ascii="微软雅黑" w:eastAsia="微软雅黑" w:hAnsi="微软雅黑" w:hint="eastAsia"/>
          <w:color w:val="424242"/>
          <w:bdr w:val="none" w:sz="0" w:space="0" w:color="auto" w:frame="1"/>
        </w:rPr>
        <w:t xml:space="preserve">　　（十七）强化项目建设要素保障。</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对疫情防控、能源供应、交通物流、医疗资源、生态环境等在建和新建项目，优先保障用地用林等资源指标；对新建非盈利性医护场所，所需建设用地指标由省统筹解决；创造条件保障项目建设必须的钢材、混凝土、砂石等建筑材料及时供应。</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（十八）完善审批工作“直通车”制度。</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建立项目审批绿色通道，简化审批流程，压缩审批时限。采取网络、视频等技术手段开展项目评估评审，加快推进项目前期工作。依托全省投资项目在线审批监管平台，全面实行项目审批“不见面”在线办理。</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w:t>
      </w:r>
      <w:r>
        <w:rPr>
          <w:rStyle w:val="a4"/>
          <w:rFonts w:ascii="微软雅黑" w:eastAsia="微软雅黑" w:hAnsi="微软雅黑" w:hint="eastAsia"/>
          <w:color w:val="424242"/>
          <w:bdr w:val="none" w:sz="0" w:space="0" w:color="auto" w:frame="1"/>
        </w:rPr>
        <w:t>（十九）建立疫情防控物资境外采购快速通道。</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完善疫情防控物资境外采购快速协调机制，设立防控物资进口快速通关“绿色通道”，对能提供主管部门证明、涉及特殊物品的防控物资实行便利通关政策，无需进行卫生检疫审批。对疫情防控治疗物资实行“两步申报”“提前申报”“担保放行”等作业模式，确保通关“零延时”。</w:t>
      </w:r>
    </w:p>
    <w:p w:rsidR="003845FE" w:rsidRDefault="003845FE" w:rsidP="003845FE">
      <w:pPr>
        <w:pStyle w:val="a3"/>
        <w:spacing w:before="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lastRenderedPageBreak/>
        <w:t xml:space="preserve">　　</w:t>
      </w:r>
      <w:r>
        <w:rPr>
          <w:rStyle w:val="a4"/>
          <w:rFonts w:ascii="微软雅黑" w:eastAsia="微软雅黑" w:hAnsi="微软雅黑" w:hint="eastAsia"/>
          <w:color w:val="424242"/>
          <w:bdr w:val="none" w:sz="0" w:space="0" w:color="auto" w:frame="1"/>
        </w:rPr>
        <w:t>（二十）强化涉企信息服务支撑。</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依托“粤商通”平台，及时发布疫情防控期间惠企政策措施，搭建企业诉求响应平台，推动各地建立诉求响应机制，及时解决企业生产经营过程中面临的突出问题。</w:t>
      </w:r>
    </w:p>
    <w:p w:rsidR="003845FE" w:rsidRDefault="003845FE" w:rsidP="003845FE">
      <w:pPr>
        <w:pStyle w:val="a3"/>
        <w:spacing w:before="150" w:beforeAutospacing="0" w:after="0" w:afterAutospacing="0" w:line="480" w:lineRule="atLeast"/>
        <w:jc w:val="both"/>
        <w:rPr>
          <w:rFonts w:ascii="微软雅黑" w:eastAsia="微软雅黑" w:hAnsi="微软雅黑" w:hint="eastAsia"/>
          <w:color w:val="424242"/>
        </w:rPr>
      </w:pPr>
      <w:r>
        <w:rPr>
          <w:rFonts w:ascii="微软雅黑" w:eastAsia="微软雅黑" w:hAnsi="微软雅黑" w:hint="eastAsia"/>
          <w:color w:val="424242"/>
        </w:rPr>
        <w:t xml:space="preserve">　　本政策执行期暂定为自发布之日起的三个月（政策措施已经明确执行期的，按已规定的期限执行）。中央出台相关支持政策，我省遵照执行。各地级以上市政府和省有关部门可根据实际情况制定实施细则，加大惠企扶企力度。</w:t>
      </w:r>
    </w:p>
    <w:p w:rsidR="003815CE" w:rsidRPr="003845FE" w:rsidRDefault="003815CE">
      <w:bookmarkStart w:id="0" w:name="_GoBack"/>
      <w:bookmarkEnd w:id="0"/>
    </w:p>
    <w:sectPr w:rsidR="003815CE" w:rsidRPr="003845F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FE"/>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845FE"/>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ABFF8-B845-6947-BEBF-CFD13284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5FE"/>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84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6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2020-02-09T13:46:00Z</dcterms:created>
  <dcterms:modified xsi:type="dcterms:W3CDTF">2020-02-09T13:47:00Z</dcterms:modified>
</cp:coreProperties>
</file>