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4A0" w:firstRow="1" w:lastRow="0" w:firstColumn="1" w:lastColumn="0" w:noHBand="0" w:noVBand="1"/>
      </w:tblPr>
      <w:tblGrid>
        <w:gridCol w:w="8300"/>
      </w:tblGrid>
      <w:tr w:rsidR="00B83524" w:rsidRPr="00B83524" w:rsidTr="00B83524">
        <w:trPr>
          <w:jc w:val="center"/>
        </w:trPr>
        <w:tc>
          <w:tcPr>
            <w:tcW w:w="0" w:type="auto"/>
            <w:vAlign w:val="center"/>
            <w:hideMark/>
          </w:tcPr>
          <w:p w:rsidR="00B83524" w:rsidRPr="00B83524" w:rsidRDefault="00B83524" w:rsidP="00B83524">
            <w:pPr>
              <w:widowControl/>
              <w:spacing w:line="495" w:lineRule="atLeast"/>
              <w:jc w:val="center"/>
              <w:rPr>
                <w:rFonts w:ascii="宋体" w:eastAsia="宋体" w:hAnsi="宋体" w:cs="宋体"/>
                <w:b/>
                <w:bCs/>
                <w:color w:val="3D3D3D"/>
                <w:kern w:val="0"/>
                <w:sz w:val="33"/>
                <w:szCs w:val="33"/>
              </w:rPr>
            </w:pPr>
            <w:r w:rsidRPr="00B83524">
              <w:rPr>
                <w:rFonts w:ascii="宋体" w:eastAsia="宋体" w:hAnsi="宋体" w:cs="宋体" w:hint="eastAsia"/>
                <w:b/>
                <w:bCs/>
                <w:color w:val="3D3D3D"/>
                <w:kern w:val="0"/>
                <w:sz w:val="33"/>
                <w:szCs w:val="33"/>
              </w:rPr>
              <w:t>市疫情防控指挥部下发第14号令 全力支持企业应对疫情共渡难关</w:t>
            </w:r>
          </w:p>
          <w:p w:rsidR="00B83524" w:rsidRPr="00B83524" w:rsidRDefault="003B443D" w:rsidP="00B83524">
            <w:pPr>
              <w:widowControl/>
              <w:spacing w:line="495" w:lineRule="atLeast"/>
              <w:jc w:val="center"/>
              <w:rPr>
                <w:rFonts w:ascii="宋体" w:eastAsia="宋体" w:hAnsi="宋体" w:cs="宋体" w:hint="eastAsia"/>
                <w:b/>
                <w:bCs/>
                <w:color w:val="3D3D3D"/>
                <w:kern w:val="0"/>
                <w:sz w:val="33"/>
                <w:szCs w:val="33"/>
              </w:rPr>
            </w:pPr>
            <w:r w:rsidRPr="00B83524">
              <w:rPr>
                <w:rFonts w:ascii="宋体" w:eastAsia="宋体" w:hAnsi="宋体" w:cs="宋体" w:hint="eastAsia"/>
                <w:b/>
                <w:bCs/>
                <w:noProof/>
                <w:color w:val="3D3D3D"/>
                <w:kern w:val="0"/>
                <w:sz w:val="33"/>
                <w:szCs w:val="33"/>
              </w:rPr>
              <w:pict>
                <v:rect id="_x0000_i1025" alt="" style="width:415pt;height:.05pt;mso-width-percent:0;mso-height-percent:0;mso-width-percent:0;mso-height-percent:0" o:hralign="center" o:hrstd="t" o:hrnoshade="t" o:hr="t" fillcolor="#ddd" stroked="f"/>
              </w:pict>
            </w:r>
          </w:p>
        </w:tc>
      </w:tr>
      <w:tr w:rsidR="00B83524" w:rsidRPr="00B83524" w:rsidTr="00B83524">
        <w:trPr>
          <w:jc w:val="center"/>
        </w:trPr>
        <w:tc>
          <w:tcPr>
            <w:tcW w:w="0" w:type="auto"/>
            <w:vAlign w:val="center"/>
            <w:hideMark/>
          </w:tcPr>
          <w:p w:rsidR="00B83524" w:rsidRPr="00B83524" w:rsidRDefault="00B83524" w:rsidP="00B83524">
            <w:pPr>
              <w:widowControl/>
              <w:spacing w:line="330" w:lineRule="atLeast"/>
              <w:jc w:val="left"/>
              <w:rPr>
                <w:rFonts w:ascii="宋体" w:eastAsia="宋体" w:hAnsi="宋体" w:cs="宋体"/>
                <w:color w:val="3D3D3D"/>
                <w:kern w:val="0"/>
                <w:sz w:val="18"/>
                <w:szCs w:val="18"/>
              </w:rPr>
            </w:pPr>
            <w:bookmarkStart w:id="0" w:name="_GoBack"/>
            <w:bookmarkEnd w:id="0"/>
          </w:p>
        </w:tc>
      </w:tr>
      <w:tr w:rsidR="00B83524" w:rsidRPr="00B83524" w:rsidTr="00B83524">
        <w:trPr>
          <w:jc w:val="center"/>
        </w:trPr>
        <w:tc>
          <w:tcPr>
            <w:tcW w:w="0" w:type="auto"/>
            <w:vAlign w:val="center"/>
            <w:hideMark/>
          </w:tcPr>
          <w:p w:rsidR="00B83524" w:rsidRPr="00B83524" w:rsidRDefault="00B83524" w:rsidP="00B83524">
            <w:pPr>
              <w:widowControl/>
              <w:spacing w:after="225" w:line="390" w:lineRule="atLeast"/>
              <w:ind w:firstLine="480"/>
              <w:jc w:val="left"/>
              <w:rPr>
                <w:rFonts w:ascii="宋体" w:eastAsia="宋体" w:hAnsi="宋体" w:cs="宋体"/>
                <w:color w:val="3D3D3D"/>
                <w:kern w:val="0"/>
                <w:szCs w:val="21"/>
              </w:rPr>
            </w:pPr>
            <w:r w:rsidRPr="00B83524">
              <w:rPr>
                <w:rFonts w:ascii="宋体" w:eastAsia="宋体" w:hAnsi="宋体" w:cs="宋体" w:hint="eastAsia"/>
                <w:color w:val="3D3D3D"/>
                <w:kern w:val="0"/>
                <w:szCs w:val="21"/>
              </w:rPr>
              <w:t>2月4日，市疫情防控指挥部下发第14号令，进一步加大企业扶持力度，全力支持企业共渡难关。</w:t>
            </w:r>
          </w:p>
          <w:p w:rsidR="00B83524" w:rsidRPr="00B83524" w:rsidRDefault="00B83524" w:rsidP="00B83524">
            <w:pPr>
              <w:widowControl/>
              <w:spacing w:after="225" w:line="390" w:lineRule="atLeast"/>
              <w:ind w:firstLine="480"/>
              <w:jc w:val="left"/>
              <w:rPr>
                <w:rFonts w:ascii="宋体" w:eastAsia="宋体" w:hAnsi="宋体" w:cs="宋体" w:hint="eastAsia"/>
                <w:color w:val="3D3D3D"/>
                <w:kern w:val="0"/>
                <w:szCs w:val="21"/>
              </w:rPr>
            </w:pPr>
            <w:r w:rsidRPr="00B83524">
              <w:rPr>
                <w:rFonts w:ascii="宋体" w:eastAsia="宋体" w:hAnsi="宋体" w:cs="宋体" w:hint="eastAsia"/>
                <w:color w:val="3D3D3D"/>
                <w:kern w:val="0"/>
                <w:szCs w:val="21"/>
              </w:rPr>
              <w:t>第14号令自2月4日起施行，执行至4月30日，支持对象包括参与防疫物资生产的相关企业以及受疫情影响生产经营遇到困难的企业。</w:t>
            </w:r>
          </w:p>
          <w:p w:rsidR="00B83524" w:rsidRPr="00B83524" w:rsidRDefault="00B83524" w:rsidP="00B83524">
            <w:pPr>
              <w:widowControl/>
              <w:spacing w:after="225" w:line="390" w:lineRule="atLeast"/>
              <w:ind w:firstLine="480"/>
              <w:jc w:val="left"/>
              <w:rPr>
                <w:rFonts w:ascii="宋体" w:eastAsia="宋体" w:hAnsi="宋体" w:cs="宋体" w:hint="eastAsia"/>
                <w:color w:val="3D3D3D"/>
                <w:kern w:val="0"/>
                <w:szCs w:val="21"/>
              </w:rPr>
            </w:pPr>
            <w:r w:rsidRPr="00B83524">
              <w:rPr>
                <w:rFonts w:ascii="宋体" w:eastAsia="宋体" w:hAnsi="宋体" w:cs="宋体" w:hint="eastAsia"/>
                <w:color w:val="3D3D3D"/>
                <w:kern w:val="0"/>
                <w:szCs w:val="21"/>
              </w:rPr>
              <w:t>第14号令将企业支持举措分为十个方面：一是加强金融支持。各银行机构加大对企业的支持力度，支持企业在线便捷办理贷款、股权、担保等金融服务等；二是减轻企业负担。疫情期间，承租国有资产类房屋用于生产经营的中小企业和个人免收部分房租。导致企业发生重大损失或正常生产经营活动受到重大影响的，可延期缴纳税款；三是支持企业用工。根据企业不同情况，采取返还上年度实际缴纳失业保险费、缓缴社会保险费、给予职工职业技能培训补贴等不同举措；四是加强运输保障。为开复工企业所涉及的原材料、半成品、零部件、生产设备等物资运输，开辟物流“绿色通道”；五是加强外贸支持。为企业提供出具国际商事证明书服务，保障企业应对各类风险和通关结汇顺利进行；六是扶持“双创”载体。政府举办的科技创业园、科技企业孵化器、众创空间，对疫情期间为承租的中小企业及团队减免部分房租；七是建立科技项目绿色立项机制。在应对疫情的公共预防、检验检测、药物研发等领域，建立市、县两级科技计划项目绿色立项机制；八是加大投资补助。企业为扩大防疫应急物资生产进行的技改投资，给予适当补贴；九是加快资金兑现。包括对符合兑现条件的项目即时兑现，以及对建设周期较长的项目，可根据实际投资发生额，提前按比例进行扶持资金兑现；十是倡导全社会同舟共济、共度时艰。要积极发动社会各界伸出援助之手，友爱精神，开展形式多样的帮扶行动，为困境中的经济主体提供物质帮助和精神鼓励。</w:t>
            </w:r>
          </w:p>
        </w:tc>
      </w:tr>
    </w:tbl>
    <w:p w:rsidR="003815CE" w:rsidRDefault="003815CE"/>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24"/>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443D"/>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83524"/>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6220"/>
  <w15:chartTrackingRefBased/>
  <w15:docId w15:val="{C8719114-8BB1-0342-B2F4-2D9BB987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83524"/>
  </w:style>
  <w:style w:type="paragraph" w:styleId="a3">
    <w:name w:val="Normal (Web)"/>
    <w:basedOn w:val="a"/>
    <w:uiPriority w:val="99"/>
    <w:semiHidden/>
    <w:unhideWhenUsed/>
    <w:rsid w:val="00B8352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6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2020-02-08T15:19:00Z</dcterms:created>
  <dcterms:modified xsi:type="dcterms:W3CDTF">2020-02-08T15:20:00Z</dcterms:modified>
</cp:coreProperties>
</file>