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bidi w:val="0"/>
            <w:jc w:val="left"/>
            <w:rPr/>
          </w:pPr>
          <w:hyperlink w:anchor="__RefHeading___Toc5581_2654796477">
            <w:r>
              <w:rPr>
                <w:rStyle w:val="IndexLink"/>
              </w:rPr>
              <w:t>Différences entre morale et éthique :</w:t>
              <w:tab/>
              <w:t>2</w:t>
            </w:r>
          </w:hyperlink>
        </w:p>
        <w:p>
          <w:pPr>
            <w:pStyle w:val="Contents2"/>
            <w:bidi w:val="0"/>
            <w:jc w:val="left"/>
            <w:rPr/>
          </w:pPr>
          <w:hyperlink w:anchor="__RefHeading___Toc5585_2654796477">
            <w:r>
              <w:rPr>
                <w:rStyle w:val="IndexLink"/>
              </w:rPr>
              <w:t>Différences entre m</w:t>
            </w:r>
          </w:hyperlink>
          <w:hyperlink w:anchor="__RefHeading___Toc5585_2654796477">
            <w:r>
              <w:rPr>
                <w:rStyle w:val="IndexLink"/>
              </w:rPr>
              <w:t xml:space="preserve">orale et </w:t>
            </w:r>
          </w:hyperlink>
          <w:hyperlink w:anchor="__RefHeading___Toc5585_2654796477">
            <w:r>
              <w:rPr>
                <w:rStyle w:val="IndexLink"/>
              </w:rPr>
              <w:t>d</w:t>
            </w:r>
          </w:hyperlink>
          <w:hyperlink w:anchor="__RefHeading___Toc5585_2654796477">
            <w:r>
              <w:rPr>
                <w:rStyle w:val="IndexLink"/>
              </w:rPr>
              <w:t>roit :</w:t>
            </w:r>
          </w:hyperlink>
          <w:hyperlink w:anchor="__RefHeading___Toc5585_2654796477">
            <w:r>
              <w:rPr>
                <w:rStyle w:val="IndexLink"/>
              </w:rPr>
              <w:tab/>
              <w:t>3</w:t>
            </w:r>
          </w:hyperlink>
        </w:p>
        <w:p>
          <w:pPr>
            <w:pStyle w:val="Contents2"/>
            <w:bidi w:val="0"/>
            <w:jc w:val="left"/>
            <w:rPr/>
          </w:pPr>
          <w:hyperlink w:anchor="__RefHeading___Toc5587_2654796477">
            <w:r>
              <w:rPr>
                <w:rStyle w:val="IndexLink"/>
              </w:rPr>
              <w:t>Différences entre é</w:t>
            </w:r>
          </w:hyperlink>
          <w:hyperlink w:anchor="__RefHeading___Toc5587_2654796477">
            <w:r>
              <w:rPr>
                <w:rStyle w:val="IndexLink"/>
              </w:rPr>
              <w:t xml:space="preserve">thique et </w:t>
            </w:r>
          </w:hyperlink>
          <w:hyperlink w:anchor="__RefHeading___Toc5587_2654796477">
            <w:r>
              <w:rPr>
                <w:rStyle w:val="IndexLink"/>
              </w:rPr>
              <w:t>d</w:t>
            </w:r>
          </w:hyperlink>
          <w:hyperlink w:anchor="__RefHeading___Toc5587_2654796477">
            <w:r>
              <w:rPr>
                <w:rStyle w:val="IndexLink"/>
              </w:rPr>
              <w:t>roit :</w:t>
            </w:r>
          </w:hyperlink>
          <w:hyperlink w:anchor="__RefHeading___Toc5587_2654796477">
            <w:r>
              <w:rPr>
                <w:rStyle w:val="IndexLink"/>
              </w:rPr>
              <w:tab/>
              <w:t>4</w:t>
            </w:r>
          </w:hyperlink>
        </w:p>
        <w:p>
          <w:pPr>
            <w:pStyle w:val="Contents1"/>
            <w:bidi w:val="0"/>
            <w:jc w:val="left"/>
            <w:rPr/>
          </w:pPr>
          <w:hyperlink w:anchor="__RefHeading___Toc5589_2654796477">
            <w:r>
              <w:rPr>
                <w:rStyle w:val="IndexLink"/>
              </w:rPr>
              <w:t>La bioéthique :</w:t>
              <w:tab/>
              <w:t>4</w:t>
            </w:r>
          </w:hyperlink>
        </w:p>
        <w:p>
          <w:pPr>
            <w:pStyle w:val="Contents2"/>
            <w:bidi w:val="0"/>
            <w:jc w:val="left"/>
            <w:rPr/>
          </w:pPr>
          <w:hyperlink w:anchor="__RefHeading___Toc5591_2654796477">
            <w:r>
              <w:rPr>
                <w:rStyle w:val="IndexLink"/>
              </w:rPr>
              <w:t>Définition :</w:t>
              <w:tab/>
              <w:t>4</w:t>
            </w:r>
          </w:hyperlink>
        </w:p>
        <w:p>
          <w:pPr>
            <w:pStyle w:val="Contents2"/>
            <w:bidi w:val="0"/>
            <w:jc w:val="left"/>
            <w:rPr/>
          </w:pPr>
          <w:hyperlink w:anchor="__RefHeading___Toc5593_2654796477">
            <w:r>
              <w:rPr>
                <w:rStyle w:val="IndexLink"/>
              </w:rPr>
              <w:t>Procès de Nuremberg:</w:t>
              <w:tab/>
              <w:t>5</w:t>
            </w:r>
          </w:hyperlink>
        </w:p>
        <w:p>
          <w:pPr>
            <w:pStyle w:val="Contents3"/>
            <w:bidi w:val="0"/>
            <w:jc w:val="left"/>
            <w:rPr/>
          </w:pPr>
          <w:hyperlink w:anchor="__RefHeading___Toc5595_2654796477">
            <w:r>
              <w:rPr>
                <w:rStyle w:val="IndexLink"/>
              </w:rPr>
              <w:t>Histoire de l’expérimentation médicale :</w:t>
              <w:tab/>
              <w:t>5</w:t>
            </w:r>
          </w:hyperlink>
        </w:p>
        <w:p>
          <w:pPr>
            <w:pStyle w:val="Contents4"/>
            <w:bidi w:val="0"/>
            <w:jc w:val="left"/>
            <w:rPr/>
          </w:pPr>
          <w:hyperlink w:anchor="__RefHeading___Toc5738_3562927657">
            <w:r>
              <w:rPr>
                <w:rStyle w:val="IndexLink"/>
              </w:rPr>
              <w:t>Premières expérimentations médicales :</w:t>
              <w:tab/>
              <w:t>5</w:t>
            </w:r>
          </w:hyperlink>
        </w:p>
        <w:p>
          <w:pPr>
            <w:pStyle w:val="Contents4"/>
            <w:bidi w:val="0"/>
            <w:jc w:val="left"/>
            <w:rPr/>
          </w:pPr>
          <w:hyperlink w:anchor="__RefHeading___Toc5599_2654796477">
            <w:r>
              <w:rPr>
                <w:rStyle w:val="IndexLink"/>
              </w:rPr>
              <w:t>L’expérimentation humaine dans la Grèce antique :</w:t>
              <w:tab/>
              <w:t>6</w:t>
            </w:r>
          </w:hyperlink>
        </w:p>
        <w:p>
          <w:pPr>
            <w:pStyle w:val="Contents5"/>
            <w:bidi w:val="0"/>
            <w:jc w:val="left"/>
            <w:rPr/>
          </w:pPr>
          <w:hyperlink w:anchor="__RefHeading___Toc5740_3562927657">
            <w:r>
              <w:rPr>
                <w:rStyle w:val="IndexLink"/>
              </w:rPr>
              <w:t>Hypocrate :</w:t>
              <w:tab/>
              <w:t>6</w:t>
            </w:r>
          </w:hyperlink>
        </w:p>
        <w:p>
          <w:pPr>
            <w:pStyle w:val="Contents5"/>
            <w:bidi w:val="0"/>
            <w:jc w:val="left"/>
            <w:rPr/>
          </w:pPr>
          <w:hyperlink w:anchor="__RefHeading___Toc5742_3562927657">
            <w:r>
              <w:rPr>
                <w:rStyle w:val="IndexLink"/>
              </w:rPr>
              <w:t>Galien :</w:t>
              <w:tab/>
              <w:t>7</w:t>
            </w:r>
          </w:hyperlink>
        </w:p>
        <w:p>
          <w:pPr>
            <w:pStyle w:val="Contents5"/>
            <w:bidi w:val="0"/>
            <w:jc w:val="left"/>
            <w:rPr/>
          </w:pPr>
          <w:hyperlink w:anchor="__RefHeading___Toc5744_3562927657">
            <w:r>
              <w:rPr>
                <w:rStyle w:val="IndexLink"/>
              </w:rPr>
              <w:t>L’école d’Alexandrie :</w:t>
              <w:tab/>
              <w:t>7</w:t>
            </w:r>
          </w:hyperlink>
        </w:p>
        <w:p>
          <w:pPr>
            <w:pStyle w:val="Contents5"/>
            <w:bidi w:val="0"/>
            <w:jc w:val="left"/>
            <w:rPr/>
          </w:pPr>
          <w:hyperlink w:anchor="__RefHeading___Toc5747_3562927657">
            <w:r>
              <w:rPr>
                <w:rStyle w:val="IndexLink"/>
              </w:rPr>
              <w:t>Avicenne :</w:t>
              <w:tab/>
              <w:t>8</w:t>
            </w:r>
          </w:hyperlink>
        </w:p>
        <w:p>
          <w:pPr>
            <w:pStyle w:val="Contents5"/>
            <w:bidi w:val="0"/>
            <w:jc w:val="left"/>
            <w:rPr/>
          </w:pPr>
          <w:hyperlink w:anchor="__RefHeading___Toc5749_3562927657">
            <w:r>
              <w:rPr>
                <w:rStyle w:val="IndexLink"/>
              </w:rPr>
              <w:t>Vésale  et Ambroise Paré ::</w:t>
              <w:tab/>
              <w:t>8</w:t>
            </w:r>
          </w:hyperlink>
        </w:p>
        <w:p>
          <w:pPr>
            <w:pStyle w:val="Contents5"/>
            <w:bidi w:val="0"/>
            <w:jc w:val="left"/>
            <w:rPr/>
          </w:pPr>
          <w:hyperlink w:anchor="__RefHeading___Toc5733_1331939832">
            <w:r>
              <w:rPr>
                <w:rStyle w:val="IndexLink"/>
              </w:rPr>
              <w:t>Anton Stark :</w:t>
              <w:tab/>
              <w:t>9</w:t>
            </w:r>
          </w:hyperlink>
        </w:p>
        <w:p>
          <w:pPr>
            <w:pStyle w:val="Contents5"/>
            <w:bidi w:val="0"/>
            <w:jc w:val="left"/>
            <w:rPr/>
          </w:pPr>
          <w:hyperlink w:anchor="__RefHeading___Toc5735_1331939832">
            <w:r>
              <w:rPr>
                <w:rStyle w:val="IndexLink"/>
              </w:rPr>
              <w:t>James Lind :</w:t>
              <w:tab/>
              <w:t>10</w:t>
            </w:r>
          </w:hyperlink>
        </w:p>
        <w:p>
          <w:pPr>
            <w:pStyle w:val="Contents5"/>
            <w:bidi w:val="0"/>
            <w:jc w:val="left"/>
            <w:rPr/>
          </w:pPr>
          <w:hyperlink w:anchor="__RefHeading___Toc5814_2309800995">
            <w:r>
              <w:rPr>
                <w:rStyle w:val="IndexLink"/>
              </w:rPr>
              <w:t>La variolisation :</w:t>
              <w:tab/>
              <w:t>10</w:t>
            </w:r>
          </w:hyperlink>
        </w:p>
        <w:p>
          <w:pPr>
            <w:pStyle w:val="Contents5"/>
            <w:bidi w:val="0"/>
            <w:jc w:val="left"/>
            <w:rPr/>
          </w:pPr>
          <w:hyperlink w:anchor="__RefHeading___Toc5816_2309800995">
            <w:r>
              <w:rPr>
                <w:rStyle w:val="IndexLink"/>
              </w:rPr>
              <w:t>Thomas Percival :</w:t>
              <w:tab/>
              <w:t>11</w:t>
            </w:r>
          </w:hyperlink>
        </w:p>
        <w:p>
          <w:pPr>
            <w:pStyle w:val="Contents5"/>
            <w:bidi w:val="0"/>
            <w:jc w:val="left"/>
            <w:rPr/>
          </w:pPr>
          <w:hyperlink w:anchor="__RefHeading___Toc5818_2309800995">
            <w:r>
              <w:rPr>
                <w:rStyle w:val="IndexLink"/>
              </w:rPr>
              <w:t>William Beaumont :</w:t>
              <w:tab/>
              <w:t>11</w:t>
            </w:r>
          </w:hyperlink>
        </w:p>
        <w:p>
          <w:pPr>
            <w:pStyle w:val="Contents5"/>
            <w:bidi w:val="0"/>
            <w:jc w:val="left"/>
            <w:rPr/>
          </w:pPr>
          <w:hyperlink w:anchor="__RefHeading___Toc5820_2309800995">
            <w:r>
              <w:rPr>
                <w:rStyle w:val="IndexLink"/>
              </w:rPr>
              <w:t>John Utter:</w:t>
              <w:tab/>
              <w:t>12</w:t>
            </w:r>
          </w:hyperlink>
        </w:p>
        <w:p>
          <w:pPr>
            <w:pStyle w:val="Contents5"/>
            <w:bidi w:val="0"/>
            <w:jc w:val="left"/>
            <w:rPr/>
          </w:pPr>
          <w:hyperlink w:anchor="__RefHeading___Toc5822_2309800995">
            <w:r>
              <w:rPr>
                <w:rStyle w:val="IndexLink"/>
              </w:rPr>
              <w:t>Claude Bernard :</w:t>
              <w:tab/>
              <w:t>12</w:t>
            </w:r>
          </w:hyperlink>
        </w:p>
        <w:p>
          <w:pPr>
            <w:pStyle w:val="Contents5"/>
            <w:bidi w:val="0"/>
            <w:jc w:val="left"/>
            <w:rPr/>
          </w:pPr>
          <w:hyperlink w:anchor="__RefHeading___Toc5824_2309800995">
            <w:r>
              <w:rPr>
                <w:rStyle w:val="IndexLink"/>
              </w:rPr>
              <w:t>Pasteur :</w:t>
              <w:tab/>
              <w:t>14</w:t>
            </w:r>
          </w:hyperlink>
        </w:p>
        <w:p>
          <w:pPr>
            <w:pStyle w:val="Contents5"/>
            <w:bidi w:val="0"/>
            <w:jc w:val="left"/>
            <w:rPr/>
          </w:pPr>
          <w:hyperlink w:anchor="__RefHeading___Toc5826_2309800995">
            <w:r>
              <w:rPr>
                <w:rStyle w:val="IndexLink"/>
              </w:rPr>
              <w:t>Albert Nesser :</w:t>
              <w:tab/>
              <w:t>15</w:t>
            </w:r>
          </w:hyperlink>
        </w:p>
        <w:p>
          <w:pPr>
            <w:pStyle w:val="Contents4"/>
            <w:bidi w:val="0"/>
            <w:jc w:val="left"/>
            <w:rPr/>
          </w:pPr>
          <w:hyperlink w:anchor="__RefHeading___Toc5828_2309800995">
            <w:r>
              <w:rPr>
                <w:rStyle w:val="IndexLink"/>
              </w:rPr>
              <w:t>L’auto-expérimentation :</w:t>
              <w:tab/>
              <w:t>15</w:t>
            </w:r>
          </w:hyperlink>
        </w:p>
        <w:p>
          <w:pPr>
            <w:pStyle w:val="Contents4"/>
            <w:bidi w:val="0"/>
            <w:jc w:val="left"/>
            <w:rPr/>
          </w:pPr>
          <w:hyperlink w:anchor="__RefHeading___Toc5830_2309800995">
            <w:r>
              <w:rPr>
                <w:rStyle w:val="IndexLink"/>
              </w:rPr>
              <w:t>Les expérimentations américaines :</w:t>
              <w:tab/>
              <w:t>16</w:t>
            </w:r>
          </w:hyperlink>
        </w:p>
        <w:p>
          <w:pPr>
            <w:pStyle w:val="Contents4"/>
            <w:bidi w:val="0"/>
            <w:jc w:val="left"/>
            <w:rPr/>
          </w:pPr>
          <w:hyperlink w:anchor="__RefHeading___Toc5832_2309800995">
            <w:r>
              <w:rPr>
                <w:rStyle w:val="IndexLink"/>
              </w:rPr>
              <w:t>L’Allemagne d’avant guerre :</w:t>
              <w:tab/>
              <w:t>16</w:t>
            </w:r>
          </w:hyperlink>
        </w:p>
        <w:p>
          <w:pPr>
            <w:pStyle w:val="Contents4"/>
            <w:bidi w:val="0"/>
            <w:jc w:val="left"/>
            <w:rPr/>
          </w:pPr>
          <w:hyperlink w:anchor="__RefHeading___Toc5834_2309800995">
            <w:r>
              <w:rPr>
                <w:rStyle w:val="IndexLink"/>
              </w:rPr>
              <w:t>L’eugénisme :</w:t>
              <w:tab/>
              <w:t>17</w:t>
            </w:r>
          </w:hyperlink>
        </w:p>
        <w:p>
          <w:pPr>
            <w:pStyle w:val="Contents3"/>
            <w:bidi w:val="0"/>
            <w:jc w:val="left"/>
            <w:rPr/>
          </w:pPr>
          <w:hyperlink w:anchor="__RefHeading___Toc5836_2309800995">
            <w:r>
              <w:rPr>
                <w:rStyle w:val="IndexLink"/>
              </w:rPr>
              <w:t>Le procès des médecins de Nuremberg :</w:t>
              <w:tab/>
              <w:t>19</w:t>
            </w:r>
          </w:hyperlink>
        </w:p>
        <w:p>
          <w:pPr>
            <w:pStyle w:val="Contents3"/>
            <w:bidi w:val="0"/>
            <w:jc w:val="left"/>
            <w:rPr/>
          </w:pPr>
          <w:hyperlink w:anchor="__RefHeading___Toc5583_2654796477">
            <w:r>
              <w:rPr>
                <w:rStyle w:val="IndexLink"/>
              </w:rPr>
              <w:t>Une confiance propre à chaque relation</w:t>
              <w:tab/>
              <w:t>61</w:t>
            </w:r>
          </w:hyperlink>
          <w:r>
            <w:rPr>
              <w:rStyle w:val="IndexLink"/>
            </w:rPr>
            <w:fldChar w:fldCharType="end"/>
          </w:r>
        </w:p>
      </w:sdtContent>
    </w:sdt>
    <w:p>
      <w:pPr>
        <w:pStyle w:val="Normal"/>
        <w:bidi w:val="0"/>
        <w:jc w:val="center"/>
        <w:rPr>
          <w:color w:val="000000"/>
          <w:sz w:val="52"/>
          <w:szCs w:val="52"/>
          <w:u w:val="single"/>
        </w:rPr>
      </w:pPr>
      <w:r>
        <w:rPr>
          <w:color w:val="000000"/>
          <w:sz w:val="52"/>
          <w:szCs w:val="52"/>
          <w:u w:val="single"/>
        </w:rPr>
      </w:r>
    </w:p>
    <w:p>
      <w:pPr>
        <w:pStyle w:val="Normal"/>
        <w:bidi w:val="0"/>
        <w:jc w:val="left"/>
        <w:rPr>
          <w:color w:val="000000"/>
          <w:sz w:val="36"/>
          <w:szCs w:val="36"/>
          <w:u w:val="single"/>
        </w:rPr>
      </w:pPr>
      <w:r>
        <w:rPr>
          <w:color w:val="000000"/>
          <w:sz w:val="36"/>
          <w:szCs w:val="36"/>
          <w:u w:val="single"/>
        </w:rPr>
        <w:t>Forme de l’examen 2019</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 La bioéthique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 La bioéthique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3/ La bioéthique III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4/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5/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6</w:t>
      </w:r>
      <w:r>
        <w:rPr>
          <w:rFonts w:ascii="Liberation Serif" w:hAnsi="Liberation Serif"/>
          <w:b w:val="false"/>
          <w:i w:val="false"/>
          <w:caps w:val="false"/>
          <w:smallCaps w:val="false"/>
          <w:color w:val="000000"/>
          <w:spacing w:val="0"/>
          <w:sz w:val="28"/>
          <w:szCs w:val="28"/>
        </w:rPr>
        <w:t>/ L’expérimentation humaine II</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7/ Le code de Nuremberg</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8/ L’éthique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9/ L’utilitarisme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10/ L’utilitarisme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11/ L’utilitarisme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12/ Le kantisme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13/ Le kantisme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14/ Le kantisme III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15/ Le respect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w:t>
      </w:r>
      <w:r>
        <w:rPr>
          <w:rFonts w:ascii="Liberation Serif" w:hAnsi="Liberation Serif"/>
          <w:b w:val="false"/>
          <w:i w:val="false"/>
          <w:caps w:val="false"/>
          <w:smallCaps w:val="false"/>
          <w:color w:val="000000"/>
          <w:spacing w:val="0"/>
          <w:sz w:val="28"/>
          <w:szCs w:val="28"/>
        </w:rPr>
        <w:t>0/</w:t>
      </w:r>
      <w:r>
        <w:rPr>
          <w:rFonts w:ascii="Liberation Serif" w:hAnsi="Liberation Serif"/>
          <w:b w:val="false"/>
          <w:i w:val="false"/>
          <w:caps w:val="false"/>
          <w:smallCaps w:val="false"/>
          <w:color w:val="000000"/>
          <w:spacing w:val="0"/>
          <w:sz w:val="28"/>
          <w:szCs w:val="28"/>
        </w:rPr>
        <w:t xml:space="preserve"> La confiance </w:t>
      </w:r>
      <w:r>
        <w:rPr>
          <w:rFonts w:ascii="Liberation Serif" w:hAnsi="Liberation Serif"/>
          <w:b w:val="false"/>
          <w:i w:val="false"/>
          <w:caps w:val="false"/>
          <w:smallCaps w:val="false"/>
          <w:color w:val="000000"/>
          <w:spacing w:val="0"/>
          <w:sz w:val="28"/>
          <w:szCs w:val="28"/>
        </w:rPr>
        <w:t>I</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17/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18/ L</w:t>
      </w:r>
      <w:r>
        <w:rPr>
          <w:rFonts w:ascii="Liberation Serif" w:hAnsi="Liberation Serif"/>
          <w:b w:val="false"/>
          <w:i w:val="false"/>
          <w:caps w:val="false"/>
          <w:smallCaps w:val="false"/>
          <w:color w:val="000000"/>
          <w:spacing w:val="0"/>
          <w:sz w:val="28"/>
          <w:szCs w:val="28"/>
        </w:rPr>
        <w:t>a dignité</w:t>
      </w:r>
      <w:r>
        <w:rPr>
          <w:rFonts w:ascii="Liberation Serif" w:hAnsi="Liberation Serif"/>
          <w:b w:val="false"/>
          <w:i w:val="false"/>
          <w:caps w:val="false"/>
          <w:smallCaps w:val="false"/>
          <w:color w:val="000000"/>
          <w:spacing w:val="0"/>
          <w:sz w:val="28"/>
          <w:szCs w:val="28"/>
        </w:rPr>
        <w:t xml:space="preserve"> II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19/ Le consentement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t>20/ La confiance </w:t>
      </w:r>
    </w:p>
    <w:p>
      <w:pPr>
        <w:pStyle w:val="Normal"/>
        <w:bidi w:val="0"/>
        <w:jc w:val="left"/>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Freud a </w:t>
      </w:r>
      <w:r>
        <w:rPr>
          <w:color w:val="000000"/>
          <w:sz w:val="32"/>
          <w:szCs w:val="32"/>
          <w:u w:val="none"/>
        </w:rPr>
        <w:t>auto expérimenté</w:t>
      </w:r>
      <w:r>
        <w:rPr>
          <w:color w:val="000000"/>
          <w:sz w:val="32"/>
          <w:szCs w:val="32"/>
          <w:u w:val="none"/>
        </w:rPr>
        <w:t xml:space="preserve"> la cocaïne.</w:t>
      </w:r>
    </w:p>
    <w:p>
      <w:pPr>
        <w:pStyle w:val="Normal"/>
        <w:bidi w:val="0"/>
        <w:jc w:val="left"/>
        <w:rPr>
          <w:color w:val="000000"/>
          <w:sz w:val="32"/>
          <w:szCs w:val="32"/>
          <w:u w:val="none"/>
        </w:rPr>
      </w:pPr>
      <w:r>
        <w:rPr>
          <w:color w:val="000000"/>
          <w:sz w:val="32"/>
          <w:szCs w:val="32"/>
          <w:u w:val="none"/>
        </w:rPr>
        <w:t xml:space="preserve">Cury a </w:t>
      </w:r>
      <w:r>
        <w:rPr>
          <w:color w:val="000000"/>
          <w:sz w:val="32"/>
          <w:szCs w:val="32"/>
          <w:u w:val="none"/>
        </w:rPr>
        <w:t>auto expérimenté</w:t>
      </w:r>
      <w:r>
        <w:rPr>
          <w:color w:val="000000"/>
          <w:sz w:val="32"/>
          <w:szCs w:val="32"/>
          <w:u w:val="none"/>
        </w:rPr>
        <w:t xml:space="preserve"> les effets de sels de radium</w:t>
      </w:r>
    </w:p>
    <w:p>
      <w:pPr>
        <w:pStyle w:val="Normal"/>
        <w:bidi w:val="0"/>
        <w:jc w:val="left"/>
        <w:rPr>
          <w:color w:val="000000"/>
          <w:sz w:val="32"/>
          <w:szCs w:val="32"/>
          <w:u w:val="none"/>
        </w:rPr>
      </w:pPr>
      <w:r>
        <w:rPr>
          <w:color w:val="000000"/>
          <w:sz w:val="32"/>
          <w:szCs w:val="32"/>
          <w:u w:val="none"/>
        </w:rPr>
        <w:t xml:space="preserve">Fortzman a </w:t>
      </w:r>
      <w:r>
        <w:rPr>
          <w:color w:val="000000"/>
          <w:sz w:val="32"/>
          <w:szCs w:val="32"/>
          <w:u w:val="none"/>
        </w:rPr>
        <w:t>auto-expérimenté</w:t>
      </w:r>
      <w:r>
        <w:rPr>
          <w:color w:val="000000"/>
          <w:sz w:val="32"/>
          <w:szCs w:val="32"/>
          <w:u w:val="none"/>
        </w:rPr>
        <w:t xml:space="preserve"> un catheter intracardiaque</w:t>
      </w:r>
    </w:p>
    <w:p>
      <w:pPr>
        <w:pStyle w:val="Normal"/>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digitaline</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color w:val="000000"/>
          <w:sz w:val="32"/>
          <w:szCs w:val="32"/>
        </w:rPr>
      </w:pPr>
      <w:r>
        <w:rPr>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w:t>
      </w:r>
      <w:r>
        <w:rPr>
          <w:i w:val="false"/>
          <w:iCs w:val="false"/>
          <w:color w:val="000000"/>
          <w:sz w:val="32"/>
          <w:szCs w:val="32"/>
        </w:rPr>
        <w:t xml:space="preserve">mathématicien, </w:t>
      </w:r>
      <w:r>
        <w:rPr>
          <w:i w:val="false"/>
          <w:iCs w:val="false"/>
          <w:color w:val="000000"/>
          <w:sz w:val="32"/>
          <w:szCs w:val="32"/>
        </w:rPr>
        <w:t xml:space="preserve">cousin de Darwin, </w:t>
      </w:r>
      <w:r>
        <w:rPr>
          <w:i w:val="false"/>
          <w:iCs w:val="false"/>
          <w:color w:val="000000"/>
          <w:sz w:val="32"/>
          <w:szCs w:val="32"/>
        </w:rPr>
        <w:t>invente</w:t>
      </w:r>
      <w:r>
        <w:rPr>
          <w:i w:val="false"/>
          <w:iCs w:val="false"/>
          <w:color w:val="000000"/>
          <w:sz w:val="32"/>
          <w:szCs w:val="32"/>
        </w:rPr>
        <w:t xml:space="preserve"> l’eugénisme.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L’eugénisme est une science de l’amélioration de la lignée, qui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b w:val="false"/>
          <w:i w:val="false"/>
          <w:iCs w:val="false"/>
          <w:color w:val="000000"/>
          <w:spacing w:val="0"/>
          <w:sz w:val="32"/>
          <w:szCs w:val="32"/>
        </w:rPr>
        <w:t xml:space="preserve">Il publie, </w:t>
      </w:r>
      <w:r>
        <w:rPr>
          <w:b w:val="false"/>
          <w:i w:val="false"/>
          <w:iCs w:val="false"/>
          <w:color w:val="000000"/>
          <w:spacing w:val="0"/>
          <w:sz w:val="32"/>
          <w:szCs w:val="32"/>
        </w:rPr>
        <w:t>L’intelligence héréditaire</w:t>
      </w:r>
      <w:r>
        <w:rPr>
          <w:b w:val="false"/>
          <w:i w:val="false"/>
          <w:iCs w:val="false"/>
          <w:caps w:val="false"/>
          <w:smallCaps w:val="false"/>
          <w:color w:val="000000"/>
          <w:spacing w:val="0"/>
          <w:sz w:val="32"/>
          <w:szCs w:val="32"/>
        </w:rPr>
        <w:t>, la raison de ses travaux étant de montrer qu'une partie au moins de celle-ci est héréditaire, et d’en tirer des conclusions pour l’amélioration de l’espèce humaine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Charles Rich</w:t>
      </w:r>
      <w:r>
        <w:rPr>
          <w:color w:val="000000"/>
          <w:sz w:val="32"/>
          <w:szCs w:val="32"/>
        </w:rPr>
        <w:t>et, prix noble de médecine de 1913, pour sa découverte de l’anaphylaxie</w:t>
      </w:r>
      <w:r>
        <w:rPr>
          <w:color w:val="000000"/>
          <w:sz w:val="32"/>
          <w:szCs w:val="32"/>
        </w:rPr>
        <w:t xml:space="preserve"> :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w:t>
      </w:r>
      <w:r>
        <w:rPr>
          <w:color w:val="000000"/>
          <w:sz w:val="32"/>
          <w:szCs w:val="32"/>
        </w:rPr>
        <w:t>F</w:t>
      </w:r>
      <w:r>
        <w:rPr>
          <w:color w:val="000000"/>
          <w:sz w:val="32"/>
          <w:szCs w:val="32"/>
        </w:rPr>
        <w:t xml:space="preserve">rance, l’eugénisme ne prend </w:t>
      </w:r>
      <w:r>
        <w:rPr>
          <w:color w:val="000000"/>
          <w:sz w:val="32"/>
          <w:szCs w:val="32"/>
        </w:rPr>
        <w:t>cependant</w:t>
      </w:r>
      <w:r>
        <w:rPr>
          <w:color w:val="000000"/>
          <w:sz w:val="32"/>
          <w:szCs w:val="32"/>
        </w:rPr>
        <w:t xml:space="preserve"> pas. Les français reste pour l’essentiel lamarc</w:t>
      </w:r>
      <w:r>
        <w:rPr>
          <w:color w:val="000000"/>
          <w:sz w:val="32"/>
          <w:szCs w:val="32"/>
        </w:rPr>
        <w:t>k</w:t>
      </w:r>
      <w:r>
        <w:rPr>
          <w:color w:val="000000"/>
          <w:sz w:val="32"/>
          <w:szCs w:val="32"/>
        </w:rPr>
        <w:t>ien.</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28" w:name="__RefHeading___Toc5836_2309800995"/>
      <w:bookmarkEnd w:id="28"/>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procès se veut parfaitement équitable. On est loin des procès bâclé que l’on réalisera en France après la libération.</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accusés sont 20 médecins, et 3 administratifs nazis. </w:t>
      </w:r>
    </w:p>
    <w:p>
      <w:pPr>
        <w:pStyle w:val="Normal"/>
        <w:bidi w:val="0"/>
        <w:jc w:val="left"/>
        <w:rPr>
          <w:color w:val="000000"/>
          <w:sz w:val="32"/>
          <w:szCs w:val="32"/>
          <w:u w:val="none"/>
        </w:rPr>
      </w:pPr>
      <w:r>
        <w:rPr>
          <w:color w:val="000000"/>
          <w:sz w:val="32"/>
          <w:szCs w:val="32"/>
          <w:u w:val="none"/>
        </w:rPr>
        <w:t xml:space="preserve">Le plus jeune a 35 ans et le plus agé à 65 ans. </w:t>
      </w:r>
    </w:p>
    <w:p>
      <w:pPr>
        <w:pStyle w:val="Normal"/>
        <w:bidi w:val="0"/>
        <w:jc w:val="left"/>
        <w:rPr>
          <w:color w:val="000000"/>
          <w:sz w:val="32"/>
          <w:szCs w:val="32"/>
          <w:u w:val="none"/>
        </w:rPr>
      </w:pPr>
      <w:r>
        <w:rPr>
          <w:color w:val="000000"/>
          <w:sz w:val="32"/>
          <w:szCs w:val="32"/>
          <w:u w:val="none"/>
        </w:rPr>
        <w:t>Une seule femme est présente parmi les accusés.</w:t>
      </w:r>
    </w:p>
    <w:p>
      <w:pPr>
        <w:pStyle w:val="Normal"/>
        <w:bidi w:val="0"/>
        <w:jc w:val="left"/>
        <w:rPr>
          <w:color w:val="000000"/>
          <w:sz w:val="32"/>
          <w:szCs w:val="32"/>
          <w:u w:val="none"/>
        </w:rPr>
      </w:pPr>
      <w:r>
        <w:rPr>
          <w:color w:val="000000"/>
          <w:sz w:val="32"/>
          <w:szCs w:val="32"/>
          <w:u w:val="none"/>
        </w:rPr>
        <w:t xml:space="preserve">Tous ne sont pas SS. </w:t>
      </w:r>
    </w:p>
    <w:p>
      <w:pPr>
        <w:pStyle w:val="Normal"/>
        <w:bidi w:val="0"/>
        <w:jc w:val="left"/>
        <w:rPr>
          <w:color w:val="000000"/>
          <w:sz w:val="32"/>
          <w:szCs w:val="32"/>
          <w:u w:val="none"/>
        </w:rPr>
      </w:pPr>
      <w:r>
        <w:rPr>
          <w:color w:val="000000"/>
          <w:sz w:val="32"/>
          <w:szCs w:val="32"/>
          <w:u w:val="none"/>
        </w:rPr>
        <w:t>Tous ne sont pas membre du partir nazie. La plupart ont adhéré au parti après 1933.</w:t>
      </w:r>
    </w:p>
    <w:p>
      <w:pPr>
        <w:pStyle w:val="Normal"/>
        <w:bidi w:val="0"/>
        <w:jc w:val="left"/>
        <w:rPr>
          <w:color w:val="000000"/>
          <w:sz w:val="32"/>
          <w:szCs w:val="32"/>
          <w:u w:val="none"/>
        </w:rPr>
      </w:pPr>
      <w:r>
        <w:rPr>
          <w:color w:val="000000"/>
          <w:sz w:val="32"/>
          <w:szCs w:val="32"/>
          <w:u w:val="none"/>
        </w:rPr>
        <w:t>Ce sont pour la plupart des médecins de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29" w:name="firstHeading1"/>
      <w:bookmarkEnd w:id="29"/>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Au </w:t>
      </w:r>
      <w:r>
        <w:rPr>
          <w:color w:val="000000"/>
          <w:sz w:val="32"/>
          <w:szCs w:val="32"/>
          <w:u w:val="none"/>
        </w:rPr>
        <w:t>décès</w:t>
      </w:r>
      <w:r>
        <w:rPr>
          <w:color w:val="000000"/>
          <w:sz w:val="32"/>
          <w:szCs w:val="32"/>
          <w:u w:val="none"/>
        </w:rPr>
        <w:t>, Racher effectue une dissection du cadavre.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Weltz</w:t>
      </w:r>
      <w:r>
        <w:rPr>
          <w:color w:val="000000"/>
          <w:sz w:val="32"/>
          <w:szCs w:val="32"/>
          <w:u w:val="none"/>
        </w:rPr>
        <w:t xml:space="preserve"> </w:t>
      </w:r>
      <w:r>
        <w:rPr>
          <w:color w:val="000000"/>
          <w:sz w:val="32"/>
          <w:szCs w:val="32"/>
          <w:u w:val="none"/>
        </w:rPr>
        <w:t xml:space="preserve">avait demandé </w:t>
      </w:r>
      <w:r>
        <w:rPr>
          <w:color w:val="000000"/>
          <w:sz w:val="32"/>
          <w:szCs w:val="32"/>
          <w:u w:val="none"/>
        </w:rPr>
        <w:t xml:space="preserve">à Dr </w:t>
      </w:r>
      <w:r>
        <w:rPr>
          <w:b w:val="false"/>
          <w:i w:val="false"/>
          <w:caps w:val="false"/>
          <w:smallCaps w:val="false"/>
          <w:color w:val="000000"/>
          <w:spacing w:val="0"/>
          <w:sz w:val="32"/>
          <w:szCs w:val="32"/>
          <w:u w:val="none"/>
        </w:rPr>
        <w:t xml:space="preserve">Wolfgang </w:t>
      </w:r>
      <w:r>
        <w:rPr>
          <w:color w:val="000000"/>
          <w:sz w:val="32"/>
          <w:szCs w:val="32"/>
          <w:u w:val="none"/>
        </w:rPr>
        <w:t xml:space="preserve">Lutz de participer à </w:t>
      </w:r>
      <w:r>
        <w:rPr>
          <w:color w:val="000000"/>
          <w:sz w:val="32"/>
          <w:szCs w:val="32"/>
          <w:u w:val="none"/>
        </w:rPr>
        <w:t>l’expérimentation</w:t>
      </w:r>
      <w:r>
        <w:rPr>
          <w:color w:val="000000"/>
          <w:sz w:val="32"/>
          <w:szCs w:val="32"/>
          <w:u w:val="none"/>
        </w:rPr>
        <w:t xml:space="preserve"> et ils avaient refusé.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bCs w:val="false"/>
          <w:i w:val="false"/>
          <w:caps w:val="false"/>
          <w:smallCaps w:val="false"/>
          <w:color w:val="222222"/>
          <w:spacing w:val="0"/>
          <w:sz w:val="32"/>
          <w:szCs w:val="32"/>
          <w:u w:val="none"/>
        </w:rPr>
        <w:t>Erhard Milch</w:t>
      </w:r>
      <w:r>
        <w:rPr>
          <w:color w:val="000000"/>
          <w:sz w:val="32"/>
          <w:szCs w:val="32"/>
          <w:u w:val="none"/>
        </w:rPr>
        <w:t>, respon</w:t>
      </w:r>
      <w:r>
        <w:rPr>
          <w:color w:val="000000"/>
          <w:sz w:val="32"/>
          <w:szCs w:val="32"/>
          <w:u w:val="none"/>
        </w:rPr>
        <w:t>sa</w:t>
      </w:r>
      <w:r>
        <w:rPr>
          <w:color w:val="000000"/>
          <w:sz w:val="32"/>
          <w:szCs w:val="32"/>
          <w:u w:val="none"/>
        </w:rPr>
        <w:t xml:space="preserve">ble de la </w:t>
      </w:r>
      <w:r>
        <w:rPr>
          <w:color w:val="000000"/>
          <w:sz w:val="32"/>
          <w:szCs w:val="32"/>
          <w:u w:val="none"/>
        </w:rPr>
        <w:t>L</w:t>
      </w:r>
      <w:r>
        <w:rPr>
          <w:color w:val="000000"/>
          <w:sz w:val="32"/>
          <w:szCs w:val="32"/>
          <w:u w:val="none"/>
        </w:rPr>
        <w:t xml:space="preserve">uftwaffe </w:t>
      </w:r>
      <w:r>
        <w:rPr>
          <w:color w:val="000000"/>
          <w:sz w:val="32"/>
          <w:szCs w:val="32"/>
          <w:u w:val="none"/>
        </w:rPr>
        <w:t xml:space="preserve">réclamera un arrêt des expériences : </w:t>
      </w:r>
      <w:r>
        <w:rPr>
          <w:color w:val="000000"/>
          <w:sz w:val="32"/>
          <w:szCs w:val="32"/>
          <w:u w:val="none"/>
        </w:rPr>
        <w:t>« Rapatri</w:t>
      </w:r>
      <w:r>
        <w:rPr>
          <w:color w:val="000000"/>
          <w:sz w:val="32"/>
          <w:szCs w:val="32"/>
          <w:u w:val="none"/>
        </w:rPr>
        <w:t>ez-</w:t>
      </w:r>
      <w:r>
        <w:rPr>
          <w:color w:val="000000"/>
          <w:sz w:val="32"/>
          <w:szCs w:val="32"/>
          <w:u w:val="none"/>
        </w:rPr>
        <w:t>moi la chambre car ce type d’expérience n’est pas responsable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b/>
          <w:bCs/>
          <w:i w:val="false"/>
          <w:caps w:val="false"/>
          <w:smallCaps w:val="false"/>
          <w:color w:val="222222"/>
          <w:spacing w:val="0"/>
          <w:sz w:val="32"/>
          <w:szCs w:val="32"/>
          <w:u w:val="single"/>
        </w:rPr>
      </w:pPr>
      <w:r>
        <w:rPr>
          <w:b/>
          <w:bCs/>
          <w:i w:val="false"/>
          <w:caps w:val="false"/>
          <w:smallCaps w:val="false"/>
          <w:color w:val="222222"/>
          <w:spacing w:val="0"/>
          <w:sz w:val="32"/>
          <w:szCs w:val="32"/>
          <w:u w:val="single"/>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single"/>
        </w:rPr>
      </w:pPr>
      <w:r>
        <w:rPr>
          <w:b/>
          <w:bCs/>
          <w:color w:val="000000"/>
          <w:sz w:val="32"/>
          <w:szCs w:val="32"/>
          <w:u w:val="single"/>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 expérience,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w:t>
      </w:r>
    </w:p>
    <w:p>
      <w:pPr>
        <w:pStyle w:val="Normal"/>
        <w:bidi w:val="0"/>
        <w:jc w:val="left"/>
        <w:rPr>
          <w:color w:val="000000"/>
          <w:sz w:val="32"/>
          <w:szCs w:val="32"/>
          <w:u w:val="none"/>
        </w:rPr>
      </w:pPr>
      <w:r>
        <w:rPr>
          <w:color w:val="000000"/>
          <w:sz w:val="32"/>
          <w:szCs w:val="32"/>
          <w:u w:val="none"/>
        </w:rPr>
        <w:t>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0" w:name="cite_ref-1"/>
      <w:bookmarkEnd w:id="30"/>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Ajouter le semrent d’hypocrate en piece jointe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2">
        <w:r>
          <w:rPr>
            <w:rStyle w:val="InternetLink"/>
          </w:rPr>
          <w:t>Esculape</w:t>
        </w:r>
      </w:hyperlink>
      <w:r>
        <w:rPr>
          <w:color w:val="000000"/>
          <w:sz w:val="32"/>
          <w:szCs w:val="32"/>
        </w:rPr>
        <w:t>, Hygie et Panacée, par tous les </w:t>
      </w:r>
      <w:hyperlink r:id="rId3">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4"/>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Normal"/>
        <w:bidi w:val="0"/>
        <w:jc w:val="left"/>
        <w:rPr>
          <w:color w:val="000000"/>
          <w:sz w:val="36"/>
          <w:szCs w:val="36"/>
          <w:u w:val="single"/>
        </w:rPr>
      </w:pPr>
      <w:r>
        <w:rPr>
          <w:color w:val="000000"/>
          <w:sz w:val="36"/>
          <w:szCs w:val="36"/>
          <w:u w:val="single"/>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single"/>
        </w:rPr>
      </w:pPr>
      <w:r>
        <w:rPr>
          <w:color w:val="000000"/>
          <w:sz w:val="32"/>
          <w:szCs w:val="32"/>
          <w:u w:val="single"/>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center"/>
        <w:rPr>
          <w:color w:val="000000"/>
          <w:sz w:val="40"/>
          <w:szCs w:val="40"/>
          <w:u w:val="single"/>
        </w:rPr>
      </w:pPr>
      <w:r>
        <w:rPr>
          <w:color w:val="000000"/>
          <w:sz w:val="40"/>
          <w:szCs w:val="40"/>
          <w:u w:val="single"/>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4">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5"/>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6"/>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7"/>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31" w:name="__RefHeading___Toc5583_2654796477"/>
      <w:bookmarkEnd w:id="31"/>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vikidia.org/wiki/Esculape" TargetMode="External"/><Relationship Id="rId3" Type="http://schemas.openxmlformats.org/officeDocument/2006/relationships/hyperlink" Target="https://fr.vikidia.org/wiki/Mythologie_grecque" TargetMode="External"/><Relationship Id="rId4" Type="http://schemas.openxmlformats.org/officeDocument/2006/relationships/hyperlink" Target="https://fr.wikipedia.org/wiki/T&#233;l&#233;ologi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3109</TotalTime>
  <Application>LibreOffice/6.3.5.2$Linux_X86_64 LibreOffice_project/30$Build-2</Application>
  <Pages>86</Pages>
  <Words>22626</Words>
  <CharactersWithSpaces>140129</CharactersWithSpaces>
  <Paragraphs>1259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2020-04-16T22:09:47Z</dcterms:modified>
  <cp:revision>44</cp:revision>
  <dc:subject/>
  <dc:title/>
</cp:coreProperties>
</file>