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3</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bidi w:val="0"/>
            <w:jc w:val="left"/>
            <w:rPr/>
          </w:pPr>
          <w:hyperlink w:anchor="__RefHeading___Toc5738_3562927657">
            <w:r>
              <w:rPr>
                <w:rStyle w:val="IndexLink"/>
              </w:rPr>
              <w:t>Premières expérimentations médicales :</w:t>
              <w:tab/>
              <w:t>5</w:t>
            </w:r>
          </w:hyperlink>
        </w:p>
        <w:p>
          <w:pPr>
            <w:pStyle w:val="Contents4"/>
            <w:bidi w:val="0"/>
            <w:jc w:val="left"/>
            <w:rPr/>
          </w:pPr>
          <w:hyperlink w:anchor="__RefHeading___Toc5599_2654796477">
            <w:r>
              <w:rPr>
                <w:rStyle w:val="IndexLink"/>
              </w:rPr>
              <w:t>L’expérimentation humaine dans la Grèce antique :</w:t>
              <w:tab/>
              <w:t>6</w:t>
            </w:r>
          </w:hyperlink>
        </w:p>
        <w:p>
          <w:pPr>
            <w:pStyle w:val="Contents5"/>
            <w:bidi w:val="0"/>
            <w:jc w:val="left"/>
            <w:rPr/>
          </w:pPr>
          <w:hyperlink w:anchor="__RefHeading___Toc5740_3562927657">
            <w:r>
              <w:rPr>
                <w:rStyle w:val="IndexLink"/>
              </w:rPr>
              <w:t>Hypocrate :</w:t>
              <w:tab/>
              <w:t>6</w:t>
            </w:r>
          </w:hyperlink>
        </w:p>
        <w:p>
          <w:pPr>
            <w:pStyle w:val="Contents5"/>
            <w:bidi w:val="0"/>
            <w:jc w:val="left"/>
            <w:rPr/>
          </w:pPr>
          <w:hyperlink w:anchor="__RefHeading___Toc5742_3562927657">
            <w:r>
              <w:rPr>
                <w:rStyle w:val="IndexLink"/>
              </w:rPr>
              <w:t>Galien :</w:t>
              <w:tab/>
              <w:t>6</w:t>
            </w:r>
          </w:hyperlink>
        </w:p>
        <w:p>
          <w:pPr>
            <w:pStyle w:val="Contents5"/>
            <w:bidi w:val="0"/>
            <w:jc w:val="left"/>
            <w:rPr/>
          </w:pPr>
          <w:hyperlink w:anchor="__RefHeading___Toc5744_3562927657">
            <w:r>
              <w:rPr>
                <w:rStyle w:val="IndexLink"/>
              </w:rPr>
              <w:t>L’école d’Alexandrie :</w:t>
              <w:tab/>
              <w:t>7</w:t>
            </w:r>
          </w:hyperlink>
        </w:p>
        <w:p>
          <w:pPr>
            <w:pStyle w:val="Contents5"/>
            <w:bidi w:val="0"/>
            <w:jc w:val="left"/>
            <w:rPr/>
          </w:pPr>
          <w:hyperlink w:anchor="__RefHeading___Toc5747_3562927657">
            <w:r>
              <w:rPr>
                <w:rStyle w:val="IndexLink"/>
              </w:rPr>
              <w:t>Avicenne :</w:t>
              <w:tab/>
              <w:t>8</w:t>
            </w:r>
          </w:hyperlink>
        </w:p>
        <w:p>
          <w:pPr>
            <w:pStyle w:val="Contents5"/>
            <w:bidi w:val="0"/>
            <w:jc w:val="left"/>
            <w:rPr/>
          </w:pPr>
          <w:hyperlink w:anchor="__RefHeading___Toc5749_3562927657">
            <w:r>
              <w:rPr>
                <w:rStyle w:val="IndexLink"/>
              </w:rPr>
              <w:t>Vésale :</w:t>
              <w:tab/>
              <w:t>8</w:t>
            </w:r>
          </w:hyperlink>
        </w:p>
        <w:p>
          <w:pPr>
            <w:pStyle w:val="Contents3"/>
            <w:tabs>
              <w:tab w:val="right" w:pos="9638" w:leader="dot"/>
            </w:tabs>
            <w:bidi w:val="0"/>
            <w:jc w:val="left"/>
            <w:rPr/>
          </w:pPr>
          <w:hyperlink w:anchor="__RefHeading___Toc5583_2654796477">
            <w:r>
              <w:rPr>
                <w:rStyle w:val="IndexLink"/>
              </w:rPr>
              <w:t>Une confiance propre à chaque relation</w:t>
              <w:tab/>
              <w:t>60</w:t>
            </w:r>
          </w:hyperlink>
          <w:r>
            <w:rPr>
              <w:rStyle w:val="IndexLink"/>
            </w:rPr>
            <w:fldChar w:fldCharType="end"/>
          </w:r>
        </w:p>
      </w:sdtContent>
    </w:sdt>
    <w:p>
      <w:pPr>
        <w:pStyle w:val="Normal"/>
        <w:bidi w:val="0"/>
        <w:jc w:val="center"/>
        <w:rPr>
          <w:color w:val="000000"/>
          <w:sz w:val="52"/>
          <w:szCs w:val="52"/>
          <w:u w:val="single"/>
        </w:rPr>
      </w:pPr>
      <w:r>
        <w:rPr>
          <w:color w:val="000000"/>
          <w:sz w:val="52"/>
          <w:szCs w:val="52"/>
          <w:u w:val="single"/>
        </w:rPr>
      </w:r>
    </w:p>
    <w:p>
      <w:pPr>
        <w:pStyle w:val="Normal"/>
        <w:bidi w:val="0"/>
        <w:jc w:val="left"/>
        <w:rPr>
          <w:color w:val="000000"/>
          <w:sz w:val="36"/>
          <w:szCs w:val="36"/>
          <w:u w:val="single"/>
        </w:rPr>
      </w:pPr>
      <w:r>
        <w:rPr>
          <w:color w:val="000000"/>
          <w:sz w:val="36"/>
          <w:szCs w:val="36"/>
          <w:u w:val="single"/>
        </w:rPr>
        <w:t>Forme de l’examen 2019</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14/ Le kantisme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bidi w:val="0"/>
        <w:jc w:val="left"/>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bookmarkStart w:id="13" w:name="__DdeLink__5745_3562927657"/>
      <w:r>
        <w:rPr>
          <w:i/>
          <w:iCs/>
          <w:color w:val="000000"/>
          <w:sz w:val="32"/>
          <w:szCs w:val="32"/>
          <w:u w:val="none"/>
        </w:rPr>
        <w:t xml:space="preserve">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w:t>
      </w:r>
      <w:bookmarkEnd w:id="13"/>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7_3562927657"/>
      <w:bookmarkEnd w:id="14"/>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49_3562927657"/>
      <w:bookmarkEnd w:id="15"/>
      <w:r>
        <w:rPr/>
        <w:t>Vésale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Un témoignage </w:t>
      </w:r>
      <w:r>
        <w:rPr>
          <w:color w:val="000000"/>
          <w:sz w:val="32"/>
          <w:szCs w:val="32"/>
          <w:u w:val="none"/>
        </w:rPr>
        <w:t>d’Ambroise Paré</w:t>
      </w:r>
      <w:r>
        <w:rPr>
          <w:color w:val="000000"/>
          <w:sz w:val="32"/>
          <w:szCs w:val="32"/>
          <w:u w:val="none"/>
        </w:rPr>
        <w:t>, nous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écourter</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 mais qui ne l’était pas encore. »</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Ambroise Paré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Ambroise Paré (XVI) est </w:t>
      </w:r>
      <w:r>
        <w:rPr>
          <w:color w:val="000000"/>
          <w:sz w:val="32"/>
          <w:szCs w:val="32"/>
          <w:u w:val="none"/>
        </w:rPr>
        <w:t>chirurgien</w:t>
      </w:r>
      <w:r>
        <w:rPr>
          <w:color w:val="000000"/>
          <w:sz w:val="32"/>
          <w:szCs w:val="32"/>
          <w:u w:val="none"/>
        </w:rPr>
        <w:t xml:space="preserve">, à </w:t>
      </w:r>
      <w:r>
        <w:rPr>
          <w:color w:val="000000"/>
          <w:sz w:val="32"/>
          <w:szCs w:val="32"/>
          <w:u w:val="none"/>
        </w:rPr>
        <w:t xml:space="preserve">vrai dire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Vésale et Amboise Paré </w:t>
      </w:r>
      <w:r>
        <w:rPr>
          <w:color w:val="000000"/>
          <w:sz w:val="32"/>
          <w:szCs w:val="32"/>
          <w:u w:val="none"/>
        </w:rPr>
        <w:t>furent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les deux médecins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retrouve, dans ce fait historique, l’utilisation de prisonnier à des fins d’expérimentation.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James Lind (XVIII) ef</w:t>
      </w:r>
      <w:r>
        <w:rPr>
          <w:color w:val="000000"/>
          <w:sz w:val="32"/>
          <w:szCs w:val="32"/>
        </w:rPr>
        <w:t>f</w:t>
      </w:r>
      <w:r>
        <w:rPr>
          <w:color w:val="000000"/>
          <w:sz w:val="32"/>
          <w:szCs w:val="32"/>
        </w:rPr>
        <w:t>ectue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single"/>
        </w:rPr>
      </w:pPr>
      <w:r>
        <w:rPr>
          <w:color w:val="000000"/>
          <w:sz w:val="32"/>
          <w:szCs w:val="32"/>
          <w:u w:val="single"/>
        </w:rPr>
        <w:t>La variolisation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famile qui a envie d’attraper la petite vérole. À la suite de quoi ils organisent une réunion et quand ils sont tous là (en général quinze ou seize), une vieile femme se présente avec une coquile de noix pleine de petite vérole du meilleur cru, et elle demande quelle veine il vous plairait de faire ouvrir. Ele perce aussitôt avec une grosse aiguile celle que vous lui offrez (ce qui ne vous fait pas plus de mal qu’une égratignure) et elle introduit dans la veine la quantité de venin qui tient sur la pointe d’une aiguile. Après quoi ele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 xml:space="preserve">Le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Encore une fois, les prisonniers sont utilisés comme cobayes.</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color w:val="000000"/>
          <w:spacing w:val="0"/>
          <w:sz w:val="32"/>
          <w:szCs w:val="32"/>
          <w:u w:val="single"/>
        </w:rPr>
      </w:pPr>
      <w:r>
        <w:rPr>
          <w:b w:val="false"/>
          <w:i/>
          <w:color w:val="000000"/>
          <w:spacing w:val="0"/>
          <w:sz w:val="32"/>
          <w:szCs w:val="32"/>
          <w:u w:val="single"/>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color w:val="000000"/>
          <w:sz w:val="32"/>
          <w:szCs w:val="32"/>
          <w:u w:val="none"/>
        </w:rPr>
      </w:pPr>
      <w:r>
        <w:rPr>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thérapeutique comme préalable obligatoire à l’expérimentation sur l’homme.</w:t>
      </w:r>
    </w:p>
    <w:p>
      <w:pPr>
        <w:pStyle w:val="Normal"/>
        <w:bidi w:val="0"/>
        <w:jc w:val="left"/>
        <w:rPr>
          <w:color w:val="000000"/>
          <w:sz w:val="32"/>
          <w:szCs w:val="32"/>
          <w:u w:val="none"/>
        </w:rPr>
      </w:pPr>
      <w:r>
        <w:rPr>
          <w:color w:val="000000"/>
          <w:sz w:val="32"/>
          <w:szCs w:val="32"/>
          <w:u w:val="none"/>
        </w:rPr>
        <w:t>Sa charte inspirera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t xml:space="preserve">Les principes de Beaumont </w:t>
      </w:r>
      <w:r>
        <w:rPr>
          <w:color w:val="000000"/>
          <w:sz w:val="32"/>
          <w:szCs w:val="32"/>
          <w:u w:val="none"/>
        </w:rPr>
        <w:t>inspireront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t>Cette erreur aboutira à la réalisation d’autres expérience dans le but de</w:t>
      </w:r>
      <w:r>
        <w:rPr>
          <w:color w:val="000000"/>
          <w:sz w:val="32"/>
          <w:szCs w:val="32"/>
          <w:u w:val="none"/>
        </w:rPr>
        <w:t xml:space="preserve"> d</w:t>
      </w:r>
      <w:r>
        <w:rPr>
          <w:color w:val="000000"/>
          <w:sz w:val="32"/>
          <w:szCs w:val="32"/>
          <w:u w:val="none"/>
        </w:rPr>
        <w:t>instinguer les deux</w:t>
      </w:r>
      <w:r>
        <w:rPr>
          <w:color w:val="000000"/>
          <w:sz w:val="32"/>
          <w:szCs w:val="32"/>
          <w:u w:val="none"/>
        </w:rPr>
        <w:t xml:space="preserve"> maladie</w:t>
      </w:r>
      <w:r>
        <w:rPr>
          <w:color w:val="000000"/>
          <w:sz w:val="32"/>
          <w:szCs w:val="32"/>
          <w:u w:val="none"/>
        </w:rPr>
        <w: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 du chancre syphillitique sur des étudiants en médecine courageux.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Je ne pouvais espérer obtenir de preuves plus propres à démontrer la différence entre le virus de la </w:t>
      </w:r>
      <w:r>
        <w:rPr>
          <w:color w:val="000000"/>
          <w:sz w:val="32"/>
          <w:szCs w:val="32"/>
          <w:u w:val="none"/>
        </w:rPr>
        <w:t>gonorrhée</w:t>
      </w:r>
      <w:r>
        <w:rPr>
          <w:color w:val="000000"/>
          <w:sz w:val="32"/>
          <w:szCs w:val="32"/>
          <w:u w:val="none"/>
        </w:rPr>
        <w:t xml:space="preserve"> et celui de la </w:t>
      </w:r>
      <w:r>
        <w:rPr>
          <w:color w:val="000000"/>
          <w:sz w:val="32"/>
          <w:szCs w:val="32"/>
          <w:u w:val="none"/>
        </w:rPr>
        <w:t>syphilis</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sur :</w:t>
      </w:r>
    </w:p>
    <w:p>
      <w:pPr>
        <w:pStyle w:val="Normal"/>
        <w:bidi w:val="0"/>
        <w:jc w:val="left"/>
        <w:rPr>
          <w:color w:val="000000"/>
          <w:sz w:val="32"/>
          <w:szCs w:val="32"/>
          <w:u w:val="none"/>
        </w:rPr>
      </w:pPr>
      <w:r>
        <w:rPr>
          <w:color w:val="000000"/>
          <w:sz w:val="32"/>
          <w:szCs w:val="32"/>
          <w:u w:val="none"/>
        </w:rPr>
        <w:t>- La physiologie pancréatique et hépatique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pancréas est une glande amphicrine annexe du tube digestif. Il fut décr</w:t>
      </w:r>
      <w:r>
        <w:rPr>
          <w:color w:val="000000"/>
          <w:sz w:val="32"/>
          <w:szCs w:val="32"/>
          <w:u w:val="none"/>
        </w:rPr>
        <w:t>i</w:t>
      </w:r>
      <w:r>
        <w:rPr>
          <w:color w:val="000000"/>
          <w:sz w:val="32"/>
          <w:szCs w:val="32"/>
          <w:u w:val="none"/>
        </w:rPr>
        <w:t>t pour la première fois par Herophile.</w:t>
      </w:r>
    </w:p>
    <w:p>
      <w:pPr>
        <w:pStyle w:val="Normal"/>
        <w:bidi w:val="0"/>
        <w:jc w:val="left"/>
        <w:rPr>
          <w:color w:val="000000"/>
          <w:sz w:val="32"/>
          <w:szCs w:val="32"/>
          <w:u w:val="none"/>
        </w:rPr>
      </w:pPr>
      <w:r>
        <w:rPr>
          <w:color w:val="000000"/>
          <w:sz w:val="32"/>
          <w:szCs w:val="32"/>
          <w:u w:val="none"/>
        </w:rPr>
        <w:t xml:space="preserve">Le pancréas exocrine secrète du bicarbonate de calcium (amphotère) qui joue un rôle tampon à l’arrivée du contenu gastrique dans le duodénum. </w:t>
      </w:r>
      <w:r>
        <w:rPr>
          <w:color w:val="000000"/>
          <w:sz w:val="32"/>
          <w:szCs w:val="32"/>
          <w:u w:val="none"/>
        </w:rPr>
        <w:t>Claude Bernard découvre que le suc pancréatique contient également des enzymes digestives, en particulier la lipase responsable de la digestion des graisses.</w:t>
      </w:r>
    </w:p>
    <w:p>
      <w:pPr>
        <w:pStyle w:val="Normal"/>
        <w:bidi w:val="0"/>
        <w:jc w:val="left"/>
        <w:rPr>
          <w:color w:val="000000"/>
          <w:sz w:val="32"/>
          <w:szCs w:val="32"/>
          <w:u w:val="none"/>
        </w:rPr>
      </w:pPr>
      <w:r>
        <w:rPr>
          <w:color w:val="000000"/>
          <w:sz w:val="32"/>
          <w:szCs w:val="32"/>
          <w:u w:val="none"/>
        </w:rPr>
        <w:t xml:space="preserve">Le pancréas endocrine secrète le glucagon (îlots de Langerhans </w:t>
      </w:r>
      <w:r>
        <w:rPr>
          <w:rFonts w:ascii="Liberation Serif" w:hAnsi="Liberation Serif"/>
          <w:color w:val="000000"/>
          <w:sz w:val="32"/>
          <w:szCs w:val="32"/>
          <w:u w:val="none"/>
        </w:rPr>
        <w:t>α</w:t>
      </w:r>
      <w:r>
        <w:rPr>
          <w:color w:val="000000"/>
          <w:sz w:val="32"/>
          <w:szCs w:val="32"/>
          <w:u w:val="none"/>
        </w:rPr>
        <w:t>)</w:t>
      </w:r>
      <w:r>
        <w:rPr>
          <w:color w:val="000000"/>
          <w:sz w:val="32"/>
          <w:szCs w:val="32"/>
          <w:u w:val="none"/>
        </w:rPr>
        <w:t xml:space="preserve">, l’insuline (îlots de Langerhans </w:t>
      </w:r>
      <w:r>
        <w:rPr>
          <w:rFonts w:ascii="Liberation Serif" w:hAnsi="Liberation Serif"/>
          <w:color w:val="000000"/>
          <w:sz w:val="32"/>
          <w:szCs w:val="32"/>
          <w:u w:val="none"/>
        </w:rPr>
        <w:t>β</w:t>
      </w:r>
      <w:r>
        <w:rPr>
          <w:color w:val="000000"/>
          <w:sz w:val="32"/>
          <w:szCs w:val="32"/>
          <w:u w:val="none"/>
        </w:rPr>
        <w:t>)</w:t>
      </w:r>
      <w:r>
        <w:rPr>
          <w:color w:val="000000"/>
          <w:sz w:val="32"/>
          <w:szCs w:val="32"/>
          <w:u w:val="none"/>
        </w:rPr>
        <w:t xml:space="preserve">, la somatostatine, et le polypeptide pancréatique. </w:t>
      </w:r>
    </w:p>
    <w:p>
      <w:pPr>
        <w:pStyle w:val="Normal"/>
        <w:bidi w:val="0"/>
        <w:jc w:val="left"/>
        <w:rPr>
          <w:color w:val="000000"/>
          <w:sz w:val="32"/>
          <w:szCs w:val="32"/>
          <w:u w:val="none"/>
        </w:rPr>
      </w:pPr>
      <w:r>
        <w:rPr>
          <w:color w:val="000000"/>
          <w:sz w:val="32"/>
          <w:szCs w:val="32"/>
          <w:u w:val="none"/>
        </w:rPr>
        <w:t>Le glucagon active la glycogénolyse</w:t>
      </w:r>
    </w:p>
    <w:p>
      <w:pPr>
        <w:pStyle w:val="Normal"/>
        <w:bidi w:val="0"/>
        <w:jc w:val="left"/>
        <w:rPr>
          <w:color w:val="000000"/>
          <w:sz w:val="32"/>
          <w:szCs w:val="32"/>
          <w:u w:val="none"/>
        </w:rPr>
      </w:pPr>
      <w:r>
        <w:rPr>
          <w:color w:val="000000"/>
          <w:sz w:val="32"/>
          <w:szCs w:val="32"/>
          <w:u w:val="none"/>
        </w:rPr>
        <w:t>L’insuline active la glycogénèse.</w:t>
      </w:r>
    </w:p>
    <w:p>
      <w:pPr>
        <w:pStyle w:val="Normal"/>
        <w:bidi w:val="0"/>
        <w:jc w:val="left"/>
        <w:rPr>
          <w:color w:val="000000"/>
          <w:sz w:val="32"/>
          <w:szCs w:val="32"/>
          <w:u w:val="none"/>
        </w:rPr>
      </w:pPr>
      <w:r>
        <w:rPr>
          <w:color w:val="000000"/>
          <w:sz w:val="32"/>
          <w:szCs w:val="32"/>
          <w:u w:val="none"/>
        </w:rPr>
        <w:t>La somatostatine inhibe la sécrétion d’insuline et du glucagon</w:t>
      </w:r>
    </w:p>
    <w:p>
      <w:pPr>
        <w:pStyle w:val="Normal"/>
        <w:bidi w:val="0"/>
        <w:jc w:val="left"/>
        <w:rPr>
          <w:color w:val="000000"/>
          <w:sz w:val="32"/>
          <w:szCs w:val="32"/>
          <w:u w:val="none"/>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r>
        <w:rPr>
          <w:color w:val="000000"/>
          <w:sz w:val="32"/>
          <w:szCs w:val="32"/>
          <w:u w:val="none"/>
        </w:rPr>
        <w:t>Elle s’oppose à une autre forme de raisonnement : le raisonnement inductif qui part du particulier pour aller au général.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(1813-1878)</w:t>
      </w:r>
      <w:r>
        <w:rPr>
          <w:color w:val="000000"/>
          <w:sz w:val="32"/>
          <w:szCs w:val="32"/>
          <w:u w:val="none"/>
        </w:rPr>
        <w:t xml:space="preserve"> incite </w:t>
      </w:r>
      <w:r>
        <w:rPr>
          <w:color w:val="000000"/>
          <w:sz w:val="32"/>
          <w:szCs w:val="32"/>
          <w:u w:val="none"/>
        </w:rPr>
        <w:t>le médecin</w:t>
      </w:r>
      <w:r>
        <w:rPr>
          <w:color w:val="000000"/>
          <w:sz w:val="32"/>
          <w:szCs w:val="32"/>
          <w:u w:val="none"/>
        </w:rPr>
        <w:t xml:space="preserve"> à </w:t>
      </w:r>
      <w:r>
        <w:rPr>
          <w:color w:val="000000"/>
          <w:sz w:val="32"/>
          <w:szCs w:val="32"/>
          <w:u w:val="none"/>
        </w:rPr>
        <w:t>suivre sa</w:t>
      </w:r>
      <w:r>
        <w:rPr>
          <w:color w:val="000000"/>
          <w:sz w:val="32"/>
          <w:szCs w:val="32"/>
          <w:u w:val="none"/>
        </w:rPr>
        <w:t xml:space="preserve"> conscience.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Le premier pays au monde à mettre au point une </w:t>
      </w:r>
      <w:r>
        <w:rPr>
          <w:color w:val="000000"/>
          <w:sz w:val="32"/>
          <w:szCs w:val="32"/>
          <w:u w:val="none"/>
        </w:rPr>
        <w:t>législation sur l’expérimentation médicale</w:t>
      </w:r>
      <w:r>
        <w:rPr>
          <w:color w:val="000000"/>
          <w:sz w:val="32"/>
          <w:szCs w:val="32"/>
          <w:u w:val="none"/>
        </w:rPr>
        <w:t xml:space="preserve"> est la Prusse.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Hansen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Hansen inocule la </w:t>
      </w:r>
      <w:r>
        <w:rPr>
          <w:color w:val="000000"/>
          <w:sz w:val="32"/>
          <w:szCs w:val="32"/>
          <w:u w:val="none"/>
        </w:rPr>
        <w:t>lèpre</w:t>
      </w:r>
      <w:r>
        <w:rPr>
          <w:color w:val="000000"/>
          <w:sz w:val="32"/>
          <w:szCs w:val="32"/>
          <w:u w:val="none"/>
        </w:rPr>
        <w:t xml:space="preserve"> dans la cornée d’une jeune femme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Freud a </w:t>
      </w:r>
      <w:r>
        <w:rPr>
          <w:color w:val="000000"/>
          <w:sz w:val="32"/>
          <w:szCs w:val="32"/>
          <w:u w:val="none"/>
        </w:rPr>
        <w:t>auto expérimenté</w:t>
      </w:r>
      <w:r>
        <w:rPr>
          <w:color w:val="000000"/>
          <w:sz w:val="32"/>
          <w:szCs w:val="32"/>
          <w:u w:val="none"/>
        </w:rPr>
        <w:t xml:space="preserve"> la cocaïne.</w:t>
      </w:r>
    </w:p>
    <w:p>
      <w:pPr>
        <w:pStyle w:val="Normal"/>
        <w:bidi w:val="0"/>
        <w:jc w:val="left"/>
        <w:rPr>
          <w:color w:val="000000"/>
          <w:sz w:val="32"/>
          <w:szCs w:val="32"/>
          <w:u w:val="none"/>
        </w:rPr>
      </w:pPr>
      <w:r>
        <w:rPr>
          <w:color w:val="000000"/>
          <w:sz w:val="32"/>
          <w:szCs w:val="32"/>
          <w:u w:val="none"/>
        </w:rPr>
        <w:t xml:space="preserve">Cury a </w:t>
      </w:r>
      <w:r>
        <w:rPr>
          <w:color w:val="000000"/>
          <w:sz w:val="32"/>
          <w:szCs w:val="32"/>
          <w:u w:val="none"/>
        </w:rPr>
        <w:t>auto expérimenté</w:t>
      </w:r>
      <w:r>
        <w:rPr>
          <w:color w:val="000000"/>
          <w:sz w:val="32"/>
          <w:szCs w:val="32"/>
          <w:u w:val="none"/>
        </w:rPr>
        <w:t xml:space="preserve"> les effets de sels de radium</w:t>
      </w:r>
    </w:p>
    <w:p>
      <w:pPr>
        <w:pStyle w:val="Normal"/>
        <w:bidi w:val="0"/>
        <w:jc w:val="left"/>
        <w:rPr>
          <w:color w:val="000000"/>
          <w:sz w:val="32"/>
          <w:szCs w:val="32"/>
          <w:u w:val="none"/>
        </w:rPr>
      </w:pPr>
      <w:r>
        <w:rPr>
          <w:color w:val="000000"/>
          <w:sz w:val="32"/>
          <w:szCs w:val="32"/>
          <w:u w:val="none"/>
        </w:rPr>
        <w:t xml:space="preserve">Fortzman a </w:t>
      </w:r>
      <w:r>
        <w:rPr>
          <w:color w:val="000000"/>
          <w:sz w:val="32"/>
          <w:szCs w:val="32"/>
          <w:u w:val="none"/>
        </w:rPr>
        <w:t>auto-expérimenté</w:t>
      </w:r>
      <w:r>
        <w:rPr>
          <w:color w:val="000000"/>
          <w:sz w:val="32"/>
          <w:szCs w:val="32"/>
          <w:u w:val="none"/>
        </w:rPr>
        <w:t xml:space="preserve"> un catheter intracardiaque</w:t>
      </w:r>
    </w:p>
    <w:p>
      <w:pPr>
        <w:pStyle w:val="Normal"/>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digitaline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none"/>
        </w:rPr>
      </w:pPr>
      <w:r>
        <w:rPr>
          <w:color w:val="000000"/>
          <w:sz w:val="32"/>
          <w:szCs w:val="32"/>
          <w:u w:val="none"/>
        </w:rPr>
        <w:t>Charles Nicole, médecin français écrit, en 1934 : « la recherche scientifique est en quelque sorte un jeu, tout jeu a ses règles. Il ne s’agit point d’arriver par quelques procédés que ce soit au but le premier . Il s’agit de remplir les conditions du jeu. Or celles ci sont aussi simple que formelles...Le vrai péril c’est qu’une fois entrer dans le chemin de l’expérimentation on s’est où s’arrêtait.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pose des problèmes dans la construction du canal de Panama. Johan Finley </w:t>
      </w:r>
      <w:r>
        <w:rPr>
          <w:color w:val="000000"/>
          <w:sz w:val="32"/>
          <w:szCs w:val="32"/>
          <w:u w:val="none"/>
        </w:rPr>
        <w:t>inocule</w:t>
      </w:r>
      <w:r>
        <w:rPr>
          <w:color w:val="000000"/>
          <w:sz w:val="32"/>
          <w:szCs w:val="32"/>
          <w:u w:val="none"/>
        </w:rPr>
        <w:t xml:space="preserve"> la fièvre jaune à des soldats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des moustiques.</w:t>
      </w:r>
    </w:p>
    <w:p>
      <w:pPr>
        <w:pStyle w:val="Normal"/>
        <w:bidi w:val="0"/>
        <w:jc w:val="left"/>
        <w:rPr>
          <w:color w:val="000000"/>
          <w:sz w:val="32"/>
          <w:szCs w:val="32"/>
          <w:u w:val="none"/>
        </w:rPr>
      </w:pP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ces exemples historiques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de respecter la vie, de faire une évaluation minutieuse des préjudices humains en cas d’expérimentation de produit nouveaux, de prendre l’accord du patient en prenant des précautions particulières si il est mineur, de faire une </w:t>
      </w:r>
      <w:r>
        <w:rPr>
          <w:color w:val="000000"/>
          <w:sz w:val="32"/>
          <w:szCs w:val="32"/>
          <w:u w:val="none"/>
        </w:rPr>
        <w:t>expérimentation</w:t>
      </w:r>
      <w:r>
        <w:rPr>
          <w:color w:val="000000"/>
          <w:sz w:val="32"/>
          <w:szCs w:val="32"/>
          <w:u w:val="none"/>
        </w:rPr>
        <w:t xml:space="preserve"> sur l’animal préalable, et de ne pas prendre avantage de l’infériorité social du patient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En </w:t>
      </w:r>
      <w:r>
        <w:rPr>
          <w:color w:val="000000"/>
          <w:sz w:val="32"/>
          <w:szCs w:val="32"/>
          <w:u w:val="none"/>
        </w:rPr>
        <w:t xml:space="preserve">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Guérin</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Offtack est condamné pour </w:t>
      </w:r>
      <w:r>
        <w:rPr>
          <w:color w:val="000000"/>
          <w:sz w:val="32"/>
          <w:szCs w:val="32"/>
          <w:u w:val="none"/>
        </w:rPr>
        <w:t>meurtre</w:t>
      </w:r>
      <w:r>
        <w:rPr>
          <w:color w:val="000000"/>
          <w:sz w:val="32"/>
          <w:szCs w:val="32"/>
          <w:u w:val="none"/>
        </w:rPr>
        <w:t>, vous avez fait l’erreur d’utiliser ce vaccin directement sur l’homme, sans essai préalable chez l’animal, et sans suivi précautionneux des enfants traités. c’est en Allemagne.</w:t>
      </w:r>
    </w:p>
    <w:p>
      <w:pPr>
        <w:pStyle w:val="Normal"/>
        <w:bidi w:val="0"/>
        <w:jc w:val="left"/>
        <w:rPr>
          <w:color w:val="000000"/>
          <w:sz w:val="32"/>
          <w:szCs w:val="32"/>
        </w:rPr>
      </w:pPr>
      <w:r>
        <w:rPr>
          <w:color w:val="000000"/>
          <w:sz w:val="32"/>
          <w:szCs w:val="32"/>
        </w:rPr>
      </w:r>
    </w:p>
    <w:p>
      <w:pPr>
        <w:pStyle w:val="Normal"/>
        <w:bidi w:val="0"/>
        <w:jc w:val="left"/>
        <w:rPr>
          <w:color w:val="000000"/>
          <w:sz w:val="32"/>
          <w:szCs w:val="32"/>
          <w:u w:val="single"/>
        </w:rPr>
      </w:pPr>
      <w:r>
        <w:rPr>
          <w:color w:val="000000"/>
          <w:sz w:val="32"/>
          <w:szCs w:val="32"/>
          <w:u w:val="single"/>
        </w:rPr>
        <w:t>L’eugénisme :</w:t>
      </w:r>
    </w:p>
    <w:p>
      <w:pPr>
        <w:pStyle w:val="Normal"/>
        <w:bidi w:val="0"/>
        <w:jc w:val="left"/>
        <w:rPr>
          <w:color w:val="000000"/>
          <w:sz w:val="32"/>
          <w:szCs w:val="32"/>
        </w:rPr>
      </w:pPr>
      <w:r>
        <w:rPr>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w:t>
      </w:r>
      <w:r>
        <w:rPr>
          <w:i w:val="false"/>
          <w:iCs w:val="false"/>
          <w:color w:val="000000"/>
          <w:sz w:val="32"/>
          <w:szCs w:val="32"/>
        </w:rPr>
        <w:t xml:space="preserve">mathématicien, </w:t>
      </w:r>
      <w:r>
        <w:rPr>
          <w:i w:val="false"/>
          <w:iCs w:val="false"/>
          <w:color w:val="000000"/>
          <w:sz w:val="32"/>
          <w:szCs w:val="32"/>
        </w:rPr>
        <w:t xml:space="preserve">cousin de Darwin, </w:t>
      </w:r>
      <w:r>
        <w:rPr>
          <w:i w:val="false"/>
          <w:iCs w:val="false"/>
          <w:color w:val="000000"/>
          <w:sz w:val="32"/>
          <w:szCs w:val="32"/>
        </w:rPr>
        <w:t>invente</w:t>
      </w:r>
      <w:r>
        <w:rPr>
          <w:i w:val="false"/>
          <w:iCs w:val="false"/>
          <w:color w:val="000000"/>
          <w:sz w:val="32"/>
          <w:szCs w:val="32"/>
        </w:rPr>
        <w:t xml:space="preserve"> l’eugénisme.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L’eugénisme est une science de l’amélioration de la lignée, qui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b w:val="false"/>
          <w:i w:val="false"/>
          <w:iCs w:val="false"/>
          <w:color w:val="000000"/>
          <w:spacing w:val="0"/>
          <w:sz w:val="32"/>
          <w:szCs w:val="32"/>
        </w:rPr>
        <w:t xml:space="preserve">Il publie, </w:t>
      </w:r>
      <w:r>
        <w:rPr>
          <w:b w:val="false"/>
          <w:i w:val="false"/>
          <w:iCs w:val="false"/>
          <w:color w:val="000000"/>
          <w:spacing w:val="0"/>
          <w:sz w:val="32"/>
          <w:szCs w:val="32"/>
        </w:rPr>
        <w:t>L’intelligence héréditaire</w:t>
      </w:r>
      <w:r>
        <w:rPr>
          <w:b w:val="false"/>
          <w:i w:val="false"/>
          <w:iCs w:val="false"/>
          <w:caps w:val="false"/>
          <w:smallCaps w:val="false"/>
          <w:color w:val="000000"/>
          <w:spacing w:val="0"/>
          <w:sz w:val="32"/>
          <w:szCs w:val="32"/>
        </w:rPr>
        <w:t>, la raison de ses travaux étant de montrer qu'une partie au moins de celle-ci est héréditaire, et d’en tirer des conclusions pour l’amélioration de l’espèce humaine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Charles Rich</w:t>
      </w:r>
      <w:r>
        <w:rPr>
          <w:color w:val="000000"/>
          <w:sz w:val="32"/>
          <w:szCs w:val="32"/>
        </w:rPr>
        <w:t>et, prix noble de médecine de 1913, pour sa découverte de l’anaphylaxie</w:t>
      </w:r>
      <w:r>
        <w:rPr>
          <w:color w:val="000000"/>
          <w:sz w:val="32"/>
          <w:szCs w:val="32"/>
        </w:rPr>
        <w:t xml:space="preserve"> :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w:t>
      </w:r>
      <w:r>
        <w:rPr>
          <w:color w:val="000000"/>
          <w:sz w:val="32"/>
          <w:szCs w:val="32"/>
        </w:rPr>
        <w:t>F</w:t>
      </w:r>
      <w:r>
        <w:rPr>
          <w:color w:val="000000"/>
          <w:sz w:val="32"/>
          <w:szCs w:val="32"/>
        </w:rPr>
        <w:t xml:space="preserve">rance, l’eugénisme ne prend </w:t>
      </w:r>
      <w:r>
        <w:rPr>
          <w:color w:val="000000"/>
          <w:sz w:val="32"/>
          <w:szCs w:val="32"/>
        </w:rPr>
        <w:t>cependant</w:t>
      </w:r>
      <w:r>
        <w:rPr>
          <w:color w:val="000000"/>
          <w:sz w:val="32"/>
          <w:szCs w:val="32"/>
        </w:rPr>
        <w:t xml:space="preserve"> pas. Les français reste pour l’essentiel lamarc</w:t>
      </w:r>
      <w:r>
        <w:rPr>
          <w:color w:val="000000"/>
          <w:sz w:val="32"/>
          <w:szCs w:val="32"/>
        </w:rPr>
        <w:t>k</w:t>
      </w:r>
      <w:r>
        <w:rPr>
          <w:color w:val="000000"/>
          <w:sz w:val="32"/>
          <w:szCs w:val="32"/>
        </w:rPr>
        <w:t>ien.</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procès se veut parfaitement équitable. On est loin des procès bâclé que l’on réalisera en France après la libération.</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accusés sont 20 médecins, et 3 administratifs nazis. </w:t>
      </w:r>
    </w:p>
    <w:p>
      <w:pPr>
        <w:pStyle w:val="Normal"/>
        <w:bidi w:val="0"/>
        <w:jc w:val="left"/>
        <w:rPr>
          <w:color w:val="000000"/>
          <w:sz w:val="32"/>
          <w:szCs w:val="32"/>
          <w:u w:val="none"/>
        </w:rPr>
      </w:pPr>
      <w:r>
        <w:rPr>
          <w:color w:val="000000"/>
          <w:sz w:val="32"/>
          <w:szCs w:val="32"/>
          <w:u w:val="none"/>
        </w:rPr>
        <w:t xml:space="preserve">Le plus jeune a 35 ans et le plus agé à 65 ans. </w:t>
      </w:r>
    </w:p>
    <w:p>
      <w:pPr>
        <w:pStyle w:val="Normal"/>
        <w:bidi w:val="0"/>
        <w:jc w:val="left"/>
        <w:rPr>
          <w:color w:val="000000"/>
          <w:sz w:val="32"/>
          <w:szCs w:val="32"/>
          <w:u w:val="none"/>
        </w:rPr>
      </w:pPr>
      <w:r>
        <w:rPr>
          <w:color w:val="000000"/>
          <w:sz w:val="32"/>
          <w:szCs w:val="32"/>
          <w:u w:val="none"/>
        </w:rPr>
        <w:t>Une seule femme est présente parmi les accusés.</w:t>
      </w:r>
    </w:p>
    <w:p>
      <w:pPr>
        <w:pStyle w:val="Normal"/>
        <w:bidi w:val="0"/>
        <w:jc w:val="left"/>
        <w:rPr>
          <w:color w:val="000000"/>
          <w:sz w:val="32"/>
          <w:szCs w:val="32"/>
          <w:u w:val="none"/>
        </w:rPr>
      </w:pPr>
      <w:r>
        <w:rPr>
          <w:color w:val="000000"/>
          <w:sz w:val="32"/>
          <w:szCs w:val="32"/>
          <w:u w:val="none"/>
        </w:rPr>
        <w:t xml:space="preserve">Tous ne sont pas SS. </w:t>
      </w:r>
    </w:p>
    <w:p>
      <w:pPr>
        <w:pStyle w:val="Normal"/>
        <w:bidi w:val="0"/>
        <w:jc w:val="left"/>
        <w:rPr>
          <w:color w:val="000000"/>
          <w:sz w:val="32"/>
          <w:szCs w:val="32"/>
          <w:u w:val="none"/>
        </w:rPr>
      </w:pPr>
      <w:r>
        <w:rPr>
          <w:color w:val="000000"/>
          <w:sz w:val="32"/>
          <w:szCs w:val="32"/>
          <w:u w:val="none"/>
        </w:rPr>
        <w:t>Tous ne sont pas membre du partir nazie. La plupart ont adhéré au parti après 1933.</w:t>
      </w:r>
    </w:p>
    <w:p>
      <w:pPr>
        <w:pStyle w:val="Normal"/>
        <w:bidi w:val="0"/>
        <w:jc w:val="left"/>
        <w:rPr>
          <w:color w:val="000000"/>
          <w:sz w:val="32"/>
          <w:szCs w:val="32"/>
          <w:u w:val="none"/>
        </w:rPr>
      </w:pPr>
      <w:r>
        <w:rPr>
          <w:color w:val="000000"/>
          <w:sz w:val="32"/>
          <w:szCs w:val="32"/>
          <w:u w:val="none"/>
        </w:rPr>
        <w:t>Ce sont pour la plupart des médecins de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16" w:name="firstHeading1"/>
      <w:bookmarkEnd w:id="16"/>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17" w:name="cite_ref-1"/>
      <w:bookmarkEnd w:id="17"/>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4"/>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4"/>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5"/>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5"/>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18" w:name="__RefHeading___Toc5583_2654796477"/>
      <w:bookmarkEnd w:id="18"/>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Liberation Serif">
    <w:altName w:val="Times New Roman"/>
    <w:charset w:val="01"/>
    <w:family w:val="roman"/>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hanging="0"/>
    </w:pPr>
    <w:rPr/>
  </w:style>
  <w:style w:type="paragraph" w:styleId="Contents5">
    <w:name w:val="TOC 5"/>
    <w:basedOn w:val="Index"/>
    <w:pPr>
      <w:tabs>
        <w:tab w:val="clear" w:pos="709"/>
        <w:tab w:val="right" w:pos="963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3075</TotalTime>
  <Application>LibreOffice/6.3.5.2$Linux_X86_64 LibreOffice_project/30$Build-2</Application>
  <Pages>85</Pages>
  <Words>22328</Words>
  <Characters>116801</Characters>
  <CharactersWithSpaces>138207</CharactersWithSpaces>
  <Paragraphs>1239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2020-04-13T17:58:58Z</dcterms:modified>
  <cp:revision>36</cp:revision>
  <dc:subject/>
  <dc:title/>
</cp:coreProperties>
</file>