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3</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6</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11</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15</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16</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17</w:t>
            </w:r>
          </w:hyperlink>
        </w:p>
        <w:p>
          <w:pPr>
            <w:pStyle w:val="Contents5"/>
            <w:tabs>
              <w:tab w:val="right" w:pos="9638" w:leader="dot"/>
            </w:tabs>
            <w:bidi w:val="0"/>
            <w:jc w:val="left"/>
            <w:rPr/>
          </w:pPr>
          <w:hyperlink w:anchor="__RefHeading___Toc5958_2320769840">
            <w:r>
              <w:rPr>
                <w:rStyle w:val="IndexLink"/>
              </w:rPr>
              <w:t>Etats Unis :</w:t>
              <w:tab/>
              <w:t>18</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19</w:t>
            </w:r>
          </w:hyperlink>
        </w:p>
        <w:p>
          <w:pPr>
            <w:pStyle w:val="Contents4"/>
            <w:tabs>
              <w:tab w:val="right" w:pos="9638" w:leader="dot"/>
            </w:tabs>
            <w:bidi w:val="0"/>
            <w:jc w:val="left"/>
            <w:rPr/>
          </w:pPr>
          <w:hyperlink w:anchor="__RefHeading___Toc5985_390686212">
            <w:r>
              <w:rPr>
                <w:rStyle w:val="IndexLink"/>
              </w:rPr>
              <w:t>Les peines :</w:t>
              <w:tab/>
              <w:t>21</w:t>
            </w:r>
          </w:hyperlink>
        </w:p>
        <w:p>
          <w:pPr>
            <w:pStyle w:val="Contents4"/>
            <w:tabs>
              <w:tab w:val="right" w:pos="9638" w:leader="dot"/>
            </w:tabs>
            <w:bidi w:val="0"/>
            <w:jc w:val="left"/>
            <w:rPr/>
          </w:pPr>
          <w:hyperlink w:anchor="__RefHeading___Toc5987_390686212">
            <w:r>
              <w:rPr>
                <w:rStyle w:val="IndexLink"/>
              </w:rPr>
              <w:t>Les arguments de la défense :</w:t>
              <w:tab/>
              <w:t>21</w:t>
            </w:r>
          </w:hyperlink>
        </w:p>
        <w:p>
          <w:pPr>
            <w:pStyle w:val="Contents4"/>
            <w:tabs>
              <w:tab w:val="right" w:pos="9638" w:leader="dot"/>
            </w:tabs>
            <w:bidi w:val="0"/>
            <w:jc w:val="left"/>
            <w:rPr/>
          </w:pPr>
          <w:hyperlink w:anchor="__RefHeading___Toc5989_390686212">
            <w:r>
              <w:rPr>
                <w:rStyle w:val="IndexLink"/>
              </w:rPr>
              <w:t>Les arguments de l’accusation :</w:t>
              <w:tab/>
              <w:t>23</w:t>
            </w:r>
          </w:hyperlink>
        </w:p>
        <w:p>
          <w:pPr>
            <w:pStyle w:val="Contents3"/>
            <w:tabs>
              <w:tab w:val="right" w:pos="9638" w:leader="dot"/>
            </w:tabs>
            <w:bidi w:val="0"/>
            <w:jc w:val="left"/>
            <w:rPr/>
          </w:pPr>
          <w:hyperlink w:anchor="__RefHeading___Toc5991_390686212">
            <w:r>
              <w:rPr>
                <w:rStyle w:val="IndexLink"/>
              </w:rPr>
              <w:t>Le code de Nuremberg :</w:t>
              <w:tab/>
              <w:t>25</w:t>
            </w:r>
          </w:hyperlink>
        </w:p>
        <w:p>
          <w:pPr>
            <w:pStyle w:val="Contents3"/>
            <w:tabs>
              <w:tab w:val="right" w:pos="9638" w:leader="dot"/>
            </w:tabs>
            <w:bidi w:val="0"/>
            <w:jc w:val="left"/>
            <w:rPr/>
          </w:pPr>
          <w:hyperlink w:anchor="__RefHeading___Toc6072_2280859944">
            <w:r>
              <w:rPr>
                <w:rStyle w:val="IndexLink"/>
              </w:rPr>
              <w:t>Conclusion :</w:t>
              <w:tab/>
              <w:t>28</w:t>
            </w:r>
          </w:hyperlink>
        </w:p>
        <w:p>
          <w:pPr>
            <w:pStyle w:val="Contents3"/>
            <w:tabs>
              <w:tab w:val="right" w:pos="9638" w:leader="dot"/>
            </w:tabs>
            <w:bidi w:val="0"/>
            <w:jc w:val="left"/>
            <w:rPr/>
          </w:pPr>
          <w:hyperlink w:anchor="__RefHeading___Toc6064_2280859944">
            <w:r>
              <w:rPr>
                <w:rStyle w:val="IndexLink"/>
              </w:rPr>
              <w:t>Ethique et progrés techniques :</w:t>
              <w:tab/>
              <w:t>29</w:t>
            </w:r>
          </w:hyperlink>
        </w:p>
        <w:p>
          <w:pPr>
            <w:pStyle w:val="Contents4"/>
            <w:tabs>
              <w:tab w:val="right" w:pos="9638" w:leader="dot"/>
            </w:tabs>
            <w:bidi w:val="0"/>
            <w:jc w:val="left"/>
            <w:rPr/>
          </w:pPr>
          <w:hyperlink w:anchor="__RefHeading___Toc6066_2280859944">
            <w:r>
              <w:rPr>
                <w:rStyle w:val="IndexLink"/>
              </w:rPr>
              <w:t>Apparition de la biomédecine :</w:t>
              <w:tab/>
              <w:t>29</w:t>
            </w:r>
          </w:hyperlink>
        </w:p>
        <w:p>
          <w:pPr>
            <w:pStyle w:val="Contents5"/>
            <w:tabs>
              <w:tab w:val="right" w:pos="9638" w:leader="dot"/>
            </w:tabs>
            <w:bidi w:val="0"/>
            <w:jc w:val="left"/>
            <w:rPr/>
          </w:pPr>
          <w:hyperlink w:anchor="__RefHeading___Toc6068_2280859944">
            <w:r>
              <w:rPr>
                <w:rStyle w:val="IndexLink"/>
              </w:rPr>
              <w:t>Exemple des progrès de la biomédecine : L’implant cochléaire</w:t>
              <w:tab/>
              <w:t>30</w:t>
            </w:r>
          </w:hyperlink>
        </w:p>
        <w:p>
          <w:pPr>
            <w:pStyle w:val="Contents2"/>
            <w:tabs>
              <w:tab w:val="right" w:pos="9638" w:leader="dot"/>
            </w:tabs>
            <w:bidi w:val="0"/>
            <w:jc w:val="left"/>
            <w:rPr/>
          </w:pPr>
          <w:hyperlink w:anchor="__RefHeading___Toc6070_2280859944">
            <w:r>
              <w:rPr>
                <w:rStyle w:val="IndexLink"/>
              </w:rPr>
              <w:t>Conséquentialisme et déontologisme</w:t>
              <w:tab/>
              <w:t>31</w:t>
            </w:r>
          </w:hyperlink>
        </w:p>
        <w:p>
          <w:pPr>
            <w:pStyle w:val="Contents3"/>
            <w:tabs>
              <w:tab w:val="right" w:pos="9638" w:leader="dot"/>
            </w:tabs>
            <w:bidi w:val="0"/>
            <w:jc w:val="left"/>
            <w:rPr/>
          </w:pPr>
          <w:hyperlink w:anchor="__RefHeading___Toc6128_2197333099">
            <w:r>
              <w:rPr>
                <w:rStyle w:val="IndexLink"/>
              </w:rPr>
              <w:t>Le déontologisme :</w:t>
              <w:tab/>
              <w:t>32</w:t>
            </w:r>
          </w:hyperlink>
        </w:p>
        <w:p>
          <w:pPr>
            <w:pStyle w:val="Contents4"/>
            <w:tabs>
              <w:tab w:val="right" w:pos="9638" w:leader="dot"/>
            </w:tabs>
            <w:bidi w:val="0"/>
            <w:jc w:val="left"/>
            <w:rPr/>
          </w:pPr>
          <w:hyperlink w:anchor="__RefHeading___Toc6130_2197333099">
            <w:r>
              <w:rPr>
                <w:rStyle w:val="IndexLink"/>
              </w:rPr>
              <w:t>Kant :</w:t>
              <w:tab/>
              <w:t>32</w:t>
            </w:r>
          </w:hyperlink>
        </w:p>
        <w:p>
          <w:pPr>
            <w:pStyle w:val="Contents5"/>
            <w:tabs>
              <w:tab w:val="right" w:pos="9638" w:leader="dot"/>
            </w:tabs>
            <w:bidi w:val="0"/>
            <w:jc w:val="left"/>
            <w:rPr/>
          </w:pPr>
          <w:hyperlink w:anchor="__RefHeading___Toc6132_2197333099">
            <w:r>
              <w:rPr>
                <w:rStyle w:val="IndexLink"/>
              </w:rPr>
              <w:t>La rupture cosmologico-éthique :</w:t>
              <w:tab/>
              <w:t>33</w:t>
            </w:r>
          </w:hyperlink>
        </w:p>
        <w:p>
          <w:pPr>
            <w:pStyle w:val="Contents5"/>
            <w:tabs>
              <w:tab w:val="right" w:pos="9638" w:leader="dot"/>
            </w:tabs>
            <w:bidi w:val="0"/>
            <w:jc w:val="left"/>
            <w:rPr/>
          </w:pPr>
          <w:hyperlink w:anchor="__RefHeading___Toc6134_2197333099">
            <w:r>
              <w:rPr>
                <w:rStyle w:val="IndexLink"/>
              </w:rPr>
              <w:t>La rupture théologico-éthique :</w:t>
              <w:tab/>
              <w:t>34</w:t>
            </w:r>
          </w:hyperlink>
        </w:p>
        <w:p>
          <w:pPr>
            <w:pStyle w:val="Contents3"/>
            <w:tabs>
              <w:tab w:val="right" w:pos="9638" w:leader="dot"/>
            </w:tabs>
            <w:bidi w:val="0"/>
            <w:jc w:val="left"/>
            <w:rPr/>
          </w:pPr>
          <w:hyperlink w:anchor="__RefHeading___Toc5583_2654796477">
            <w:r>
              <w:rPr>
                <w:rStyle w:val="IndexLink"/>
              </w:rPr>
              <w:t>Une confiance propre à chaque relation</w:t>
              <w:tab/>
              <w:t>63</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13"/>
        </w:numPr>
        <w:bidi w:val="0"/>
        <w:jc w:val="left"/>
        <w:rPr>
          <w:color w:val="000000"/>
          <w:sz w:val="32"/>
          <w:szCs w:val="32"/>
          <w:u w:val="single"/>
        </w:rPr>
      </w:pPr>
      <w:r>
        <w:rPr>
          <w:b w:val="false"/>
          <w:i w:val="false"/>
          <w:caps w:val="false"/>
          <w:smallCaps w:val="false"/>
          <w:color w:val="323232"/>
          <w:spacing w:val="0"/>
          <w:sz w:val="32"/>
          <w:szCs w:val="32"/>
          <w:u w:val="none"/>
        </w:rPr>
        <w:t>Le déontologisme</w:t>
      </w:r>
    </w:p>
    <w:p>
      <w:pPr>
        <w:pStyle w:val="Normal"/>
        <w:numPr>
          <w:ilvl w:val="0"/>
          <w:numId w:val="13"/>
        </w:numPr>
        <w:bidi w:val="0"/>
        <w:jc w:val="left"/>
        <w:rPr>
          <w:color w:val="000000"/>
          <w:sz w:val="32"/>
          <w:szCs w:val="32"/>
          <w:u w:val="singl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color w:val="000000"/>
          <w:sz w:val="32"/>
          <w:szCs w:val="32"/>
          <w:u w:val="singl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28_219733309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30_219733309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32_219733309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Dans </w:t>
      </w:r>
      <w:r>
        <w:rPr>
          <w:i/>
          <w:iCs/>
          <w:color w:val="000000"/>
          <w:sz w:val="32"/>
          <w:szCs w:val="32"/>
          <w:u w:val="none"/>
        </w:rPr>
        <w:t>la République,</w:t>
      </w:r>
      <w:r>
        <w:rPr>
          <w:color w:val="000000"/>
          <w:sz w:val="32"/>
          <w:szCs w:val="32"/>
          <w:u w:val="none"/>
        </w:rPr>
        <w:t xml:space="preserv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Par exemple, l</w:t>
      </w:r>
      <w:r>
        <w:rPr>
          <w:b w:val="false"/>
          <w:i w:val="false"/>
          <w:caps w:val="false"/>
          <w:smallCaps w:val="false"/>
          <w:color w:val="000000"/>
          <w:spacing w:val="0"/>
          <w:sz w:val="32"/>
          <w:szCs w:val="32"/>
        </w:rPr>
        <w:t>’œil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Ou encore, l</w:t>
      </w:r>
      <w:r>
        <w:rPr>
          <w:b w:val="false"/>
          <w:i w:val="false"/>
          <w:caps w:val="false"/>
          <w:smallCaps w:val="false"/>
          <w:color w:val="000000"/>
          <w:spacing w:val="0"/>
          <w:sz w:val="32"/>
          <w:szCs w:val="32"/>
        </w:rPr>
        <w:t>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 xml:space="preserve">établit à la naissance.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mais ces dons de la nature peuvent devenir aussi extrêmement mauvais et funestes si la volonté qui doit en faire usage, et dont les dispositions propres s'appellent pour cela caractère, n'est point bonne.»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par exemple dans la parabole des talents selon St Mathieu.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L’idée d’égalité découle naturellement de l’éthique kantienne. Pour Kant, </w:t>
      </w:r>
      <w:r>
        <w:rPr>
          <w:b w:val="false"/>
          <w:i w:val="false"/>
          <w:caps w:val="false"/>
          <w:smallCaps w:val="false"/>
          <w:color w:val="000000"/>
          <w:spacing w:val="0"/>
          <w:sz w:val="32"/>
          <w:szCs w:val="32"/>
        </w:rPr>
        <w:t>Le talent</w:t>
      </w:r>
      <w:r>
        <w:rPr>
          <w:b w:val="false"/>
          <w:i w:val="false"/>
          <w:caps w:val="false"/>
          <w:smallCaps w:val="false"/>
          <w:color w:val="000000"/>
          <w:spacing w:val="0"/>
          <w:sz w:val="32"/>
          <w:szCs w:val="32"/>
        </w:rPr>
        <w:t xml:space="preserv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34_219733309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9"/>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9"/>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10"/>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10"/>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1"/>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1"/>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49" w:name="__RefHeading___Toc5583_2654796477"/>
      <w:bookmarkEnd w:id="49"/>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3150</TotalTime>
  <Application>LibreOffice/6.3.5.2$Linux_X86_64 LibreOffice_project/30$Build-2</Application>
  <Pages>88</Pages>
  <Words>22873</Words>
  <Characters>120354</Characters>
  <CharactersWithSpaces>142234</CharactersWithSpaces>
  <Paragraphs>1286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2020-04-21T19:44:03Z</dcterms:modified>
  <cp:revision>54</cp:revision>
  <dc:subject/>
  <dc:title/>
</cp:coreProperties>
</file>