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4</w:t>
            </w:r>
          </w:hyperlink>
        </w:p>
        <w:p>
          <w:pPr>
            <w:pStyle w:val="Contents1"/>
            <w:tabs>
              <w:tab w:val="right" w:pos="9638" w:leader="dot"/>
            </w:tabs>
            <w:bidi w:val="0"/>
            <w:jc w:val="left"/>
            <w:rPr/>
          </w:pPr>
          <w:hyperlink w:anchor="__RefHeading___Toc5589_2654796477">
            <w:r>
              <w:rPr>
                <w:rStyle w:val="IndexLink"/>
              </w:rPr>
              <w:t>La bioéthique :</w:t>
              <w:tab/>
              <w:t>4</w:t>
            </w:r>
          </w:hyperlink>
        </w:p>
        <w:p>
          <w:pPr>
            <w:pStyle w:val="Contents2"/>
            <w:tabs>
              <w:tab w:val="right" w:pos="9638" w:leader="dot"/>
            </w:tabs>
            <w:bidi w:val="0"/>
            <w:jc w:val="left"/>
            <w:rPr/>
          </w:pPr>
          <w:hyperlink w:anchor="__RefHeading___Toc5591_2654796477">
            <w:r>
              <w:rPr>
                <w:rStyle w:val="IndexLink"/>
              </w:rPr>
              <w:t>Définition :</w:t>
              <w:tab/>
              <w:t>5</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5</w:t>
            </w:r>
          </w:hyperlink>
        </w:p>
        <w:p>
          <w:pPr>
            <w:pStyle w:val="Contents4"/>
            <w:tabs>
              <w:tab w:val="right" w:pos="9638" w:leader="dot"/>
            </w:tabs>
            <w:bidi w:val="0"/>
            <w:jc w:val="left"/>
            <w:rPr/>
          </w:pPr>
          <w:hyperlink w:anchor="__RefHeading___Toc5738_3562927657">
            <w:r>
              <w:rPr>
                <w:rStyle w:val="IndexLink"/>
              </w:rPr>
              <w:t>Premières expérimentations médicales :</w:t>
              <w:tab/>
              <w:t>5</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7</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8</w:t>
            </w:r>
          </w:hyperlink>
        </w:p>
        <w:p>
          <w:pPr>
            <w:pStyle w:val="Contents5"/>
            <w:tabs>
              <w:tab w:val="right" w:pos="9638" w:leader="dot"/>
            </w:tabs>
            <w:bidi w:val="0"/>
            <w:jc w:val="left"/>
            <w:rPr/>
          </w:pPr>
          <w:hyperlink w:anchor="__RefHeading___Toc5749_3562927657">
            <w:r>
              <w:rPr>
                <w:rStyle w:val="IndexLink"/>
              </w:rPr>
              <w:t>Vésale  et Ambroise Paré ::</w:t>
              <w:tab/>
              <w:t>8</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10</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12</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15</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16</w:t>
            </w:r>
          </w:hyperlink>
        </w:p>
        <w:p>
          <w:pPr>
            <w:pStyle w:val="Contents4"/>
            <w:tabs>
              <w:tab w:val="right" w:pos="9638" w:leader="dot"/>
            </w:tabs>
            <w:bidi w:val="0"/>
            <w:jc w:val="left"/>
            <w:rPr/>
          </w:pPr>
          <w:hyperlink w:anchor="__RefHeading___Toc5832_2309800995">
            <w:r>
              <w:rPr>
                <w:rStyle w:val="IndexLink"/>
              </w:rPr>
              <w:t>L’Allemagne d’avant guerre :</w:t>
              <w:tab/>
              <w:t>16</w:t>
            </w:r>
          </w:hyperlink>
        </w:p>
        <w:p>
          <w:pPr>
            <w:pStyle w:val="Contents4"/>
            <w:tabs>
              <w:tab w:val="right" w:pos="9638" w:leader="dot"/>
            </w:tabs>
            <w:bidi w:val="0"/>
            <w:jc w:val="left"/>
            <w:rPr/>
          </w:pPr>
          <w:hyperlink w:anchor="__RefHeading___Toc5834_2309800995">
            <w:r>
              <w:rPr>
                <w:rStyle w:val="IndexLink"/>
              </w:rPr>
              <w:t>L’eugénisme :</w:t>
              <w:tab/>
              <w:t>17</w:t>
            </w:r>
          </w:hyperlink>
        </w:p>
        <w:p>
          <w:pPr>
            <w:pStyle w:val="Contents5"/>
            <w:tabs>
              <w:tab w:val="right" w:pos="9638" w:leader="dot"/>
            </w:tabs>
            <w:bidi w:val="0"/>
            <w:jc w:val="left"/>
            <w:rPr/>
          </w:pPr>
          <w:hyperlink w:anchor="__RefHeading___Toc5954_2320769840">
            <w:r>
              <w:rPr>
                <w:rStyle w:val="IndexLink"/>
              </w:rPr>
              <w:t>Origine :</w:t>
              <w:tab/>
              <w:t>17</w:t>
            </w:r>
          </w:hyperlink>
        </w:p>
        <w:p>
          <w:pPr>
            <w:pStyle w:val="Contents5"/>
            <w:tabs>
              <w:tab w:val="right" w:pos="9638" w:leader="dot"/>
            </w:tabs>
            <w:bidi w:val="0"/>
            <w:jc w:val="left"/>
            <w:rPr/>
          </w:pPr>
          <w:hyperlink w:anchor="__RefHeading___Toc5956_2320769840">
            <w:r>
              <w:rPr>
                <w:rStyle w:val="IndexLink"/>
              </w:rPr>
              <w:t>France</w:t>
              <w:tab/>
              <w:t>18</w:t>
            </w:r>
          </w:hyperlink>
        </w:p>
        <w:p>
          <w:pPr>
            <w:pStyle w:val="Contents5"/>
            <w:tabs>
              <w:tab w:val="right" w:pos="9638" w:leader="dot"/>
            </w:tabs>
            <w:bidi w:val="0"/>
            <w:jc w:val="left"/>
            <w:rPr/>
          </w:pPr>
          <w:hyperlink w:anchor="__RefHeading___Toc5958_2320769840">
            <w:r>
              <w:rPr>
                <w:rStyle w:val="IndexLink"/>
              </w:rPr>
              <w:t>Etats Unis :</w:t>
              <w:tab/>
              <w:t>19</w:t>
            </w:r>
          </w:hyperlink>
        </w:p>
        <w:p>
          <w:pPr>
            <w:pStyle w:val="Contents5"/>
            <w:tabs>
              <w:tab w:val="right" w:pos="9638" w:leader="dot"/>
            </w:tabs>
            <w:bidi w:val="0"/>
            <w:jc w:val="left"/>
            <w:rPr/>
          </w:pPr>
          <w:hyperlink w:anchor="__RefHeading___Toc5960_2320769840">
            <w:r>
              <w:rPr>
                <w:rStyle w:val="IndexLink"/>
              </w:rPr>
              <w:t>Conclusion :</w:t>
              <w:tab/>
              <w:t>19</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4"/>
            <w:tabs>
              <w:tab w:val="right" w:pos="9638" w:leader="dot"/>
            </w:tabs>
            <w:bidi w:val="0"/>
            <w:jc w:val="left"/>
            <w:rPr/>
          </w:pPr>
          <w:hyperlink w:anchor="__RefHeading___Toc5983_390686212">
            <w:r>
              <w:rPr>
                <w:rStyle w:val="IndexLink"/>
              </w:rPr>
              <w:t>Expérience sur les hautes altitudes :</w:t>
              <w:tab/>
              <w:t>20</w:t>
            </w:r>
          </w:hyperlink>
        </w:p>
        <w:p>
          <w:pPr>
            <w:pStyle w:val="Contents4"/>
            <w:tabs>
              <w:tab w:val="right" w:pos="9638" w:leader="dot"/>
            </w:tabs>
            <w:bidi w:val="0"/>
            <w:jc w:val="left"/>
            <w:rPr/>
          </w:pPr>
          <w:hyperlink w:anchor="__RefHeading___Toc5985_390686212">
            <w:r>
              <w:rPr>
                <w:rStyle w:val="IndexLink"/>
              </w:rPr>
              <w:t>Les peines :</w:t>
              <w:tab/>
              <w:t>21</w:t>
            </w:r>
          </w:hyperlink>
        </w:p>
        <w:p>
          <w:pPr>
            <w:pStyle w:val="Contents4"/>
            <w:tabs>
              <w:tab w:val="right" w:pos="9638" w:leader="dot"/>
            </w:tabs>
            <w:bidi w:val="0"/>
            <w:jc w:val="left"/>
            <w:rPr/>
          </w:pPr>
          <w:hyperlink w:anchor="__RefHeading___Toc5987_390686212">
            <w:r>
              <w:rPr>
                <w:rStyle w:val="IndexLink"/>
              </w:rPr>
              <w:t>Les arguments de la défense :</w:t>
              <w:tab/>
              <w:t>21</w:t>
            </w:r>
          </w:hyperlink>
        </w:p>
        <w:p>
          <w:pPr>
            <w:pStyle w:val="Contents4"/>
            <w:tabs>
              <w:tab w:val="right" w:pos="9638" w:leader="dot"/>
            </w:tabs>
            <w:bidi w:val="0"/>
            <w:jc w:val="left"/>
            <w:rPr/>
          </w:pPr>
          <w:hyperlink w:anchor="__RefHeading___Toc5989_390686212">
            <w:r>
              <w:rPr>
                <w:rStyle w:val="IndexLink"/>
              </w:rPr>
              <w:t>Les arguments de l’accusation :</w:t>
              <w:tab/>
              <w:t>23</w:t>
            </w:r>
          </w:hyperlink>
        </w:p>
        <w:p>
          <w:pPr>
            <w:pStyle w:val="Contents3"/>
            <w:tabs>
              <w:tab w:val="right" w:pos="9638" w:leader="dot"/>
            </w:tabs>
            <w:bidi w:val="0"/>
            <w:jc w:val="left"/>
            <w:rPr/>
          </w:pPr>
          <w:hyperlink w:anchor="__RefHeading___Toc5991_390686212">
            <w:r>
              <w:rPr>
                <w:rStyle w:val="IndexLink"/>
              </w:rPr>
              <w:t>Le code de Nuremberg :</w:t>
              <w:tab/>
              <w:t>25</w:t>
            </w:r>
          </w:hyperlink>
        </w:p>
        <w:p>
          <w:pPr>
            <w:pStyle w:val="Contents3"/>
            <w:tabs>
              <w:tab w:val="right" w:pos="9638" w:leader="dot"/>
            </w:tabs>
            <w:bidi w:val="0"/>
            <w:jc w:val="left"/>
            <w:rPr/>
          </w:pPr>
          <w:hyperlink w:anchor="__RefHeading___Toc6072_2280859944">
            <w:r>
              <w:rPr>
                <w:rStyle w:val="IndexLink"/>
              </w:rPr>
              <w:t>Conclusion :</w:t>
              <w:tab/>
              <w:t>29</w:t>
            </w:r>
          </w:hyperlink>
        </w:p>
        <w:p>
          <w:pPr>
            <w:pStyle w:val="Contents3"/>
            <w:tabs>
              <w:tab w:val="right" w:pos="9638" w:leader="dot"/>
            </w:tabs>
            <w:bidi w:val="0"/>
            <w:jc w:val="left"/>
            <w:rPr/>
          </w:pPr>
          <w:hyperlink w:anchor="__RefHeading___Toc6064_2280859944">
            <w:r>
              <w:rPr>
                <w:rStyle w:val="IndexLink"/>
              </w:rPr>
              <w:t>Ethique et progrés techniques :</w:t>
              <w:tab/>
              <w:t>29</w:t>
            </w:r>
          </w:hyperlink>
        </w:p>
        <w:p>
          <w:pPr>
            <w:pStyle w:val="Contents4"/>
            <w:tabs>
              <w:tab w:val="right" w:pos="9638" w:leader="dot"/>
            </w:tabs>
            <w:bidi w:val="0"/>
            <w:jc w:val="left"/>
            <w:rPr/>
          </w:pPr>
          <w:hyperlink w:anchor="__RefHeading___Toc6066_2280859944">
            <w:r>
              <w:rPr>
                <w:rStyle w:val="IndexLink"/>
              </w:rPr>
              <w:t>Apparition de la biomédecine :</w:t>
              <w:tab/>
              <w:t>29</w:t>
            </w:r>
          </w:hyperlink>
        </w:p>
        <w:p>
          <w:pPr>
            <w:pStyle w:val="Contents5"/>
            <w:tabs>
              <w:tab w:val="right" w:pos="9638" w:leader="dot"/>
            </w:tabs>
            <w:bidi w:val="0"/>
            <w:jc w:val="left"/>
            <w:rPr/>
          </w:pPr>
          <w:hyperlink w:anchor="__RefHeading___Toc6068_2280859944">
            <w:r>
              <w:rPr>
                <w:rStyle w:val="IndexLink"/>
              </w:rPr>
              <w:t>Exemple des progrès de la biomédecine : L’implant cochléaire</w:t>
              <w:tab/>
              <w:t>30</w:t>
            </w:r>
          </w:hyperlink>
        </w:p>
        <w:p>
          <w:pPr>
            <w:pStyle w:val="Contents2"/>
            <w:tabs>
              <w:tab w:val="right" w:pos="9638" w:leader="dot"/>
            </w:tabs>
            <w:bidi w:val="0"/>
            <w:jc w:val="left"/>
            <w:rPr/>
          </w:pPr>
          <w:hyperlink w:anchor="__RefHeading___Toc6070_2280859944">
            <w:r>
              <w:rPr>
                <w:rStyle w:val="IndexLink"/>
              </w:rPr>
              <w:t>Conséquentialisme et déontologisme</w:t>
              <w:tab/>
              <w:t>31</w:t>
            </w:r>
          </w:hyperlink>
        </w:p>
        <w:p>
          <w:pPr>
            <w:pStyle w:val="Contents3"/>
            <w:tabs>
              <w:tab w:val="right" w:pos="9638" w:leader="dot"/>
            </w:tabs>
            <w:bidi w:val="0"/>
            <w:jc w:val="left"/>
            <w:rPr/>
          </w:pPr>
          <w:hyperlink w:anchor="__RefHeading___Toc6156_2428686149">
            <w:r>
              <w:rPr>
                <w:rStyle w:val="IndexLink"/>
              </w:rPr>
              <w:t>Le déontologisme :</w:t>
              <w:tab/>
              <w:t>32</w:t>
            </w:r>
          </w:hyperlink>
        </w:p>
        <w:p>
          <w:pPr>
            <w:pStyle w:val="Contents4"/>
            <w:tabs>
              <w:tab w:val="right" w:pos="9638" w:leader="dot"/>
            </w:tabs>
            <w:bidi w:val="0"/>
            <w:jc w:val="left"/>
            <w:rPr/>
          </w:pPr>
          <w:hyperlink w:anchor="__RefHeading___Toc6158_2428686149">
            <w:r>
              <w:rPr>
                <w:rStyle w:val="IndexLink"/>
              </w:rPr>
              <w:t>Kant :</w:t>
              <w:tab/>
              <w:t>32</w:t>
            </w:r>
          </w:hyperlink>
        </w:p>
        <w:p>
          <w:pPr>
            <w:pStyle w:val="Contents5"/>
            <w:tabs>
              <w:tab w:val="right" w:pos="9638" w:leader="dot"/>
            </w:tabs>
            <w:bidi w:val="0"/>
            <w:jc w:val="left"/>
            <w:rPr/>
          </w:pPr>
          <w:hyperlink w:anchor="__RefHeading___Toc6160_2428686149">
            <w:r>
              <w:rPr>
                <w:rStyle w:val="IndexLink"/>
              </w:rPr>
              <w:t>La rupture cosmologico-éthique :</w:t>
              <w:tab/>
              <w:t>33</w:t>
            </w:r>
          </w:hyperlink>
        </w:p>
        <w:p>
          <w:pPr>
            <w:pStyle w:val="Contents5"/>
            <w:tabs>
              <w:tab w:val="right" w:pos="9638" w:leader="dot"/>
            </w:tabs>
            <w:bidi w:val="0"/>
            <w:jc w:val="left"/>
            <w:rPr/>
          </w:pPr>
          <w:hyperlink w:anchor="__RefHeading___Toc6162_2428686149">
            <w:r>
              <w:rPr>
                <w:rStyle w:val="IndexLink"/>
              </w:rPr>
              <w:t>La rupture théologico-éthique :</w:t>
              <w:tab/>
              <w:t>35</w:t>
            </w:r>
          </w:hyperlink>
        </w:p>
        <w:p>
          <w:pPr>
            <w:pStyle w:val="Contents5"/>
            <w:tabs>
              <w:tab w:val="right" w:pos="9638" w:leader="dot"/>
            </w:tabs>
            <w:bidi w:val="0"/>
            <w:jc w:val="left"/>
            <w:rPr/>
          </w:pPr>
          <w:hyperlink w:anchor="__RefHeading___Toc6164_2428686149">
            <w:r>
              <w:rPr>
                <w:rStyle w:val="IndexLink"/>
              </w:rPr>
              <w:t>Distinction entre l’homme et l’animal :</w:t>
              <w:tab/>
              <w:t>36</w:t>
            </w:r>
          </w:hyperlink>
        </w:p>
        <w:p>
          <w:pPr>
            <w:pStyle w:val="Contents5"/>
            <w:tabs>
              <w:tab w:val="right" w:pos="9638" w:leader="dot"/>
            </w:tabs>
            <w:bidi w:val="0"/>
            <w:jc w:val="left"/>
            <w:rPr/>
          </w:pPr>
          <w:hyperlink w:anchor="__RefHeading___Toc6166_2428686149">
            <w:r>
              <w:rPr>
                <w:rStyle w:val="IndexLink"/>
              </w:rPr>
              <w:t>le désintéressement</w:t>
              <w:tab/>
              <w:t>38</w:t>
            </w:r>
          </w:hyperlink>
        </w:p>
        <w:p>
          <w:pPr>
            <w:pStyle w:val="Contents5"/>
            <w:tabs>
              <w:tab w:val="right" w:pos="9638" w:leader="dot"/>
            </w:tabs>
            <w:bidi w:val="0"/>
            <w:jc w:val="left"/>
            <w:rPr/>
          </w:pPr>
          <w:hyperlink w:anchor="__RefHeading___Toc6168_2428686149">
            <w:r>
              <w:rPr>
                <w:rStyle w:val="IndexLink"/>
              </w:rPr>
              <w:t>L’universalisme :</w:t>
              <w:tab/>
              <w:t>38</w:t>
            </w:r>
          </w:hyperlink>
        </w:p>
        <w:p>
          <w:pPr>
            <w:pStyle w:val="Contents5"/>
            <w:tabs>
              <w:tab w:val="right" w:pos="9638" w:leader="dot"/>
            </w:tabs>
            <w:bidi w:val="0"/>
            <w:jc w:val="left"/>
            <w:rPr/>
          </w:pPr>
          <w:hyperlink w:anchor="__RefHeading___Toc6170_2428686149">
            <w:r>
              <w:rPr>
                <w:rStyle w:val="IndexLink"/>
              </w:rPr>
              <w:t>Le formalisme de la morale kantienne : l’impératif catégorique</w:t>
              <w:tab/>
              <w:t>38</w:t>
            </w:r>
          </w:hyperlink>
        </w:p>
        <w:p>
          <w:pPr>
            <w:pStyle w:val="Contents3"/>
            <w:tabs>
              <w:tab w:val="right" w:pos="9638" w:leader="dot"/>
            </w:tabs>
            <w:bidi w:val="0"/>
            <w:jc w:val="left"/>
            <w:rPr/>
          </w:pPr>
          <w:hyperlink w:anchor="__RefHeading___Toc6172_2428686149">
            <w:r>
              <w:rPr>
                <w:rStyle w:val="IndexLink"/>
              </w:rPr>
              <w:t>L’utilitarisme :</w:t>
              <w:tab/>
              <w:t>40</w:t>
            </w:r>
          </w:hyperlink>
        </w:p>
        <w:p>
          <w:pPr>
            <w:pStyle w:val="Contents4"/>
            <w:tabs>
              <w:tab w:val="right" w:pos="9638" w:leader="dot"/>
            </w:tabs>
            <w:bidi w:val="0"/>
            <w:jc w:val="left"/>
            <w:rPr/>
          </w:pPr>
          <w:hyperlink w:anchor="__RefHeading___Toc6174_2428686149">
            <w:r>
              <w:rPr>
                <w:rStyle w:val="IndexLink"/>
              </w:rPr>
              <w:t>Le problème de l’infini</w:t>
              <w:tab/>
              <w:t>44</w:t>
            </w:r>
          </w:hyperlink>
        </w:p>
        <w:p>
          <w:pPr>
            <w:pStyle w:val="Contents4"/>
            <w:tabs>
              <w:tab w:val="right" w:pos="9638" w:leader="dot"/>
            </w:tabs>
            <w:bidi w:val="0"/>
            <w:jc w:val="left"/>
            <w:rPr/>
          </w:pPr>
          <w:hyperlink w:anchor="__RefHeading___Toc6176_2428686149">
            <w:r>
              <w:rPr>
                <w:rStyle w:val="IndexLink"/>
              </w:rPr>
              <w:t>Le problème des préférences non informés</w:t>
              <w:tab/>
              <w:t>44</w:t>
            </w:r>
          </w:hyperlink>
        </w:p>
        <w:p>
          <w:pPr>
            <w:pStyle w:val="Contents4"/>
            <w:tabs>
              <w:tab w:val="right" w:pos="9638" w:leader="dot"/>
            </w:tabs>
            <w:bidi w:val="0"/>
            <w:jc w:val="left"/>
            <w:rPr/>
          </w:pPr>
          <w:hyperlink w:anchor="__RefHeading___Toc6178_2428686149">
            <w:r>
              <w:rPr>
                <w:rStyle w:val="IndexLink"/>
              </w:rPr>
              <w:t>Le problème des préférences implicite et verbale</w:t>
              <w:tab/>
              <w:t>45</w:t>
            </w:r>
          </w:hyperlink>
        </w:p>
        <w:p>
          <w:pPr>
            <w:pStyle w:val="Contents4"/>
            <w:tabs>
              <w:tab w:val="right" w:pos="9638" w:leader="dot"/>
            </w:tabs>
            <w:bidi w:val="0"/>
            <w:jc w:val="left"/>
            <w:rPr/>
          </w:pPr>
          <w:hyperlink w:anchor="__RefHeading___Toc6180_2428686149">
            <w:r>
              <w:rPr>
                <w:rStyle w:val="IndexLink"/>
              </w:rPr>
              <w:t>L’utilitarisme et l’humanisme :</w:t>
              <w:tab/>
              <w:t>45</w:t>
            </w:r>
          </w:hyperlink>
        </w:p>
        <w:p>
          <w:pPr>
            <w:pStyle w:val="Contents4"/>
            <w:tabs>
              <w:tab w:val="right" w:pos="9638" w:leader="dot"/>
            </w:tabs>
            <w:bidi w:val="0"/>
            <w:jc w:val="left"/>
            <w:rPr/>
          </w:pPr>
          <w:hyperlink w:anchor="__RefHeading___Toc6182_2428686149">
            <w:r>
              <w:rPr>
                <w:rStyle w:val="IndexLink"/>
              </w:rPr>
              <w:t>L’utilitarisme et le libéralisme :</w:t>
              <w:tab/>
              <w:t>46</w:t>
            </w:r>
          </w:hyperlink>
        </w:p>
        <w:p>
          <w:pPr>
            <w:pStyle w:val="Contents2"/>
            <w:tabs>
              <w:tab w:val="right" w:pos="9638" w:leader="dot"/>
            </w:tabs>
            <w:bidi w:val="0"/>
            <w:jc w:val="left"/>
            <w:rPr/>
          </w:pPr>
          <w:hyperlink w:anchor="__RefHeading___Toc6184_2428686149">
            <w:r>
              <w:rPr>
                <w:rStyle w:val="IndexLink"/>
              </w:rPr>
              <w:t>Le respect :</w:t>
              <w:tab/>
              <w:t>47</w:t>
            </w:r>
          </w:hyperlink>
        </w:p>
        <w:p>
          <w:pPr>
            <w:pStyle w:val="Contents3"/>
            <w:tabs>
              <w:tab w:val="right" w:pos="9638" w:leader="dot"/>
            </w:tabs>
            <w:bidi w:val="0"/>
            <w:jc w:val="left"/>
            <w:rPr/>
          </w:pPr>
          <w:hyperlink w:anchor="__RefHeading___Toc5583_2654796477">
            <w:r>
              <w:rPr>
                <w:rStyle w:val="IndexLink"/>
              </w:rPr>
              <w:t>Une confiance propre à chaque relation</w:t>
              <w:tab/>
              <w:t>65</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 éthique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déshumanisation d’autrui.</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On distingue deux grandes écoles de pensées en éthique :</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déontologisme</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conséquentialisme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w:t>
      </w:r>
      <w:r>
        <w:rPr>
          <w:b w:val="false"/>
          <w:i w:val="false"/>
          <w:caps w:val="false"/>
          <w:smallCaps w:val="false"/>
          <w:color w:val="323232"/>
          <w:spacing w:val="0"/>
          <w:sz w:val="32"/>
          <w:szCs w:val="32"/>
          <w:u w:val="none"/>
        </w:rPr>
        <w:t>ans une perspective déontologique, il y a des actes à faire et d’autres à ne pas faire et ce, indépendamment des conséquences envisageables ou prévisibles.</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Au contraire, dans une perspective conséquentialiste, le caractère morale d’un acte ne peut être déterminé qu en regard des conséquences de cet acte.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 noter que le deontologisme ne doit pas être confondu avec la déontologie. Le premier est un courant de pensée philosophique, le deuxième est un terme juridique qui définit un ensemble de règles morales généralement associés à une profession, par exemple on parle de déontologie médicale.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Deuxième remarque, le déontologisme et le conséquentialisme ne sont pas les seules courant de pensées en éthiques, il en existe bien d’autres. On peut considérer que ce sont les deux principaux.</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3"/>
        <w:numPr>
          <w:ilvl w:val="0"/>
          <w:numId w:val="0"/>
        </w:numPr>
        <w:bidi w:val="0"/>
        <w:spacing w:before="140" w:after="120"/>
        <w:jc w:val="left"/>
        <w:outlineLvl w:val="2"/>
        <w:rPr/>
      </w:pPr>
      <w:bookmarkStart w:id="45" w:name="__RefHeading___Toc6156_2428686149"/>
      <w:bookmarkEnd w:id="45"/>
      <w:r>
        <w:rPr/>
        <w:t>Le déontologisme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4"/>
        <w:bidi w:val="0"/>
        <w:jc w:val="left"/>
        <w:rPr/>
      </w:pPr>
      <w:bookmarkStart w:id="46" w:name="__RefHeading___Toc6158_2428686149"/>
      <w:bookmarkEnd w:id="46"/>
      <w:r>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xml:space="preserve">- Rupture avec la tradition hellénique </w:t>
      </w:r>
      <w:r>
        <w:rPr>
          <w:color w:val="000000"/>
          <w:sz w:val="32"/>
          <w:szCs w:val="32"/>
          <w:u w:val="none"/>
        </w:rPr>
        <w:t>(ou hellénistique)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pPr>
      <w:r>
        <w:rPr>
          <w:i/>
          <w:iCs/>
          <w:color w:val="000000"/>
          <w:sz w:val="28"/>
          <w:szCs w:val="28"/>
          <w:u w:val="none"/>
        </w:rPr>
        <w:t xml:space="preserve">Nota Bene : Le terme hellénique se rapporte à la période grecque classique, alors que le terme hellénistique se rapporte à une période plus étendu englobant la période alexandrine. </w:t>
      </w:r>
      <w:r>
        <w:rPr>
          <w:i/>
          <w:iCs/>
          <w:color w:val="000000"/>
          <w:sz w:val="28"/>
          <w:szCs w:val="28"/>
          <w:u w:val="none"/>
        </w:rPr>
        <w:t>Dans notre cas, les deux termes me semblent appropriés.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47" w:name="__RefHeading___Toc6160_2428686149"/>
      <w:bookmarkEnd w:id="47"/>
      <w:r>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Heading5"/>
        <w:bidi w:val="0"/>
        <w:jc w:val="left"/>
        <w:rPr/>
      </w:pPr>
      <w:bookmarkStart w:id="48" w:name="__RefHeading___Toc6162_2428686149"/>
      <w:bookmarkEnd w:id="48"/>
      <w:r>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Dans la morale religieuse, on invite les croyants à se conformer à un certains nombre de principe éthique (le décalogue </w:t>
      </w:r>
      <w:r>
        <w:rPr>
          <w:b w:val="false"/>
          <w:i w:val="false"/>
          <w:caps w:val="false"/>
          <w:smallCaps w:val="false"/>
          <w:color w:val="000000"/>
          <w:spacing w:val="0"/>
          <w:sz w:val="32"/>
          <w:szCs w:val="32"/>
        </w:rPr>
        <w:t>par exemple</w:t>
      </w:r>
      <w:r>
        <w:rPr>
          <w:b w:val="false"/>
          <w:i w:val="false"/>
          <w:caps w:val="false"/>
          <w:smallCaps w:val="false"/>
          <w:color w:val="000000"/>
          <w:spacing w:val="0"/>
          <w:sz w:val="32"/>
          <w:szCs w:val="32"/>
        </w:rPr>
        <w:t>),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w:t>
      </w:r>
      <w:r>
        <w:rPr>
          <w:b w:val="false"/>
          <w:i w:val="false"/>
          <w:caps w:val="false"/>
          <w:smallCaps w:val="false"/>
          <w:color w:val="000000"/>
          <w:spacing w:val="0"/>
          <w:sz w:val="32"/>
          <w:szCs w:val="32"/>
        </w:rPr>
        <w:t>son salut</w:t>
      </w:r>
      <w:r>
        <w:rPr>
          <w:b w:val="false"/>
          <w:i w:val="false"/>
          <w:caps w:val="false"/>
          <w:smallCaps w:val="false"/>
          <w:color w:val="000000"/>
          <w:spacing w:val="0"/>
          <w:sz w:val="32"/>
          <w:szCs w:val="32"/>
        </w:rPr>
        <w:t xml:space="preserve">, ou que nous craignons </w:t>
      </w:r>
      <w:r>
        <w:rPr>
          <w:b w:val="false"/>
          <w:i w:val="false"/>
          <w:caps w:val="false"/>
          <w:smallCaps w:val="false"/>
          <w:color w:val="000000"/>
          <w:spacing w:val="0"/>
          <w:sz w:val="32"/>
          <w:szCs w:val="32"/>
        </w:rPr>
        <w:t>le chatiment divin</w:t>
      </w:r>
      <w:r>
        <w:rPr>
          <w:b w:val="false"/>
          <w:i w:val="false"/>
          <w:caps w:val="false"/>
          <w:smallCaps w:val="false"/>
          <w:color w:val="000000"/>
          <w:spacing w:val="0"/>
          <w:sz w:val="32"/>
          <w:szCs w:val="32"/>
        </w:rPr>
        <w:t xml:space="preserve">.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a scission entre foi et valeur morale correspond à la rupture 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Heading5"/>
        <w:bidi w:val="0"/>
        <w:jc w:val="left"/>
        <w:rPr/>
      </w:pPr>
      <w:bookmarkStart w:id="49" w:name="__RefHeading___Toc6164_2428686149"/>
      <w:bookmarkEnd w:id="49"/>
      <w:r>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 </w:t>
      </w: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Et c’est finalement cet excès que l’on appelle liberté.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Libre arbitre permet le choix entre le bien et le mal. Toute la morale kantienne s’appuie sur le libre arbitre.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L’efficacité de l’éducation chez l’animal est limitée, car le comportement animal est essentiellement guidé par l’instinct. Au contraire, l’Homme, en tant qu’être libre, est fortement influencé par son éducation. </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résumé, la liberté fonde le choix morale kantien. Elle est à la base de la distinction entre l’Homme et l’animal, et explique pourquoi Kant place l’Homme au centre de sa philosophie.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 le libre arbitre est une condition nécessaire à la morale kantienne, elle n’est pas suffisante. D’autres valeurs s</w:t>
      </w:r>
      <w:r>
        <w:rPr>
          <w:color w:val="000000"/>
          <w:sz w:val="32"/>
          <w:szCs w:val="32"/>
          <w:u w:val="none"/>
        </w:rPr>
        <w:t>ont nécessaires  à l’acte morale</w:t>
      </w:r>
      <w:r>
        <w:rPr>
          <w:color w:val="000000"/>
          <w:sz w:val="32"/>
          <w:szCs w:val="32"/>
          <w:u w:val="none"/>
        </w:rPr>
        <w:t> :</w:t>
      </w:r>
    </w:p>
    <w:p>
      <w:pPr>
        <w:pStyle w:val="Normal"/>
        <w:numPr>
          <w:ilvl w:val="0"/>
          <w:numId w:val="14"/>
        </w:numPr>
        <w:bidi w:val="0"/>
        <w:jc w:val="left"/>
        <w:rPr>
          <w:color w:val="000000"/>
          <w:sz w:val="32"/>
          <w:szCs w:val="32"/>
          <w:u w:val="none"/>
        </w:rPr>
      </w:pPr>
      <w:r>
        <w:rPr>
          <w:color w:val="000000"/>
          <w:sz w:val="32"/>
          <w:szCs w:val="32"/>
          <w:u w:val="none"/>
        </w:rPr>
        <w:t>Le désintéressement</w:t>
      </w:r>
    </w:p>
    <w:p>
      <w:pPr>
        <w:pStyle w:val="Normal"/>
        <w:numPr>
          <w:ilvl w:val="0"/>
          <w:numId w:val="14"/>
        </w:numPr>
        <w:bidi w:val="0"/>
        <w:jc w:val="left"/>
        <w:rPr>
          <w:color w:val="000000"/>
          <w:sz w:val="32"/>
          <w:szCs w:val="32"/>
          <w:u w:val="none"/>
        </w:rPr>
      </w:pPr>
      <w:r>
        <w:rPr>
          <w:color w:val="000000"/>
          <w:sz w:val="32"/>
          <w:szCs w:val="32"/>
          <w:u w:val="none"/>
        </w:rPr>
        <w:t>L’universalisme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0" w:name="__RefHeading___Toc6166_2428686149"/>
      <w:bookmarkEnd w:id="50"/>
      <w:r>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1" w:name="__RefHeading___Toc6168_2428686149"/>
      <w:bookmarkEnd w:id="51"/>
      <w:r>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prendre en compte l’intérêt général, l’universel, je dois être capable de mettre entre parenthèse mes intérêts particuliers. La encore je dois faire usage de ma liberté, comme moyen de m’écarter de mes penchants naturels </w:t>
      </w:r>
      <w:r>
        <w:rPr>
          <w:color w:val="000000"/>
          <w:sz w:val="32"/>
          <w:szCs w:val="32"/>
          <w:u w:val="none"/>
        </w:rPr>
        <w:t>individualistes.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52" w:name="__RefHeading___Toc6170_2428686149"/>
      <w:bookmarkEnd w:id="52"/>
      <w:r>
        <w:rPr/>
        <w:t>Le formalisme de la morale kantienne : l’</w:t>
      </w:r>
      <w:r>
        <w:rPr/>
        <w:t>impératif </w:t>
      </w:r>
      <w:r>
        <w:rPr/>
        <w:t>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morale kantienne est une </w:t>
      </w:r>
      <w:r>
        <w:rPr>
          <w:color w:val="000000"/>
          <w:sz w:val="32"/>
          <w:szCs w:val="32"/>
          <w:u w:val="none"/>
        </w:rPr>
        <w:t xml:space="preserve">morale de l’effort, </w:t>
      </w:r>
      <w:r>
        <w:rPr>
          <w:color w:val="000000"/>
          <w:sz w:val="32"/>
          <w:szCs w:val="32"/>
          <w:u w:val="none"/>
        </w:rPr>
        <w:t xml:space="preserve">une </w:t>
      </w:r>
      <w:r>
        <w:rPr>
          <w:color w:val="000000"/>
          <w:sz w:val="32"/>
          <w:szCs w:val="32"/>
          <w:u w:val="none"/>
        </w:rPr>
        <w:t xml:space="preserve">morale méritocratique. Ce n’est pas une morale naturelle comme peut l’être la morale aristocratique. </w:t>
      </w:r>
      <w:r>
        <w:rPr>
          <w:color w:val="000000"/>
          <w:sz w:val="32"/>
          <w:szCs w:val="32"/>
          <w:u w:val="none"/>
        </w:rPr>
        <w:t>Elle s’articule autour de l’impératif 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Kant emploi le terme d’impératif pour couvrir une notion d’exigence, de nécessité que peuvent prendre certains de nos choix. Il distingue 3 types d’impératifs :</w:t>
      </w:r>
    </w:p>
    <w:p>
      <w:pPr>
        <w:pStyle w:val="Normal"/>
        <w:numPr>
          <w:ilvl w:val="0"/>
          <w:numId w:val="15"/>
        </w:numPr>
        <w:bidi w:val="0"/>
        <w:jc w:val="left"/>
        <w:rPr>
          <w:color w:val="000000"/>
          <w:sz w:val="32"/>
          <w:szCs w:val="32"/>
          <w:u w:val="none"/>
        </w:rPr>
      </w:pPr>
      <w:r>
        <w:rPr>
          <w:color w:val="000000"/>
          <w:sz w:val="32"/>
          <w:szCs w:val="32"/>
          <w:u w:val="none"/>
        </w:rPr>
        <w:t>Les impératifs hypothétiques</w:t>
      </w:r>
    </w:p>
    <w:p>
      <w:pPr>
        <w:pStyle w:val="Normal"/>
        <w:numPr>
          <w:ilvl w:val="0"/>
          <w:numId w:val="15"/>
        </w:numPr>
        <w:bidi w:val="0"/>
        <w:jc w:val="left"/>
        <w:rPr>
          <w:color w:val="000000"/>
          <w:sz w:val="32"/>
          <w:szCs w:val="32"/>
          <w:u w:val="none"/>
        </w:rPr>
      </w:pPr>
      <w:r>
        <w:rPr>
          <w:color w:val="000000"/>
          <w:sz w:val="32"/>
          <w:szCs w:val="32"/>
          <w:u w:val="none"/>
        </w:rPr>
        <w:t>Les impératifs de prudence</w:t>
      </w:r>
    </w:p>
    <w:p>
      <w:pPr>
        <w:pStyle w:val="Normal"/>
        <w:numPr>
          <w:ilvl w:val="0"/>
          <w:numId w:val="15"/>
        </w:numPr>
        <w:bidi w:val="0"/>
        <w:jc w:val="left"/>
        <w:rPr>
          <w:color w:val="000000"/>
          <w:sz w:val="32"/>
          <w:szCs w:val="32"/>
          <w:u w:val="none"/>
        </w:rPr>
      </w:pPr>
      <w:r>
        <w:rPr>
          <w:color w:val="000000"/>
          <w:sz w:val="32"/>
          <w:szCs w:val="32"/>
          <w:u w:val="none"/>
        </w:rPr>
        <w:t>Les impératifs catégoriques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Heading3"/>
        <w:numPr>
          <w:ilvl w:val="0"/>
          <w:numId w:val="0"/>
        </w:numPr>
        <w:bidi w:val="0"/>
        <w:spacing w:before="140" w:after="120"/>
        <w:jc w:val="left"/>
        <w:outlineLvl w:val="2"/>
        <w:rPr/>
      </w:pPr>
      <w:bookmarkStart w:id="53" w:name="__RefHeading___Toc6172_2428686149"/>
      <w:bookmarkEnd w:id="53"/>
      <w:r>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 xml:space="preserve">malléable de cette notion. Kant parle du bonheur comme « d’impénétrables ténêbres ». </w:t>
      </w:r>
      <w:r>
        <w:rPr>
          <w:color w:val="000000"/>
          <w:sz w:val="32"/>
          <w:szCs w:val="32"/>
        </w:rPr>
        <w:t>Comment fonder une philosophie morale sur une notion qu’on a autant de mal à définir.</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Tous les plaisirs ne se valent pas,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w:t>
      </w:r>
      <w:r>
        <w:rPr>
          <w:color w:val="000000"/>
          <w:sz w:val="32"/>
          <w:szCs w:val="32"/>
        </w:rPr>
        <w:t>C</w:t>
      </w:r>
      <w:r>
        <w:rPr>
          <w:color w:val="000000"/>
          <w:sz w:val="32"/>
          <w:szCs w:val="32"/>
        </w:rPr>
        <w:t>ertains plaisir ne peuvent se substituer à d’autres quelque soient leur quantité</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Heading4"/>
        <w:bidi w:val="0"/>
        <w:jc w:val="left"/>
        <w:rPr/>
      </w:pPr>
      <w:bookmarkStart w:id="54" w:name="__RefHeading___Toc6174_2428686149"/>
      <w:bookmarkEnd w:id="54"/>
      <w:r>
        <w:rPr/>
        <w:t xml:space="preserve">Le problème de </w:t>
      </w:r>
      <w:r>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propriétés calculatoire de l’utilitarisme le fragilise lorsqu’on pousse les valeurs des plaisirs et des peines aux limites.</w:t>
      </w:r>
    </w:p>
    <w:p>
      <w:pPr>
        <w:pStyle w:val="TextBody"/>
        <w:bidi w:val="0"/>
        <w:jc w:val="left"/>
        <w:rPr>
          <w:color w:val="000000"/>
          <w:sz w:val="32"/>
          <w:szCs w:val="32"/>
        </w:rPr>
      </w:pPr>
      <w:r>
        <w:rPr>
          <w:color w:val="000000"/>
          <w:sz w:val="32"/>
          <w:szCs w:val="32"/>
        </w:rPr>
        <w:t>Nozik écrit à ce sujet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Pour contrer ses résultats aux limites, il est toujours possible de modifier la formule de calcul afin d’obtenir des comportements plus satisfaisant à l’inifini.</w:t>
      </w:r>
    </w:p>
    <w:p>
      <w:pPr>
        <w:pStyle w:val="TextBody"/>
        <w:bidi w:val="0"/>
        <w:jc w:val="left"/>
        <w:rPr>
          <w:color w:val="000000"/>
          <w:sz w:val="32"/>
          <w:szCs w:val="32"/>
        </w:rPr>
      </w:pPr>
      <w:r>
        <w:rPr>
          <w:color w:val="000000"/>
          <w:sz w:val="32"/>
          <w:szCs w:val="32"/>
        </w:rPr>
      </w:r>
    </w:p>
    <w:p>
      <w:pPr>
        <w:pStyle w:val="Heading4"/>
        <w:bidi w:val="0"/>
        <w:jc w:val="left"/>
        <w:rPr/>
      </w:pPr>
      <w:bookmarkStart w:id="55" w:name="__RefHeading___Toc6176_2428686149"/>
      <w:bookmarkEnd w:id="55"/>
      <w:r>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Heading4"/>
        <w:bidi w:val="0"/>
        <w:jc w:val="left"/>
        <w:rPr/>
      </w:pPr>
      <w:bookmarkStart w:id="56" w:name="__RefHeading___Toc6178_2428686149"/>
      <w:bookmarkEnd w:id="56"/>
      <w:r>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7" w:name="__RefHeading___Toc6180_2428686149"/>
      <w:bookmarkEnd w:id="57"/>
      <w:r>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w:t>
      </w:r>
      <w:r>
        <w:rPr>
          <w:color w:val="000000"/>
          <w:sz w:val="32"/>
          <w:szCs w:val="32"/>
        </w:rPr>
        <w:t>H</w:t>
      </w:r>
      <w:r>
        <w:rPr>
          <w:color w:val="000000"/>
          <w:sz w:val="32"/>
          <w:szCs w:val="32"/>
        </w:rPr>
        <w:t xml:space="preserve">omme, mais l’ensemble des êtres sensibles. </w:t>
      </w:r>
      <w:r>
        <w:rPr>
          <w:color w:val="000000"/>
          <w:sz w:val="32"/>
          <w:szCs w:val="32"/>
        </w:rPr>
        <w:t>La question de la distinction entre l’Homme et l’animal n’est absolument pas centrale dans la morale utilitariste alors que c’est un sujet clé dans la morale kantienne.</w:t>
      </w:r>
    </w:p>
    <w:p>
      <w:pPr>
        <w:pStyle w:val="TextBody"/>
        <w:bidi w:val="0"/>
        <w:jc w:val="left"/>
        <w:rPr>
          <w:color w:val="000000"/>
          <w:sz w:val="32"/>
          <w:szCs w:val="32"/>
        </w:rPr>
      </w:pPr>
      <w:r>
        <w:rPr>
          <w:color w:val="000000"/>
          <w:sz w:val="32"/>
          <w:szCs w:val="32"/>
        </w:rPr>
        <w:t xml:space="preserve">De ce fait, les utilitaristes sont souvent de grand défenseurs du monde animal, </w:t>
      </w:r>
      <w:r>
        <w:rPr>
          <w:color w:val="000000"/>
          <w:sz w:val="32"/>
          <w:szCs w:val="32"/>
        </w:rPr>
        <w:t xml:space="preserve">parfois même au détriment de la vie humaine </w:t>
      </w:r>
      <w:r>
        <w:rPr>
          <w:color w:val="000000"/>
          <w:sz w:val="32"/>
          <w:szCs w:val="32"/>
        </w:rPr>
        <w:t>(Peter Singer).</w:t>
      </w:r>
    </w:p>
    <w:p>
      <w:pPr>
        <w:pStyle w:val="TextBody"/>
        <w:bidi w:val="0"/>
        <w:jc w:val="left"/>
        <w:rPr>
          <w:color w:val="000000"/>
          <w:sz w:val="32"/>
          <w:szCs w:val="32"/>
        </w:rPr>
      </w:pPr>
      <w:r>
        <w:rPr>
          <w:color w:val="000000"/>
          <w:sz w:val="32"/>
          <w:szCs w:val="32"/>
        </w:rPr>
        <w:t xml:space="preserve">Les utilitaristes ont été également les premiers à réclamer une égalité de droits entre homme et femme (Bentham), </w:t>
      </w:r>
      <w:r>
        <w:rPr>
          <w:color w:val="000000"/>
          <w:sz w:val="32"/>
          <w:szCs w:val="32"/>
        </w:rPr>
        <w:t>ou à défendre la cause homosexuelle</w:t>
      </w:r>
      <w:r>
        <w:rPr>
          <w:color w:val="000000"/>
          <w:sz w:val="32"/>
          <w:szCs w:val="32"/>
        </w:rPr>
        <w:t>.</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un absolu. Dit autrement l’utilitarisme peut survivre à l’Homme, alors que la morale kantienne ne le peut pas.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8" w:name="__RefHeading___Toc6182_2428686149"/>
      <w:bookmarkEnd w:id="58"/>
      <w:r>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Il ne faut donc pas confondre libéralisme et utilitarisme même si cela facilite parfois la rhétorique.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TextBody"/>
        <w:bidi w:val="0"/>
        <w:jc w:val="left"/>
        <w:rPr>
          <w:color w:val="000000"/>
          <w:sz w:val="32"/>
          <w:szCs w:val="32"/>
          <w:u w:val="single"/>
        </w:rPr>
      </w:pPr>
      <w:r>
        <w:rPr>
          <w:color w:val="000000"/>
          <w:sz w:val="32"/>
          <w:szCs w:val="32"/>
          <w:u w:val="single"/>
        </w:rPr>
      </w:r>
    </w:p>
    <w:p>
      <w:pPr>
        <w:pStyle w:val="TextBody"/>
        <w:bidi w:val="0"/>
        <w:jc w:val="left"/>
        <w:rPr>
          <w:color w:val="000000"/>
          <w:sz w:val="32"/>
          <w:szCs w:val="32"/>
          <w:u w:val="single"/>
        </w:rPr>
      </w:pPr>
      <w:r>
        <w:rPr>
          <w:color w:val="000000"/>
          <w:sz w:val="32"/>
          <w:szCs w:val="32"/>
          <w:u w:val="single"/>
        </w:rPr>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59" w:name="__RefHeading___Toc6184_2428686149"/>
      <w:bookmarkEnd w:id="59"/>
      <w:r>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10"/>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10"/>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11"/>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11"/>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13"/>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13"/>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60" w:name="__RefHeading___Toc5583_2654796477"/>
      <w:bookmarkEnd w:id="60"/>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3174</TotalTime>
  <Application>LibreOffice/6.3.5.2$Linux_X86_64 LibreOffice_project/30$Build-2</Application>
  <Pages>90</Pages>
  <Words>23518</Words>
  <Characters>123257</Characters>
  <CharactersWithSpaces>145751</CharactersWithSpaces>
  <Paragraphs>1312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2020-04-23T17:49:21Z</dcterms:modified>
  <cp:revision>59</cp:revision>
  <dc:subject/>
  <dc:title/>
</cp:coreProperties>
</file>