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3</w:t>
            </w:r>
          </w:hyperlink>
        </w:p>
        <w:p>
          <w:pPr>
            <w:pStyle w:val="Contents1"/>
            <w:tabs>
              <w:tab w:val="right" w:pos="9638" w:leader="dot"/>
            </w:tabs>
            <w:bidi w:val="0"/>
            <w:jc w:val="left"/>
            <w:rPr/>
          </w:pPr>
          <w:hyperlink w:anchor="__RefHeading___Toc5589_2654796477">
            <w:r>
              <w:rPr>
                <w:rStyle w:val="IndexLink"/>
              </w:rPr>
              <w:t>La bioéthique :</w:t>
              <w:tab/>
              <w:t>4</w:t>
            </w:r>
          </w:hyperlink>
        </w:p>
        <w:p>
          <w:pPr>
            <w:pStyle w:val="Contents2"/>
            <w:tabs>
              <w:tab w:val="right" w:pos="9638" w:leader="dot"/>
            </w:tabs>
            <w:bidi w:val="0"/>
            <w:jc w:val="left"/>
            <w:rPr/>
          </w:pPr>
          <w:hyperlink w:anchor="__RefHeading___Toc5591_2654796477">
            <w:r>
              <w:rPr>
                <w:rStyle w:val="IndexLink"/>
              </w:rPr>
              <w:t>Définition :</w:t>
              <w:tab/>
              <w:t>4</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5</w:t>
            </w:r>
          </w:hyperlink>
        </w:p>
        <w:p>
          <w:pPr>
            <w:pStyle w:val="Contents4"/>
            <w:tabs>
              <w:tab w:val="right" w:pos="9638" w:leader="dot"/>
            </w:tabs>
            <w:bidi w:val="0"/>
            <w:jc w:val="left"/>
            <w:rPr/>
          </w:pPr>
          <w:hyperlink w:anchor="__RefHeading___Toc5738_3562927657">
            <w:r>
              <w:rPr>
                <w:rStyle w:val="IndexLink"/>
              </w:rPr>
              <w:t>Premières expérimentations médicales :</w:t>
              <w:tab/>
              <w:t>5</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5</w:t>
            </w:r>
          </w:hyperlink>
        </w:p>
        <w:p>
          <w:pPr>
            <w:pStyle w:val="Contents5"/>
            <w:tabs>
              <w:tab w:val="right" w:pos="9638" w:leader="dot"/>
            </w:tabs>
            <w:bidi w:val="0"/>
            <w:jc w:val="left"/>
            <w:rPr/>
          </w:pPr>
          <w:hyperlink w:anchor="__RefHeading___Toc5740_3562927657">
            <w:r>
              <w:rPr>
                <w:rStyle w:val="IndexLink"/>
              </w:rPr>
              <w:t>Hypocrate :</w:t>
              <w:tab/>
              <w:t>5</w:t>
            </w:r>
          </w:hyperlink>
        </w:p>
        <w:p>
          <w:pPr>
            <w:pStyle w:val="Contents5"/>
            <w:tabs>
              <w:tab w:val="right" w:pos="9638" w:leader="dot"/>
            </w:tabs>
            <w:bidi w:val="0"/>
            <w:jc w:val="left"/>
            <w:rPr/>
          </w:pPr>
          <w:hyperlink w:anchor="__RefHeading___Toc5742_3562927657">
            <w:r>
              <w:rPr>
                <w:rStyle w:val="IndexLink"/>
              </w:rPr>
              <w:t>Galien :</w:t>
              <w:tab/>
              <w:t>6</w:t>
            </w:r>
          </w:hyperlink>
        </w:p>
        <w:p>
          <w:pPr>
            <w:pStyle w:val="Contents5"/>
            <w:tabs>
              <w:tab w:val="right" w:pos="9638" w:leader="dot"/>
            </w:tabs>
            <w:bidi w:val="0"/>
            <w:jc w:val="left"/>
            <w:rPr/>
          </w:pPr>
          <w:hyperlink w:anchor="__RefHeading___Toc5744_3562927657">
            <w:r>
              <w:rPr>
                <w:rStyle w:val="IndexLink"/>
              </w:rPr>
              <w:t>L’école d’Alexandrie :</w:t>
              <w:tab/>
              <w:t>6</w:t>
            </w:r>
          </w:hyperlink>
        </w:p>
        <w:p>
          <w:pPr>
            <w:pStyle w:val="Contents5"/>
            <w:tabs>
              <w:tab w:val="right" w:pos="9638" w:leader="dot"/>
            </w:tabs>
            <w:bidi w:val="0"/>
            <w:jc w:val="left"/>
            <w:rPr/>
          </w:pPr>
          <w:hyperlink w:anchor="__RefHeading___Toc5747_3562927657">
            <w:r>
              <w:rPr>
                <w:rStyle w:val="IndexLink"/>
              </w:rPr>
              <w:t>Avicenne :</w:t>
              <w:tab/>
              <w:t>7</w:t>
            </w:r>
          </w:hyperlink>
        </w:p>
        <w:p>
          <w:pPr>
            <w:pStyle w:val="Contents5"/>
            <w:tabs>
              <w:tab w:val="right" w:pos="9638" w:leader="dot"/>
            </w:tabs>
            <w:bidi w:val="0"/>
            <w:jc w:val="left"/>
            <w:rPr/>
          </w:pPr>
          <w:hyperlink w:anchor="__RefHeading___Toc5749_3562927657">
            <w:r>
              <w:rPr>
                <w:rStyle w:val="IndexLink"/>
              </w:rPr>
              <w:t>Vésale  et Ambroise Paré ::</w:t>
              <w:tab/>
              <w:t>8</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9</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11</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14</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16</w:t>
            </w:r>
          </w:hyperlink>
        </w:p>
        <w:p>
          <w:pPr>
            <w:pStyle w:val="Contents4"/>
            <w:tabs>
              <w:tab w:val="right" w:pos="9638" w:leader="dot"/>
            </w:tabs>
            <w:bidi w:val="0"/>
            <w:jc w:val="left"/>
            <w:rPr/>
          </w:pPr>
          <w:hyperlink w:anchor="__RefHeading___Toc5832_2309800995">
            <w:r>
              <w:rPr>
                <w:rStyle w:val="IndexLink"/>
              </w:rPr>
              <w:t>L’Allemagne d’avant guerre :</w:t>
              <w:tab/>
              <w:t>16</w:t>
            </w:r>
          </w:hyperlink>
        </w:p>
        <w:p>
          <w:pPr>
            <w:pStyle w:val="Contents4"/>
            <w:tabs>
              <w:tab w:val="right" w:pos="9638" w:leader="dot"/>
            </w:tabs>
            <w:bidi w:val="0"/>
            <w:jc w:val="left"/>
            <w:rPr/>
          </w:pPr>
          <w:hyperlink w:anchor="__RefHeading___Toc5834_2309800995">
            <w:r>
              <w:rPr>
                <w:rStyle w:val="IndexLink"/>
              </w:rPr>
              <w:t>L’eugénisme :</w:t>
              <w:tab/>
              <w:t>17</w:t>
            </w:r>
          </w:hyperlink>
        </w:p>
        <w:p>
          <w:pPr>
            <w:pStyle w:val="Contents5"/>
            <w:tabs>
              <w:tab w:val="right" w:pos="9638" w:leader="dot"/>
            </w:tabs>
            <w:bidi w:val="0"/>
            <w:jc w:val="left"/>
            <w:rPr/>
          </w:pPr>
          <w:hyperlink w:anchor="__RefHeading___Toc5954_2320769840">
            <w:r>
              <w:rPr>
                <w:rStyle w:val="IndexLink"/>
              </w:rPr>
              <w:t>Origine :</w:t>
              <w:tab/>
              <w:t>17</w:t>
            </w:r>
          </w:hyperlink>
        </w:p>
        <w:p>
          <w:pPr>
            <w:pStyle w:val="Contents5"/>
            <w:tabs>
              <w:tab w:val="right" w:pos="9638" w:leader="dot"/>
            </w:tabs>
            <w:bidi w:val="0"/>
            <w:jc w:val="left"/>
            <w:rPr/>
          </w:pPr>
          <w:hyperlink w:anchor="__RefHeading___Toc5956_2320769840">
            <w:r>
              <w:rPr>
                <w:rStyle w:val="IndexLink"/>
              </w:rPr>
              <w:t>France</w:t>
              <w:tab/>
              <w:t>17</w:t>
            </w:r>
          </w:hyperlink>
        </w:p>
        <w:p>
          <w:pPr>
            <w:pStyle w:val="Contents5"/>
            <w:tabs>
              <w:tab w:val="right" w:pos="9638" w:leader="dot"/>
            </w:tabs>
            <w:bidi w:val="0"/>
            <w:jc w:val="left"/>
            <w:rPr/>
          </w:pPr>
          <w:hyperlink w:anchor="__RefHeading___Toc5958_2320769840">
            <w:r>
              <w:rPr>
                <w:rStyle w:val="IndexLink"/>
              </w:rPr>
              <w:t>Etats Unis :</w:t>
              <w:tab/>
              <w:t>18</w:t>
            </w:r>
          </w:hyperlink>
        </w:p>
        <w:p>
          <w:pPr>
            <w:pStyle w:val="Contents5"/>
            <w:tabs>
              <w:tab w:val="right" w:pos="9638" w:leader="dot"/>
            </w:tabs>
            <w:bidi w:val="0"/>
            <w:jc w:val="left"/>
            <w:rPr/>
          </w:pPr>
          <w:hyperlink w:anchor="__RefHeading___Toc5960_2320769840">
            <w:r>
              <w:rPr>
                <w:rStyle w:val="IndexLink"/>
              </w:rPr>
              <w:t>Conclusion :</w:t>
              <w:tab/>
              <w:t>19</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3"/>
            <w:tabs>
              <w:tab w:val="right" w:pos="9638" w:leader="dot"/>
            </w:tabs>
            <w:bidi w:val="0"/>
            <w:jc w:val="left"/>
            <w:rPr/>
          </w:pPr>
          <w:hyperlink w:anchor="__RefHeading___Toc5583_2654796477">
            <w:r>
              <w:rPr>
                <w:rStyle w:val="IndexLink"/>
              </w:rPr>
              <w:t>Une confiance propre à chaque relation</w:t>
              <w:tab/>
              <w:t>61</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9"/>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9"/>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9"/>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9"/>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10"/>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10"/>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10"/>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11"/>
        </w:numPr>
        <w:bidi w:val="0"/>
        <w:jc w:val="left"/>
        <w:rPr>
          <w:color w:val="000000"/>
          <w:sz w:val="32"/>
          <w:szCs w:val="32"/>
        </w:rPr>
      </w:pPr>
      <w:r>
        <w:rPr>
          <w:color w:val="000000"/>
          <w:sz w:val="32"/>
          <w:szCs w:val="32"/>
        </w:rPr>
        <w:t>Charles Richet</w:t>
      </w:r>
    </w:p>
    <w:p>
      <w:pPr>
        <w:pStyle w:val="TextBody"/>
        <w:numPr>
          <w:ilvl w:val="0"/>
          <w:numId w:val="11"/>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3" w:name="firstHeading1"/>
      <w:bookmarkEnd w:id="33"/>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Au </w:t>
      </w:r>
      <w:r>
        <w:rPr>
          <w:color w:val="000000"/>
          <w:sz w:val="32"/>
          <w:szCs w:val="32"/>
          <w:u w:val="none"/>
        </w:rPr>
        <w:t>décès</w:t>
      </w:r>
      <w:r>
        <w:rPr>
          <w:color w:val="000000"/>
          <w:sz w:val="32"/>
          <w:szCs w:val="32"/>
          <w:u w:val="none"/>
        </w:rPr>
        <w:t>, Racher effectue une dissection du cadavre.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Weltz</w:t>
      </w:r>
      <w:r>
        <w:rPr>
          <w:color w:val="000000"/>
          <w:sz w:val="32"/>
          <w:szCs w:val="32"/>
          <w:u w:val="none"/>
        </w:rPr>
        <w:t xml:space="preserve"> </w:t>
      </w:r>
      <w:r>
        <w:rPr>
          <w:color w:val="000000"/>
          <w:sz w:val="32"/>
          <w:szCs w:val="32"/>
          <w:u w:val="none"/>
        </w:rPr>
        <w:t xml:space="preserve">avait demandé </w:t>
      </w:r>
      <w:r>
        <w:rPr>
          <w:color w:val="000000"/>
          <w:sz w:val="32"/>
          <w:szCs w:val="32"/>
          <w:u w:val="none"/>
        </w:rPr>
        <w:t xml:space="preserve">à Dr </w:t>
      </w:r>
      <w:r>
        <w:rPr>
          <w:b w:val="false"/>
          <w:i w:val="false"/>
          <w:caps w:val="false"/>
          <w:smallCaps w:val="false"/>
          <w:color w:val="000000"/>
          <w:spacing w:val="0"/>
          <w:sz w:val="32"/>
          <w:szCs w:val="32"/>
          <w:u w:val="none"/>
        </w:rPr>
        <w:t xml:space="preserve">Wolfgang </w:t>
      </w:r>
      <w:r>
        <w:rPr>
          <w:color w:val="000000"/>
          <w:sz w:val="32"/>
          <w:szCs w:val="32"/>
          <w:u w:val="none"/>
        </w:rPr>
        <w:t xml:space="preserve">Lutz de participer à </w:t>
      </w:r>
      <w:r>
        <w:rPr>
          <w:color w:val="000000"/>
          <w:sz w:val="32"/>
          <w:szCs w:val="32"/>
          <w:u w:val="none"/>
        </w:rPr>
        <w:t>l’expérimentation</w:t>
      </w:r>
      <w:r>
        <w:rPr>
          <w:color w:val="000000"/>
          <w:sz w:val="32"/>
          <w:szCs w:val="32"/>
          <w:u w:val="none"/>
        </w:rPr>
        <w:t xml:space="preserve"> et ils avaient refusé.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bCs w:val="false"/>
          <w:i w:val="false"/>
          <w:caps w:val="false"/>
          <w:smallCaps w:val="false"/>
          <w:color w:val="222222"/>
          <w:spacing w:val="0"/>
          <w:sz w:val="32"/>
          <w:szCs w:val="32"/>
          <w:u w:val="none"/>
        </w:rPr>
        <w:t>Erhard Milch</w:t>
      </w:r>
      <w:r>
        <w:rPr>
          <w:color w:val="000000"/>
          <w:sz w:val="32"/>
          <w:szCs w:val="32"/>
          <w:u w:val="none"/>
        </w:rPr>
        <w:t>, respon</w:t>
      </w:r>
      <w:r>
        <w:rPr>
          <w:color w:val="000000"/>
          <w:sz w:val="32"/>
          <w:szCs w:val="32"/>
          <w:u w:val="none"/>
        </w:rPr>
        <w:t>sa</w:t>
      </w:r>
      <w:r>
        <w:rPr>
          <w:color w:val="000000"/>
          <w:sz w:val="32"/>
          <w:szCs w:val="32"/>
          <w:u w:val="none"/>
        </w:rPr>
        <w:t xml:space="preserve">ble de la </w:t>
      </w:r>
      <w:r>
        <w:rPr>
          <w:color w:val="000000"/>
          <w:sz w:val="32"/>
          <w:szCs w:val="32"/>
          <w:u w:val="none"/>
        </w:rPr>
        <w:t>L</w:t>
      </w:r>
      <w:r>
        <w:rPr>
          <w:color w:val="000000"/>
          <w:sz w:val="32"/>
          <w:szCs w:val="32"/>
          <w:u w:val="none"/>
        </w:rPr>
        <w:t xml:space="preserve">uftwaffe </w:t>
      </w:r>
      <w:r>
        <w:rPr>
          <w:color w:val="000000"/>
          <w:sz w:val="32"/>
          <w:szCs w:val="32"/>
          <w:u w:val="none"/>
        </w:rPr>
        <w:t xml:space="preserve">réclamera un arrêt des expériences : </w:t>
      </w:r>
      <w:r>
        <w:rPr>
          <w:color w:val="000000"/>
          <w:sz w:val="32"/>
          <w:szCs w:val="32"/>
          <w:u w:val="none"/>
        </w:rPr>
        <w:t>« Rapatri</w:t>
      </w:r>
      <w:r>
        <w:rPr>
          <w:color w:val="000000"/>
          <w:sz w:val="32"/>
          <w:szCs w:val="32"/>
          <w:u w:val="none"/>
        </w:rPr>
        <w:t>ez-</w:t>
      </w:r>
      <w:r>
        <w:rPr>
          <w:color w:val="000000"/>
          <w:sz w:val="32"/>
          <w:szCs w:val="32"/>
          <w:u w:val="none"/>
        </w:rPr>
        <w:t>moi la chambre car ce type d’expérience n’est pas responsable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b/>
          <w:bCs/>
          <w:i w:val="false"/>
          <w:caps w:val="false"/>
          <w:smallCaps w:val="false"/>
          <w:color w:val="222222"/>
          <w:spacing w:val="0"/>
          <w:sz w:val="32"/>
          <w:szCs w:val="32"/>
          <w:u w:val="single"/>
        </w:rPr>
      </w:pPr>
      <w:r>
        <w:rPr>
          <w:b/>
          <w:bCs/>
          <w:i w:val="false"/>
          <w:caps w:val="false"/>
          <w:smallCaps w:val="false"/>
          <w:color w:val="222222"/>
          <w:spacing w:val="0"/>
          <w:sz w:val="32"/>
          <w:szCs w:val="32"/>
          <w:u w:val="single"/>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single"/>
        </w:rPr>
      </w:pPr>
      <w:r>
        <w:rPr>
          <w:b/>
          <w:bCs/>
          <w:color w:val="000000"/>
          <w:sz w:val="32"/>
          <w:szCs w:val="32"/>
          <w:u w:val="single"/>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 expérience,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w:t>
      </w:r>
    </w:p>
    <w:p>
      <w:pPr>
        <w:pStyle w:val="Normal"/>
        <w:bidi w:val="0"/>
        <w:jc w:val="left"/>
        <w:rPr>
          <w:color w:val="000000"/>
          <w:sz w:val="32"/>
          <w:szCs w:val="32"/>
          <w:u w:val="none"/>
        </w:rPr>
      </w:pPr>
      <w:r>
        <w:rPr>
          <w:color w:val="000000"/>
          <w:sz w:val="32"/>
          <w:szCs w:val="32"/>
          <w:u w:val="none"/>
        </w:rPr>
        <w:t>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4" w:name="cite_ref-1"/>
      <w:bookmarkEnd w:id="34"/>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Ajouter le semrent d’hypocrate en piece jointe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2">
        <w:r>
          <w:rPr>
            <w:rStyle w:val="InternetLink"/>
          </w:rPr>
          <w:t>Esculape</w:t>
        </w:r>
      </w:hyperlink>
      <w:r>
        <w:rPr>
          <w:color w:val="000000"/>
          <w:sz w:val="32"/>
          <w:szCs w:val="32"/>
        </w:rPr>
        <w:t>, Hygie et Panacée, par tous les </w:t>
      </w:r>
      <w:hyperlink r:id="rId3">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Normal"/>
        <w:bidi w:val="0"/>
        <w:jc w:val="left"/>
        <w:rPr>
          <w:color w:val="000000"/>
          <w:sz w:val="36"/>
          <w:szCs w:val="36"/>
          <w:u w:val="single"/>
        </w:rPr>
      </w:pPr>
      <w:r>
        <w:rPr>
          <w:color w:val="000000"/>
          <w:sz w:val="36"/>
          <w:szCs w:val="36"/>
          <w:u w:val="single"/>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single"/>
        </w:rPr>
      </w:pPr>
      <w:r>
        <w:rPr>
          <w:color w:val="000000"/>
          <w:sz w:val="32"/>
          <w:szCs w:val="32"/>
          <w:u w:val="single"/>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center"/>
        <w:rPr>
          <w:color w:val="000000"/>
          <w:sz w:val="40"/>
          <w:szCs w:val="40"/>
          <w:u w:val="single"/>
        </w:rPr>
      </w:pPr>
      <w:r>
        <w:rPr>
          <w:color w:val="000000"/>
          <w:sz w:val="40"/>
          <w:szCs w:val="40"/>
          <w:u w:val="single"/>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4">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5"/>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5"/>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6"/>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6"/>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35" w:name="__RefHeading___Toc5583_2654796477"/>
      <w:bookmarkEnd w:id="35"/>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vikidia.org/wiki/Esculape" TargetMode="External"/><Relationship Id="rId3" Type="http://schemas.openxmlformats.org/officeDocument/2006/relationships/hyperlink" Target="https://fr.vikidia.org/wiki/Mythologie_grecque" TargetMode="External"/><Relationship Id="rId4" Type="http://schemas.openxmlformats.org/officeDocument/2006/relationships/hyperlink" Target="https://fr.wikipedia.org/wiki/T&#233;l&#233;ologi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3126</TotalTime>
  <Application>LibreOffice/6.3.5.2$Linux_X86_64 LibreOffice_project/30$Build-2</Application>
  <Pages>86</Pages>
  <Words>22706</Words>
  <Characters>118906</Characters>
  <CharactersWithSpaces>140663</CharactersWithSpaces>
  <Paragraphs>1250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2020-04-18T11:01:53Z</dcterms:modified>
  <cp:revision>47</cp:revision>
  <dc:subject/>
  <dc:title/>
</cp:coreProperties>
</file>