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CA82" w14:textId="49E62943" w:rsidR="00B17002" w:rsidRPr="00DA6170" w:rsidRDefault="00832447" w:rsidP="0015438B">
      <w:pPr>
        <w:pStyle w:val="Title"/>
        <w:jc w:val="both"/>
        <w:rPr>
          <w:sz w:val="32"/>
          <w:szCs w:val="32"/>
          <w:lang w:val="en-US"/>
        </w:rPr>
      </w:pPr>
      <w:r w:rsidRPr="00DA6170">
        <w:rPr>
          <w:sz w:val="32"/>
          <w:szCs w:val="32"/>
          <w:lang w:val="en-US"/>
        </w:rPr>
        <w:t>Potential d</w:t>
      </w:r>
      <w:r w:rsidR="00500C5B" w:rsidRPr="00DA6170">
        <w:rPr>
          <w:sz w:val="32"/>
          <w:szCs w:val="32"/>
          <w:lang w:val="en-US"/>
        </w:rPr>
        <w:t xml:space="preserve">ramatic </w:t>
      </w:r>
      <w:r w:rsidR="009D25B4" w:rsidRPr="00DA6170">
        <w:rPr>
          <w:sz w:val="32"/>
          <w:szCs w:val="32"/>
          <w:lang w:val="en-US"/>
        </w:rPr>
        <w:t>decrease</w:t>
      </w:r>
      <w:r w:rsidR="00500C5B" w:rsidRPr="00DA6170">
        <w:rPr>
          <w:sz w:val="32"/>
          <w:szCs w:val="32"/>
          <w:lang w:val="en-US"/>
        </w:rPr>
        <w:t xml:space="preserve"> of the </w:t>
      </w:r>
      <w:proofErr w:type="spellStart"/>
      <w:r w:rsidR="00500C5B" w:rsidRPr="00DA6170">
        <w:rPr>
          <w:rFonts w:ascii="Courier" w:hAnsi="Courier"/>
          <w:sz w:val="32"/>
          <w:szCs w:val="32"/>
          <w:lang w:val="en-US"/>
        </w:rPr>
        <w:t>molecfit_model</w:t>
      </w:r>
      <w:proofErr w:type="spellEnd"/>
      <w:r w:rsidR="00500C5B" w:rsidRPr="00DA6170">
        <w:rPr>
          <w:sz w:val="32"/>
          <w:szCs w:val="32"/>
          <w:lang w:val="en-US"/>
        </w:rPr>
        <w:t xml:space="preserve"> </w:t>
      </w:r>
      <w:r w:rsidR="009D25B4" w:rsidRPr="00DA6170">
        <w:rPr>
          <w:sz w:val="32"/>
          <w:szCs w:val="32"/>
          <w:lang w:val="en-US"/>
        </w:rPr>
        <w:t>execution time</w:t>
      </w:r>
    </w:p>
    <w:p w14:paraId="03F2E235" w14:textId="618A5930" w:rsidR="00500C5B" w:rsidRPr="00CE25D6" w:rsidRDefault="00CE25D6" w:rsidP="00CE25D6">
      <w:pPr>
        <w:jc w:val="both"/>
        <w:rPr>
          <w:lang w:val="en-US"/>
        </w:rPr>
      </w:pPr>
      <w:r>
        <w:rPr>
          <w:lang w:val="en-US"/>
        </w:rPr>
        <w:t xml:space="preserve">Alain </w:t>
      </w:r>
      <w:proofErr w:type="spellStart"/>
      <w:r w:rsidR="000E35DA" w:rsidRPr="00CE25D6">
        <w:rPr>
          <w:lang w:val="en-US"/>
        </w:rPr>
        <w:t>S</w:t>
      </w:r>
      <w:r w:rsidR="00542BAD" w:rsidRPr="00CE25D6">
        <w:rPr>
          <w:lang w:val="en-US"/>
        </w:rPr>
        <w:t>mette</w:t>
      </w:r>
      <w:proofErr w:type="spellEnd"/>
      <w:r w:rsidR="00542BAD" w:rsidRPr="00CE25D6">
        <w:rPr>
          <w:lang w:val="en-US"/>
        </w:rPr>
        <w:t xml:space="preserve"> 2022-10-12</w:t>
      </w:r>
    </w:p>
    <w:p w14:paraId="079F9F5D" w14:textId="48361D6E" w:rsidR="00500C5B" w:rsidRDefault="00500C5B" w:rsidP="00A37C84">
      <w:pPr>
        <w:pStyle w:val="Heading1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Introduction</w:t>
      </w:r>
    </w:p>
    <w:p w14:paraId="5F13D9A1" w14:textId="77777777" w:rsidR="003D331B" w:rsidRPr="003D331B" w:rsidRDefault="003D331B" w:rsidP="003D331B">
      <w:pPr>
        <w:rPr>
          <w:lang w:val="en-US"/>
        </w:rPr>
      </w:pPr>
    </w:p>
    <w:p w14:paraId="46B5FF99" w14:textId="7CD70EFB" w:rsidR="00500C5B" w:rsidRDefault="00500C5B" w:rsidP="0015438B">
      <w:pPr>
        <w:jc w:val="both"/>
        <w:rPr>
          <w:lang w:val="en-US"/>
        </w:rPr>
      </w:pPr>
      <w:r>
        <w:rPr>
          <w:lang w:val="en-US"/>
        </w:rPr>
        <w:t xml:space="preserve">So far, </w:t>
      </w:r>
      <w:proofErr w:type="spellStart"/>
      <w:r w:rsidRPr="0023292D">
        <w:rPr>
          <w:rFonts w:ascii="Courier" w:hAnsi="Courier"/>
          <w:lang w:val="en-US"/>
        </w:rPr>
        <w:t>molecfit_model</w:t>
      </w:r>
      <w:proofErr w:type="spellEnd"/>
      <w:r>
        <w:rPr>
          <w:lang w:val="en-US"/>
        </w:rPr>
        <w:t xml:space="preserve"> execut</w:t>
      </w:r>
      <w:r w:rsidR="0023292D">
        <w:rPr>
          <w:lang w:val="en-US"/>
        </w:rPr>
        <w:t>ion time</w:t>
      </w:r>
      <w:r>
        <w:rPr>
          <w:lang w:val="en-US"/>
        </w:rPr>
        <w:t xml:space="preserve"> has been a major limitation to the recipe. </w:t>
      </w:r>
      <w:r w:rsidR="0023292D">
        <w:rPr>
          <w:lang w:val="en-US"/>
        </w:rPr>
        <w:t xml:space="preserve">It </w:t>
      </w:r>
      <w:r>
        <w:rPr>
          <w:lang w:val="en-US"/>
        </w:rPr>
        <w:t xml:space="preserve">is dominated by the calls to the radiative transfer code, LBLRTM, which </w:t>
      </w:r>
      <w:r w:rsidR="0023292D">
        <w:rPr>
          <w:lang w:val="en-US"/>
        </w:rPr>
        <w:t>take place</w:t>
      </w:r>
      <w:r>
        <w:rPr>
          <w:lang w:val="en-US"/>
        </w:rPr>
        <w:t xml:space="preserve"> each time that the abundance of a molecule is changed. In fact, for each change of molecular abundance, LBLRTM is currently called </w:t>
      </w:r>
      <w:r w:rsidR="00F10CAB">
        <w:rPr>
          <w:lang w:val="en-US"/>
        </w:rPr>
        <w:t>(</w:t>
      </w:r>
      <w:r w:rsidR="00C96BE3">
        <w:rPr>
          <w:lang w:val="en-US"/>
        </w:rPr>
        <w:t>twice</w:t>
      </w:r>
      <w:r w:rsidR="00F10CAB">
        <w:rPr>
          <w:lang w:val="en-US"/>
        </w:rPr>
        <w:t xml:space="preserve"> + </w:t>
      </w:r>
      <w:r w:rsidR="00C96BE3">
        <w:rPr>
          <w:lang w:val="en-US"/>
        </w:rPr>
        <w:t>once</w:t>
      </w:r>
      <w:r>
        <w:rPr>
          <w:lang w:val="en-US"/>
        </w:rPr>
        <w:t xml:space="preserve"> per molecule to be fitted</w:t>
      </w:r>
      <w:r w:rsidR="00F10CAB">
        <w:rPr>
          <w:lang w:val="en-US"/>
        </w:rPr>
        <w:t>)</w:t>
      </w:r>
      <w:r w:rsidR="0023292D">
        <w:rPr>
          <w:lang w:val="en-US"/>
        </w:rPr>
        <w:t xml:space="preserve"> </w:t>
      </w:r>
      <w:r w:rsidR="00F10CAB">
        <w:rPr>
          <w:lang w:val="en-US"/>
        </w:rPr>
        <w:t>for each</w:t>
      </w:r>
      <w:r w:rsidR="0023292D">
        <w:rPr>
          <w:lang w:val="en-US"/>
        </w:rPr>
        <w:t xml:space="preserve"> region</w:t>
      </w:r>
      <w:r>
        <w:rPr>
          <w:lang w:val="en-US"/>
        </w:rPr>
        <w:t xml:space="preserve">: </w:t>
      </w:r>
      <w:r w:rsidR="00D64848">
        <w:rPr>
          <w:lang w:val="en-US"/>
        </w:rPr>
        <w:t>one</w:t>
      </w:r>
      <w:r>
        <w:rPr>
          <w:lang w:val="en-US"/>
        </w:rPr>
        <w:t xml:space="preserve"> to determine the new transmission spectrum, and </w:t>
      </w:r>
      <w:r w:rsidR="00D64848">
        <w:rPr>
          <w:lang w:val="en-US"/>
        </w:rPr>
        <w:t>twice</w:t>
      </w:r>
      <w:r>
        <w:rPr>
          <w:lang w:val="en-US"/>
        </w:rPr>
        <w:t xml:space="preserve"> to determine the derivative</w:t>
      </w:r>
      <w:r w:rsidR="00F10CAB">
        <w:rPr>
          <w:lang w:val="en-US"/>
        </w:rPr>
        <w:t xml:space="preserve"> relative to the relative column density</w:t>
      </w:r>
      <w:r w:rsidR="00D64848">
        <w:rPr>
          <w:lang w:val="en-US"/>
        </w:rPr>
        <w:t xml:space="preserve"> (once with unperturbed parameter used for each derivative, and once per molecule with perturbed parameter)</w:t>
      </w:r>
      <w:r>
        <w:rPr>
          <w:lang w:val="en-US"/>
        </w:rPr>
        <w:t>. An effort is already on-going to decrease the number of calls to only once per molecule to determine the derivative.</w:t>
      </w:r>
    </w:p>
    <w:p w14:paraId="48B206B9" w14:textId="70B8BA13" w:rsidR="00500C5B" w:rsidRDefault="00500C5B" w:rsidP="0015438B">
      <w:pPr>
        <w:jc w:val="both"/>
        <w:rPr>
          <w:lang w:val="en-US"/>
        </w:rPr>
      </w:pPr>
    </w:p>
    <w:p w14:paraId="79C7670E" w14:textId="5E1430C0" w:rsidR="00500C5B" w:rsidRDefault="00500C5B" w:rsidP="0015438B">
      <w:pPr>
        <w:jc w:val="both"/>
        <w:rPr>
          <w:lang w:val="en-US"/>
        </w:rPr>
      </w:pPr>
      <w:r>
        <w:rPr>
          <w:lang w:val="en-US"/>
        </w:rPr>
        <w:t>However, there is a much more efficient way which I feel ashamed not to have identified earlier</w:t>
      </w:r>
      <w:r w:rsidR="0063245F">
        <w:rPr>
          <w:lang w:val="en-US"/>
        </w:rPr>
        <w:t>: if the following is correct, it should</w:t>
      </w:r>
      <w:r>
        <w:rPr>
          <w:lang w:val="en-US"/>
        </w:rPr>
        <w:t xml:space="preserve"> limit the number of calls to LBLRTM to just once per molecule</w:t>
      </w:r>
      <w:r w:rsidR="0063245F">
        <w:rPr>
          <w:lang w:val="en-US"/>
        </w:rPr>
        <w:t xml:space="preserve"> and per region (in absence of line coupling)</w:t>
      </w:r>
      <w:r>
        <w:rPr>
          <w:lang w:val="en-US"/>
        </w:rPr>
        <w:t>!</w:t>
      </w:r>
    </w:p>
    <w:p w14:paraId="583441B8" w14:textId="67CA0B7B" w:rsidR="00500C5B" w:rsidRDefault="00500C5B" w:rsidP="0015438B">
      <w:pPr>
        <w:jc w:val="both"/>
        <w:rPr>
          <w:lang w:val="en-US"/>
        </w:rPr>
      </w:pPr>
    </w:p>
    <w:p w14:paraId="4D274D24" w14:textId="1AE73516" w:rsidR="00500C5B" w:rsidRDefault="00500C5B" w:rsidP="00A37C84">
      <w:pPr>
        <w:pStyle w:val="Heading1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Using optical depths</w:t>
      </w:r>
    </w:p>
    <w:p w14:paraId="32EC456A" w14:textId="2D2FC4BB" w:rsidR="00500C5B" w:rsidRDefault="00500C5B" w:rsidP="0015438B">
      <w:pPr>
        <w:jc w:val="both"/>
        <w:rPr>
          <w:lang w:val="en-US"/>
        </w:rPr>
      </w:pPr>
    </w:p>
    <w:p w14:paraId="1C9B0FE1" w14:textId="55B624E5" w:rsidR="00500C5B" w:rsidRDefault="004B0664" w:rsidP="0015438B">
      <w:pPr>
        <w:jc w:val="both"/>
        <w:rPr>
          <w:lang w:val="en-US"/>
        </w:rPr>
      </w:pPr>
      <w:r>
        <w:rPr>
          <w:lang w:val="en-US"/>
        </w:rPr>
        <w:t>To focus on the method, let’s a</w:t>
      </w:r>
      <w:r w:rsidR="0001143C">
        <w:rPr>
          <w:lang w:val="en-US"/>
        </w:rPr>
        <w:t>ssum</w:t>
      </w:r>
      <w:r>
        <w:rPr>
          <w:lang w:val="en-US"/>
        </w:rPr>
        <w:t>e</w:t>
      </w:r>
      <w:r w:rsidR="0001143C">
        <w:rPr>
          <w:lang w:val="en-US"/>
        </w:rPr>
        <w:t xml:space="preserve"> a single atmospheric layer</w:t>
      </w:r>
      <w:r>
        <w:rPr>
          <w:lang w:val="en-US"/>
        </w:rPr>
        <w:t>. T</w:t>
      </w:r>
      <w:r w:rsidR="0023292D">
        <w:rPr>
          <w:lang w:val="en-US"/>
        </w:rPr>
        <w:t xml:space="preserve">he </w:t>
      </w:r>
      <w:r w:rsidR="00500C5B">
        <w:rPr>
          <w:lang w:val="en-US"/>
        </w:rPr>
        <w:t>transmission spectrum</w:t>
      </w:r>
      <w:r w:rsidR="00F77B89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23292D">
        <w:rPr>
          <w:lang w:val="en-US"/>
        </w:rPr>
        <w:t xml:space="preserve">, is related to the optical depths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23292D">
        <w:rPr>
          <w:rFonts w:eastAsiaTheme="minorEastAsia"/>
          <w:lang w:val="en-US"/>
        </w:rPr>
        <w:t xml:space="preserve"> for the molecule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23292D">
        <w:rPr>
          <w:lang w:val="en-US"/>
        </w:rPr>
        <w:t xml:space="preserve"> by the relation</w:t>
      </w:r>
    </w:p>
    <w:p w14:paraId="46BC19EE" w14:textId="393B9076" w:rsidR="00500C5B" w:rsidRDefault="00500C5B" w:rsidP="0015438B">
      <w:pPr>
        <w:jc w:val="both"/>
        <w:rPr>
          <w:lang w:val="en-US"/>
        </w:rPr>
      </w:pPr>
    </w:p>
    <w:p w14:paraId="3D21BFE8" w14:textId="3E1C17EF" w:rsidR="00500C5B" w:rsidRDefault="00500C5B" w:rsidP="0015438B">
      <w:pPr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 xml:space="preserve">(-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</m:d>
          </m:e>
        </m:nary>
        <m:r>
          <w:rPr>
            <w:rFonts w:ascii="Cambria Math" w:hAnsi="Cambria Math"/>
            <w:lang w:val="en-US"/>
          </w:rPr>
          <m:t>)</m:t>
        </m:r>
      </m:oMath>
      <w:r w:rsidR="00F77B89">
        <w:rPr>
          <w:rFonts w:eastAsiaTheme="minorEastAsia"/>
          <w:lang w:val="en-US"/>
        </w:rPr>
        <w:t xml:space="preserve"> </w:t>
      </w:r>
      <w:r w:rsidR="00F77B89">
        <w:rPr>
          <w:rFonts w:eastAsiaTheme="minorEastAsia"/>
          <w:lang w:val="en-US"/>
        </w:rPr>
        <w:tab/>
      </w:r>
      <w:r w:rsidR="00C66987">
        <w:rPr>
          <w:rFonts w:eastAsiaTheme="minorEastAsia"/>
          <w:lang w:val="en-US"/>
        </w:rPr>
        <w:t>,</w:t>
      </w:r>
      <w:r w:rsidR="00F77B89">
        <w:rPr>
          <w:rFonts w:eastAsiaTheme="minorEastAsia"/>
          <w:lang w:val="en-US"/>
        </w:rPr>
        <w:tab/>
      </w:r>
      <w:r w:rsidR="00F77B89">
        <w:rPr>
          <w:rFonts w:eastAsiaTheme="minorEastAsia"/>
          <w:lang w:val="en-US"/>
        </w:rPr>
        <w:tab/>
      </w:r>
      <w:r w:rsidR="00F77B89">
        <w:rPr>
          <w:rFonts w:eastAsiaTheme="minorEastAsia"/>
          <w:lang w:val="en-US"/>
        </w:rPr>
        <w:tab/>
      </w:r>
      <w:r w:rsidR="00F77B89">
        <w:rPr>
          <w:rFonts w:eastAsiaTheme="minorEastAsia"/>
          <w:lang w:val="en-US"/>
        </w:rPr>
        <w:tab/>
        <w:t>(Eq. 1)</w:t>
      </w:r>
    </w:p>
    <w:p w14:paraId="40AE7333" w14:textId="77777777" w:rsidR="00C66987" w:rsidRDefault="00C66987" w:rsidP="00C66987">
      <w:pPr>
        <w:jc w:val="both"/>
        <w:rPr>
          <w:rFonts w:eastAsiaTheme="minorEastAsia"/>
          <w:lang w:val="en-US"/>
        </w:rPr>
      </w:pPr>
    </w:p>
    <w:p w14:paraId="56CF0AC2" w14:textId="27108AED" w:rsidR="00C66987" w:rsidRDefault="00C66987" w:rsidP="00C6698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number of molecules relevant in the region being considered.</w:t>
      </w:r>
    </w:p>
    <w:p w14:paraId="2BA8408E" w14:textId="77777777" w:rsidR="00F77B89" w:rsidRPr="00F77B89" w:rsidRDefault="00F77B89" w:rsidP="0015438B">
      <w:pPr>
        <w:jc w:val="both"/>
        <w:rPr>
          <w:lang w:val="en-US"/>
        </w:rPr>
      </w:pPr>
    </w:p>
    <w:p w14:paraId="6A4B26AF" w14:textId="28A47017" w:rsidR="00500C5B" w:rsidRDefault="00F77B89" w:rsidP="0015438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a simplification here is the impact of the line coupling, which we </w:t>
      </w:r>
      <w:r w:rsidR="00CF4FC0">
        <w:rPr>
          <w:rFonts w:eastAsiaTheme="minorEastAsia"/>
          <w:lang w:val="en-US"/>
        </w:rPr>
        <w:t>should</w:t>
      </w:r>
      <w:r>
        <w:rPr>
          <w:rFonts w:eastAsiaTheme="minorEastAsia"/>
          <w:lang w:val="en-US"/>
        </w:rPr>
        <w:t xml:space="preserve"> deal with later. </w:t>
      </w:r>
      <w:r w:rsidR="00F474A6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optical depth for each molecule is given by</w:t>
      </w:r>
    </w:p>
    <w:p w14:paraId="0004890C" w14:textId="77777777" w:rsidR="00F77B89" w:rsidRDefault="00F77B89" w:rsidP="0015438B">
      <w:pPr>
        <w:jc w:val="both"/>
        <w:rPr>
          <w:rFonts w:eastAsiaTheme="minorEastAsia"/>
          <w:lang w:val="en-US"/>
        </w:rPr>
      </w:pPr>
    </w:p>
    <w:p w14:paraId="3DE6E69B" w14:textId="1BB3BF41" w:rsidR="00F77B89" w:rsidRPr="00F77B89" w:rsidRDefault="00F77B89" w:rsidP="0015438B">
      <w:pPr>
        <w:jc w:val="right"/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 w:rsidRPr="00813E89">
        <w:rPr>
          <w:rFonts w:eastAsiaTheme="minorEastAsia"/>
          <w:lang w:val="en-US"/>
        </w:rPr>
        <w:t>(Eq.2)</w:t>
      </w:r>
    </w:p>
    <w:p w14:paraId="213A513C" w14:textId="77777777" w:rsidR="00F77B89" w:rsidRDefault="00F77B89" w:rsidP="0015438B">
      <w:pPr>
        <w:jc w:val="both"/>
        <w:rPr>
          <w:rFonts w:eastAsiaTheme="minorEastAsia"/>
          <w:lang w:val="en-US"/>
        </w:rPr>
      </w:pPr>
    </w:p>
    <w:p w14:paraId="263F7E82" w14:textId="1CB4A7B6" w:rsidR="00F77B89" w:rsidRDefault="00F77B89" w:rsidP="0015438B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 xml:space="preserve"> is the column density of molecule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01143C">
        <w:rPr>
          <w:rFonts w:eastAsiaTheme="minorEastAsia"/>
          <w:lang w:val="en-US"/>
        </w:rPr>
        <w:t xml:space="preserve"> in the atmospheric layer</w:t>
      </w:r>
      <w:r>
        <w:rPr>
          <w:rFonts w:eastAsiaTheme="minorEastAsia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>
        <w:rPr>
          <w:rFonts w:eastAsiaTheme="minorEastAsia"/>
          <w:iCs/>
          <w:lang w:val="en-US"/>
        </w:rPr>
        <w:t>, its wavelength-dependent cross-section.</w:t>
      </w:r>
      <w:r w:rsidR="00813E89">
        <w:rPr>
          <w:rFonts w:eastAsiaTheme="minorEastAsia"/>
          <w:iCs/>
          <w:lang w:val="en-US"/>
        </w:rPr>
        <w:t xml:space="preserve"> We can rewrite Eq. 2 as:</w:t>
      </w:r>
    </w:p>
    <w:p w14:paraId="3A1820CA" w14:textId="77777777" w:rsidR="00813E89" w:rsidRDefault="00813E89" w:rsidP="0015438B">
      <w:pPr>
        <w:jc w:val="both"/>
        <w:rPr>
          <w:rFonts w:eastAsiaTheme="minorEastAsia"/>
          <w:iCs/>
          <w:lang w:val="en-US"/>
        </w:rPr>
      </w:pPr>
    </w:p>
    <w:p w14:paraId="7A765453" w14:textId="77777777" w:rsidR="00813E89" w:rsidRDefault="00813E89" w:rsidP="0015438B">
      <w:pPr>
        <w:jc w:val="right"/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 w:rsidRPr="00813E89">
        <w:rPr>
          <w:rFonts w:eastAsiaTheme="minorEastAsia"/>
          <w:lang w:val="en-US"/>
        </w:rPr>
        <w:t>(Eq.</w:t>
      </w:r>
      <w:r w:rsidRPr="00813E89">
        <w:rPr>
          <w:rFonts w:eastAsiaTheme="minorEastAsia"/>
          <w:lang w:val="en-US"/>
        </w:rPr>
        <w:t>3</w:t>
      </w:r>
      <w:r w:rsidRPr="00813E89">
        <w:rPr>
          <w:rFonts w:eastAsiaTheme="minorEastAsia"/>
          <w:lang w:val="en-US"/>
        </w:rPr>
        <w:t>)</w:t>
      </w:r>
    </w:p>
    <w:p w14:paraId="08DC9D9F" w14:textId="3CED5ED8" w:rsidR="00813E89" w:rsidRDefault="00813E89" w:rsidP="0015438B">
      <w:pPr>
        <w:jc w:val="both"/>
        <w:rPr>
          <w:rFonts w:eastAsiaTheme="minorEastAsia"/>
          <w:i/>
          <w:iCs/>
          <w:lang w:val="en-US"/>
        </w:rPr>
      </w:pPr>
    </w:p>
    <w:p w14:paraId="4D127446" w14:textId="30050279" w:rsidR="00F77B89" w:rsidRDefault="00813E89" w:rsidP="0015438B">
      <w:pPr>
        <w:jc w:val="both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</m:oMath>
      <w:r>
        <w:rPr>
          <w:rFonts w:eastAsiaTheme="minorEastAsia"/>
          <w:iCs/>
          <w:lang w:val="en-US"/>
        </w:rPr>
        <w:t xml:space="preserve"> is the column density of molecule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for the chosen reference atmospheric profile, </w:t>
      </w:r>
      <w:r w:rsidR="0023292D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bSup>
          </m:den>
        </m:f>
      </m:oMath>
      <w:r>
        <w:rPr>
          <w:rFonts w:eastAsiaTheme="minorEastAsia"/>
          <w:iCs/>
          <w:lang w:val="en-US"/>
        </w:rPr>
        <w:t xml:space="preserve"> is the relative column density</w:t>
      </w:r>
      <w:r w:rsidR="0023292D">
        <w:rPr>
          <w:rFonts w:eastAsiaTheme="minorEastAsia"/>
          <w:iCs/>
          <w:lang w:val="en-US"/>
        </w:rPr>
        <w:t>. The latter</w:t>
      </w:r>
      <w:r>
        <w:rPr>
          <w:rFonts w:eastAsiaTheme="minorEastAsia"/>
          <w:iCs/>
          <w:lang w:val="en-US"/>
        </w:rPr>
        <w:t xml:space="preserve"> </w:t>
      </w:r>
      <w:r w:rsidR="0023292D">
        <w:rPr>
          <w:rFonts w:eastAsiaTheme="minorEastAsia"/>
          <w:iCs/>
          <w:lang w:val="en-US"/>
        </w:rPr>
        <w:t>is the quantity that</w:t>
      </w:r>
      <w:r>
        <w:rPr>
          <w:rFonts w:eastAsiaTheme="minorEastAsia"/>
          <w:iCs/>
          <w:lang w:val="en-US"/>
        </w:rPr>
        <w:t xml:space="preserve"> </w:t>
      </w:r>
      <w:proofErr w:type="spellStart"/>
      <w:r w:rsidRPr="00C66987">
        <w:rPr>
          <w:rFonts w:ascii="Courier" w:eastAsiaTheme="minorEastAsia" w:hAnsi="Courier"/>
          <w:lang w:val="en-US"/>
        </w:rPr>
        <w:t>molecfit_model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gramStart"/>
      <w:r>
        <w:rPr>
          <w:rFonts w:eastAsiaTheme="minorEastAsia"/>
          <w:iCs/>
          <w:lang w:val="en-US"/>
        </w:rPr>
        <w:t>actually determines</w:t>
      </w:r>
      <w:proofErr w:type="gramEnd"/>
      <w:r>
        <w:rPr>
          <w:rFonts w:eastAsiaTheme="minorEastAsia"/>
          <w:iCs/>
          <w:lang w:val="en-US"/>
        </w:rPr>
        <w:t xml:space="preserve">. If one now defines </w:t>
      </w:r>
      <w:r w:rsidR="004B0664">
        <w:rPr>
          <w:rFonts w:eastAsiaTheme="minorEastAsia"/>
          <w:iCs/>
          <w:lang w:val="en-US"/>
        </w:rPr>
        <w:t xml:space="preserve">the optical depth for the reference atmospheric profile,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i/>
          <w:iCs/>
          <w:lang w:val="en-US"/>
        </w:rPr>
        <w:t xml:space="preserve"> </w:t>
      </w:r>
      <w:r>
        <w:rPr>
          <w:rFonts w:eastAsiaTheme="minorEastAsia"/>
          <w:lang w:val="en-US"/>
        </w:rPr>
        <w:t>then Eq. 1 can be rewritten as:</w:t>
      </w:r>
    </w:p>
    <w:p w14:paraId="511C5EB2" w14:textId="77777777" w:rsidR="00813E89" w:rsidRDefault="00813E89" w:rsidP="0015438B">
      <w:pPr>
        <w:jc w:val="both"/>
        <w:rPr>
          <w:rFonts w:eastAsiaTheme="minorEastAsia"/>
          <w:lang w:val="en-US"/>
        </w:rPr>
      </w:pPr>
    </w:p>
    <w:p w14:paraId="7C513FAB" w14:textId="7FBDF18A" w:rsidR="00813E89" w:rsidRDefault="00813E89" w:rsidP="0015438B">
      <w:pPr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r>
              <w:rPr>
                <w:rFonts w:ascii="Cambria Math" w:hAnsi="Cambria Math"/>
                <w:lang w:val="en-US"/>
              </w:rPr>
              <m:t xml:space="preserve">(-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(Eq. </w:t>
      </w:r>
      <w:r w:rsidR="007B161E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)</w:t>
      </w:r>
    </w:p>
    <w:p w14:paraId="252A5909" w14:textId="77777777" w:rsidR="00813E89" w:rsidRPr="00813E89" w:rsidRDefault="00813E89" w:rsidP="0015438B">
      <w:pPr>
        <w:jc w:val="both"/>
        <w:rPr>
          <w:rFonts w:eastAsiaTheme="minorEastAsia"/>
          <w:lang w:val="en-US"/>
        </w:rPr>
      </w:pPr>
    </w:p>
    <w:p w14:paraId="1595FF00" w14:textId="35B77A99" w:rsidR="00F77B89" w:rsidRDefault="00F77B89" w:rsidP="0015438B">
      <w:pPr>
        <w:jc w:val="both"/>
        <w:rPr>
          <w:rFonts w:eastAsiaTheme="minorEastAsia"/>
          <w:lang w:val="en-US"/>
        </w:rPr>
      </w:pPr>
      <w:proofErr w:type="spellStart"/>
      <w:r w:rsidRPr="00C66987">
        <w:rPr>
          <w:rFonts w:ascii="Courier" w:eastAsiaTheme="minorEastAsia" w:hAnsi="Courier"/>
          <w:lang w:val="en-US"/>
        </w:rPr>
        <w:t>Molecfit_model</w:t>
      </w:r>
      <w:proofErr w:type="spellEnd"/>
      <w:r>
        <w:rPr>
          <w:rFonts w:eastAsiaTheme="minorEastAsia"/>
          <w:lang w:val="en-US"/>
        </w:rPr>
        <w:t xml:space="preserve"> requires the derivative of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813E89">
        <w:rPr>
          <w:rFonts w:eastAsiaTheme="minorEastAsia"/>
          <w:lang w:val="en-US"/>
        </w:rPr>
        <w:t xml:space="preserve"> relative to 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13E89">
        <w:rPr>
          <w:rFonts w:eastAsiaTheme="minorEastAsia"/>
          <w:iCs/>
          <w:lang w:val="en-US"/>
        </w:rPr>
        <w:t>, that is:</w:t>
      </w:r>
    </w:p>
    <w:p w14:paraId="1B541B32" w14:textId="04A41C24" w:rsidR="00F77B89" w:rsidRDefault="00F77B89" w:rsidP="0015438B">
      <w:pPr>
        <w:jc w:val="both"/>
        <w:rPr>
          <w:rFonts w:eastAsiaTheme="minorEastAsia"/>
          <w:lang w:val="en-US"/>
        </w:rPr>
      </w:pPr>
    </w:p>
    <w:p w14:paraId="1ED1DF9B" w14:textId="29B34140" w:rsidR="00F77B89" w:rsidRDefault="00813E89" w:rsidP="0015438B">
      <w:pPr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∂T(λ)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= -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lang w:val="en-US"/>
          </w:rPr>
          <m:t>exp⁡</m:t>
        </m:r>
        <m:r>
          <w:rPr>
            <w:rFonts w:ascii="Cambria Math" w:hAnsi="Cambria Math"/>
            <w:lang w:val="en-US"/>
          </w:rPr>
          <m:t xml:space="preserve">(-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lang w:val="en-US"/>
              </w:rPr>
              <m:t xml:space="preserve"> 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 w:rsidR="00D7477E">
        <w:rPr>
          <w:rFonts w:eastAsiaTheme="minorEastAsia"/>
          <w:iCs/>
          <w:lang w:val="en-US"/>
        </w:rPr>
        <w:t xml:space="preserve"> = -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B161E">
        <w:rPr>
          <w:rFonts w:eastAsiaTheme="minorEastAsia"/>
          <w:iCs/>
          <w:lang w:val="en-US"/>
        </w:rPr>
        <w:tab/>
      </w:r>
      <w:r w:rsidR="007B161E">
        <w:rPr>
          <w:rFonts w:eastAsiaTheme="minorEastAsia"/>
          <w:iCs/>
          <w:lang w:val="en-US"/>
        </w:rPr>
        <w:tab/>
      </w:r>
      <w:r w:rsidR="007B161E">
        <w:rPr>
          <w:rFonts w:eastAsiaTheme="minorEastAsia"/>
          <w:iCs/>
          <w:lang w:val="en-US"/>
        </w:rPr>
        <w:tab/>
        <w:t>(Eq. 5)</w:t>
      </w:r>
    </w:p>
    <w:p w14:paraId="6B2C9801" w14:textId="77777777" w:rsidR="00F77B89" w:rsidRDefault="00F77B89" w:rsidP="0015438B">
      <w:pPr>
        <w:jc w:val="both"/>
        <w:rPr>
          <w:lang w:val="en-US"/>
        </w:rPr>
      </w:pPr>
    </w:p>
    <w:p w14:paraId="5F6682C5" w14:textId="6E2EF63C" w:rsidR="00D7477E" w:rsidRDefault="00D0555B" w:rsidP="0015438B">
      <w:pPr>
        <w:jc w:val="both"/>
        <w:rPr>
          <w:lang w:val="en-US"/>
        </w:rPr>
      </w:pPr>
      <w:r>
        <w:rPr>
          <w:lang w:val="en-US"/>
        </w:rPr>
        <w:t xml:space="preserve">In other words, </w:t>
      </w:r>
      <w:r w:rsidR="00D7477E" w:rsidRPr="00D7477E">
        <w:rPr>
          <w:lang w:val="en-US"/>
        </w:rPr>
        <w:t>Equation</w:t>
      </w:r>
      <w:r w:rsidR="00D7477E">
        <w:rPr>
          <w:lang w:val="en-US"/>
        </w:rPr>
        <w:t xml:space="preserve"> 4 and 5 mean that if one can obtain the optical depth spectrum for the reference abundance profile for each molecule separately, then one can calculate</w:t>
      </w:r>
    </w:p>
    <w:p w14:paraId="5B00D300" w14:textId="5BE38923" w:rsidR="00D7477E" w:rsidRPr="00D7477E" w:rsidRDefault="00D7477E" w:rsidP="0015438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transmission spectrum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>
        <w:rPr>
          <w:lang w:val="en-US"/>
        </w:rPr>
        <w:t xml:space="preserve"> for any value of the relative column density of each molecule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>,</w:t>
      </w:r>
    </w:p>
    <w:p w14:paraId="7A5DB9D2" w14:textId="45DB77E0" w:rsidR="00D7477E" w:rsidRPr="00D7477E" w:rsidRDefault="00D7477E" w:rsidP="0015438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derivative relative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  <w:lang w:val="en-US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∂T(λ)</m:t>
        </m:r>
        <m:r>
          <w:rPr>
            <w:rFonts w:ascii="Cambria Math" w:eastAsiaTheme="minorEastAsia" w:hAnsi="Cambria Math"/>
            <w:lang w:val="en-US"/>
          </w:rPr>
          <m:t>)/(</m:t>
        </m:r>
        <m:r>
          <w:rPr>
            <w:rFonts w:ascii="Cambria Math" w:eastAsiaTheme="minorEastAsia" w:hAnsi="Cambria Math"/>
            <w:lang w:val="en-US"/>
          </w:rPr>
          <m:t>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</m:t>
        </m:r>
      </m:oMath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iCs/>
          <w:lang w:val="en-US"/>
        </w:rPr>
        <w:t>for any molecular abundance.</w:t>
      </w:r>
    </w:p>
    <w:p w14:paraId="212A20DF" w14:textId="2A525C10" w:rsidR="00D7477E" w:rsidRDefault="00D7477E" w:rsidP="0015438B">
      <w:pPr>
        <w:jc w:val="both"/>
        <w:rPr>
          <w:lang w:val="en-US"/>
        </w:rPr>
      </w:pPr>
      <w:r>
        <w:rPr>
          <w:lang w:val="en-US"/>
        </w:rPr>
        <w:t>In other words, LBLRTM would need to be called only once per molecule and per region</w:t>
      </w:r>
      <w:r w:rsidR="00AB1EFD">
        <w:rPr>
          <w:lang w:val="en-US"/>
        </w:rPr>
        <w:t>!</w:t>
      </w:r>
    </w:p>
    <w:p w14:paraId="218B1F26" w14:textId="7136AB16" w:rsidR="00A60478" w:rsidRDefault="00A60478" w:rsidP="0015438B">
      <w:pPr>
        <w:jc w:val="both"/>
        <w:rPr>
          <w:lang w:val="en-US"/>
        </w:rPr>
      </w:pPr>
    </w:p>
    <w:p w14:paraId="594E6EFA" w14:textId="1F07A531" w:rsidR="00A60478" w:rsidRDefault="00A60478" w:rsidP="00A37C84">
      <w:pPr>
        <w:pStyle w:val="Heading1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Changes to </w:t>
      </w:r>
      <w:proofErr w:type="spellStart"/>
      <w:r>
        <w:rPr>
          <w:lang w:val="en-US"/>
        </w:rPr>
        <w:t>molecfit_model</w:t>
      </w:r>
      <w:proofErr w:type="spellEnd"/>
    </w:p>
    <w:p w14:paraId="035917C7" w14:textId="0BF1F201" w:rsidR="00A60478" w:rsidRDefault="00A60478" w:rsidP="0015438B">
      <w:pPr>
        <w:jc w:val="both"/>
        <w:rPr>
          <w:lang w:val="en-US"/>
        </w:rPr>
      </w:pPr>
    </w:p>
    <w:p w14:paraId="5BDDD97E" w14:textId="20FA36DE" w:rsidR="00A60478" w:rsidRDefault="00A60478" w:rsidP="0015438B">
      <w:pPr>
        <w:jc w:val="both"/>
        <w:rPr>
          <w:lang w:val="en-US"/>
        </w:rPr>
      </w:pPr>
      <w:r>
        <w:rPr>
          <w:lang w:val="en-US"/>
        </w:rPr>
        <w:t xml:space="preserve">To implement this method, the following changes need to be done to </w:t>
      </w:r>
      <w:proofErr w:type="spellStart"/>
      <w:r w:rsidRPr="00442EC5">
        <w:rPr>
          <w:rFonts w:ascii="Courier" w:hAnsi="Courier"/>
          <w:lang w:val="en-US"/>
        </w:rPr>
        <w:t>molecfit_model</w:t>
      </w:r>
      <w:proofErr w:type="spellEnd"/>
      <w:r>
        <w:rPr>
          <w:lang w:val="en-US"/>
        </w:rPr>
        <w:t>:</w:t>
      </w:r>
    </w:p>
    <w:p w14:paraId="6AE5327A" w14:textId="7E641917" w:rsidR="00236ED6" w:rsidRPr="00236ED6" w:rsidRDefault="00236ED6" w:rsidP="0015438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LBLRTM should produce optical depths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982C68">
        <w:rPr>
          <w:rFonts w:eastAsiaTheme="minorEastAsia"/>
          <w:lang w:val="en-US"/>
        </w:rPr>
        <w:t xml:space="preserve"> </w:t>
      </w:r>
      <w:r>
        <w:rPr>
          <w:lang w:val="en-US"/>
        </w:rPr>
        <w:t>instead of the transmission spectrum. This can be done by changing the 4</w:t>
      </w:r>
      <w:r w:rsidRPr="00236ED6">
        <w:rPr>
          <w:vertAlign w:val="superscript"/>
          <w:lang w:val="en-US"/>
        </w:rPr>
        <w:t>th</w:t>
      </w:r>
      <w:r>
        <w:rPr>
          <w:lang w:val="en-US"/>
        </w:rPr>
        <w:t xml:space="preserve"> parameter </w:t>
      </w:r>
      <w:r w:rsidR="00D6553A">
        <w:rPr>
          <w:lang w:val="en-US"/>
        </w:rPr>
        <w:t xml:space="preserve">(IEMIT) </w:t>
      </w:r>
      <w:r>
        <w:rPr>
          <w:lang w:val="en-US"/>
        </w:rPr>
        <w:t>of the 1</w:t>
      </w:r>
      <w:r w:rsidRPr="00236ED6">
        <w:rPr>
          <w:vertAlign w:val="superscript"/>
          <w:lang w:val="en-US"/>
        </w:rPr>
        <w:t>st</w:t>
      </w:r>
      <w:r>
        <w:rPr>
          <w:lang w:val="en-US"/>
        </w:rPr>
        <w:t xml:space="preserve"> line of TAPE5 from 1 to 0</w:t>
      </w:r>
      <w:r w:rsidR="00442EC5">
        <w:rPr>
          <w:lang w:val="en-US"/>
        </w:rPr>
        <w:t>.</w:t>
      </w:r>
    </w:p>
    <w:p w14:paraId="4CCCF155" w14:textId="06C164BB" w:rsidR="00236ED6" w:rsidRDefault="00442EC5" w:rsidP="0015438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</w:t>
      </w:r>
      <w:r w:rsidR="00A60478">
        <w:rPr>
          <w:lang w:val="en-US"/>
        </w:rPr>
        <w:t xml:space="preserve">or each region, </w:t>
      </w:r>
      <w:r w:rsidR="00236ED6">
        <w:rPr>
          <w:lang w:val="en-US"/>
        </w:rPr>
        <w:t>LBLRTM should be called</w:t>
      </w:r>
      <w:r>
        <w:rPr>
          <w:lang w:val="en-US"/>
        </w:rPr>
        <w:t xml:space="preserve"> once at the start of </w:t>
      </w:r>
      <w:proofErr w:type="spellStart"/>
      <w:r>
        <w:rPr>
          <w:lang w:val="en-US"/>
        </w:rPr>
        <w:t>molecfit</w:t>
      </w:r>
      <w:r w:rsidRPr="00442EC5">
        <w:rPr>
          <w:rFonts w:ascii="Courier" w:hAnsi="Courier"/>
          <w:lang w:val="en-US"/>
        </w:rPr>
        <w:t>_model</w:t>
      </w:r>
      <w:proofErr w:type="spellEnd"/>
      <w:r w:rsidR="00236ED6">
        <w:rPr>
          <w:lang w:val="en-US"/>
        </w:rPr>
        <w:t xml:space="preserve"> for each selected </w:t>
      </w:r>
      <w:r w:rsidR="00644908">
        <w:rPr>
          <w:lang w:val="en-US"/>
        </w:rPr>
        <w:t xml:space="preserve">(not necessarily to be fitted) </w:t>
      </w:r>
      <w:r w:rsidR="00236ED6">
        <w:rPr>
          <w:lang w:val="en-US"/>
        </w:rPr>
        <w:t>molecule individually and the results of each molecule stored.</w:t>
      </w:r>
    </w:p>
    <w:p w14:paraId="3B8E86F0" w14:textId="05742CD5" w:rsidR="00442EC5" w:rsidRDefault="00826A60" w:rsidP="0015438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For each molecule to be fitter</w:t>
      </w:r>
      <w:r w:rsidR="00442EC5">
        <w:rPr>
          <w:lang w:val="en-US"/>
        </w:rPr>
        <w:t xml:space="preserve">, </w:t>
      </w:r>
      <w:proofErr w:type="spellStart"/>
      <w:r w:rsidR="00442EC5">
        <w:rPr>
          <w:lang w:val="en-US"/>
        </w:rPr>
        <w:t>mpfit</w:t>
      </w:r>
      <w:proofErr w:type="spellEnd"/>
      <w:r w:rsidR="00442EC5">
        <w:rPr>
          <w:lang w:val="en-US"/>
        </w:rPr>
        <w:t xml:space="preserve"> should call a function </w:t>
      </w:r>
      <w:r w:rsidR="001B669D">
        <w:rPr>
          <w:lang w:val="en-US"/>
        </w:rPr>
        <w:t>which</w:t>
      </w:r>
      <w:r w:rsidR="00442EC5">
        <w:rPr>
          <w:lang w:val="en-US"/>
        </w:rPr>
        <w:t xml:space="preserve"> calculates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442EC5">
        <w:rPr>
          <w:rFonts w:eastAsiaTheme="minorEastAsia"/>
          <w:lang w:val="en-US"/>
        </w:rPr>
        <w:t xml:space="preserve"> </w:t>
      </w:r>
      <w:r w:rsidR="005F656C">
        <w:rPr>
          <w:rFonts w:eastAsiaTheme="minorEastAsia"/>
          <w:lang w:val="en-US"/>
        </w:rPr>
        <w:t xml:space="preserve">following </w:t>
      </w:r>
      <w:r w:rsidR="00442EC5">
        <w:rPr>
          <w:rFonts w:eastAsiaTheme="minorEastAsia"/>
          <w:lang w:val="en-US"/>
        </w:rPr>
        <w:t xml:space="preserve">(Eq.4) and its derivatives </w:t>
      </w:r>
      <m:oMath>
        <m:r>
          <w:rPr>
            <w:rFonts w:ascii="Cambria Math" w:eastAsiaTheme="minorEastAsia" w:hAnsi="Cambria Math"/>
            <w:lang w:val="en-US"/>
          </w:rPr>
          <m:t>(∂T(λ))/(∂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</m:t>
        </m:r>
      </m:oMath>
      <w:r w:rsidR="00442EC5">
        <w:rPr>
          <w:rFonts w:eastAsiaTheme="minorEastAsia"/>
          <w:lang w:val="en-US"/>
        </w:rPr>
        <w:t xml:space="preserve"> </w:t>
      </w:r>
      <w:r w:rsidR="003D0BC2">
        <w:rPr>
          <w:rFonts w:eastAsiaTheme="minorEastAsia"/>
          <w:lang w:val="en-US"/>
        </w:rPr>
        <w:t xml:space="preserve">(Eq.5) </w:t>
      </w:r>
      <w:r w:rsidR="00982C68">
        <w:rPr>
          <w:rFonts w:eastAsiaTheme="minorEastAsia"/>
          <w:iCs/>
          <w:lang w:val="en-US"/>
        </w:rPr>
        <w:t>from the stored</w:t>
      </w:r>
      <w:r w:rsidR="00F131ED"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F131ED">
        <w:rPr>
          <w:rFonts w:eastAsiaTheme="minorEastAsia"/>
          <w:lang w:val="en-US"/>
        </w:rPr>
        <w:t>,</w:t>
      </w:r>
      <w:r w:rsidR="00F131ED">
        <w:rPr>
          <w:rFonts w:eastAsiaTheme="minorEastAsia"/>
          <w:lang w:val="en-US"/>
        </w:rPr>
        <w:t xml:space="preserve"> </w:t>
      </w:r>
      <w:r w:rsidR="00442EC5">
        <w:rPr>
          <w:rFonts w:eastAsiaTheme="minorEastAsia"/>
          <w:lang w:val="en-US"/>
        </w:rPr>
        <w:t>instead of LBLRTM</w:t>
      </w:r>
      <w:r w:rsidR="00442EC5">
        <w:rPr>
          <w:rFonts w:eastAsiaTheme="minorEastAsia"/>
          <w:lang w:val="en-US"/>
        </w:rPr>
        <w:t>.</w:t>
      </w:r>
      <w:r w:rsidR="00620D0D">
        <w:rPr>
          <w:rFonts w:eastAsiaTheme="minorEastAsia"/>
          <w:lang w:val="en-US"/>
        </w:rPr>
        <w:t xml:space="preserve"> Once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</m:oMath>
      <w:r w:rsidR="00620D0D">
        <w:rPr>
          <w:rFonts w:eastAsiaTheme="minorEastAsia"/>
          <w:lang w:val="en-US"/>
        </w:rPr>
        <w:t xml:space="preserve"> has been calculated, the derivatives </w:t>
      </w:r>
      <w:r w:rsidR="006C7D4F">
        <w:rPr>
          <w:rFonts w:eastAsiaTheme="minorEastAsia"/>
          <w:lang w:val="en-US"/>
        </w:rPr>
        <w:t xml:space="preserve">for each molecule </w:t>
      </w:r>
      <w:r w:rsidR="00620D0D">
        <w:rPr>
          <w:rFonts w:eastAsiaTheme="minorEastAsia"/>
          <w:lang w:val="en-US"/>
        </w:rPr>
        <w:t>can be calculated in parallel.</w:t>
      </w:r>
    </w:p>
    <w:p w14:paraId="27398959" w14:textId="0BF81047" w:rsidR="00236ED6" w:rsidRDefault="00236ED6" w:rsidP="0015438B">
      <w:pPr>
        <w:jc w:val="both"/>
        <w:rPr>
          <w:lang w:val="en-US"/>
        </w:rPr>
      </w:pPr>
    </w:p>
    <w:p w14:paraId="220FC591" w14:textId="64830B13" w:rsidR="00236ED6" w:rsidRDefault="00236ED6" w:rsidP="00DB1878">
      <w:pPr>
        <w:pStyle w:val="Heading2"/>
        <w:rPr>
          <w:lang w:val="en-US"/>
        </w:rPr>
      </w:pPr>
      <w:r>
        <w:rPr>
          <w:lang w:val="en-US"/>
        </w:rPr>
        <w:t>Notes:</w:t>
      </w:r>
    </w:p>
    <w:p w14:paraId="124CCB85" w14:textId="1FA7E968" w:rsidR="00236ED6" w:rsidRDefault="00236ED6" w:rsidP="0015438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Line coupling would likely involve additional LBLRTM runs for each pair of molecules involved. I have still to work this out</w:t>
      </w:r>
      <w:r w:rsidR="0065757C">
        <w:rPr>
          <w:lang w:val="en-US"/>
        </w:rPr>
        <w:t xml:space="preserve">, but </w:t>
      </w:r>
      <w:r>
        <w:rPr>
          <w:lang w:val="en-US"/>
        </w:rPr>
        <w:t>it should not be too complicated.</w:t>
      </w:r>
    </w:p>
    <w:p w14:paraId="4D7A21E2" w14:textId="08FD0C3B" w:rsidR="00A17247" w:rsidRDefault="00A17247" w:rsidP="0015438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LBLRTM does not process continuum absorption in a way which is consistent with our method; this require</w:t>
      </w:r>
      <w:r w:rsidR="009119D2">
        <w:rPr>
          <w:lang w:val="en-US"/>
        </w:rPr>
        <w:t>s</w:t>
      </w:r>
      <w:r>
        <w:rPr>
          <w:lang w:val="en-US"/>
        </w:rPr>
        <w:t xml:space="preserve"> </w:t>
      </w:r>
      <w:r w:rsidR="00863879">
        <w:rPr>
          <w:lang w:val="en-US"/>
        </w:rPr>
        <w:t>further</w:t>
      </w:r>
      <w:r>
        <w:rPr>
          <w:lang w:val="en-US"/>
        </w:rPr>
        <w:t xml:space="preserve"> changes to </w:t>
      </w:r>
      <w:r w:rsidR="006C7D4F">
        <w:rPr>
          <w:lang w:val="en-US"/>
        </w:rPr>
        <w:t>TAPE5 but</w:t>
      </w:r>
      <w:r>
        <w:rPr>
          <w:lang w:val="en-US"/>
        </w:rPr>
        <w:t xml:space="preserve"> is entirely feasible.</w:t>
      </w:r>
    </w:p>
    <w:p w14:paraId="6DFE4F21" w14:textId="698E03AD" w:rsidR="00236ED6" w:rsidRDefault="0035304F" w:rsidP="0015438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</w:t>
      </w:r>
      <w:r w:rsidR="00EC207D">
        <w:rPr>
          <w:lang w:val="en-US"/>
        </w:rPr>
        <w:t>is</w:t>
      </w:r>
      <w:r>
        <w:rPr>
          <w:lang w:val="en-US"/>
        </w:rPr>
        <w:t xml:space="preserve"> method </w:t>
      </w:r>
      <w:r w:rsidR="003559DF">
        <w:rPr>
          <w:lang w:val="en-US"/>
        </w:rPr>
        <w:t xml:space="preserve">should </w:t>
      </w:r>
      <w:r>
        <w:rPr>
          <w:lang w:val="en-US"/>
        </w:rPr>
        <w:t xml:space="preserve">work for transmission spectrum. I </w:t>
      </w:r>
      <w:r w:rsidR="000C2E8C">
        <w:rPr>
          <w:lang w:val="en-US"/>
        </w:rPr>
        <w:t>must</w:t>
      </w:r>
      <w:r>
        <w:rPr>
          <w:lang w:val="en-US"/>
        </w:rPr>
        <w:t xml:space="preserve"> make sure it also works for emission spectra, relevant for L, M, N and Q bands. Hence relevant for METIS, VISIR, ERIS, CRIRES</w:t>
      </w:r>
      <w:r w:rsidR="00B07674">
        <w:rPr>
          <w:lang w:val="en-US"/>
        </w:rPr>
        <w:t>, b</w:t>
      </w:r>
      <w:r>
        <w:rPr>
          <w:lang w:val="en-US"/>
        </w:rPr>
        <w:t>ut not used much so far.</w:t>
      </w:r>
    </w:p>
    <w:p w14:paraId="563D9AAE" w14:textId="65DD5877" w:rsidR="00A054B9" w:rsidRDefault="00A054B9" w:rsidP="0015438B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rFonts w:ascii="Courier" w:hAnsi="Courier"/>
          <w:lang w:val="en-US"/>
        </w:rPr>
        <w:t>Molecfit_calctrans</w:t>
      </w:r>
      <w:proofErr w:type="spellEnd"/>
      <w:r w:rsidR="004C6D6F">
        <w:rPr>
          <w:rFonts w:ascii="Courier" w:hAnsi="Courier"/>
          <w:lang w:val="en-US"/>
        </w:rPr>
        <w:t xml:space="preserve"> </w:t>
      </w:r>
      <w:r w:rsidR="00DA1232">
        <w:rPr>
          <w:rFonts w:cstheme="minorHAnsi"/>
          <w:lang w:val="en-US"/>
        </w:rPr>
        <w:t>is not</w:t>
      </w:r>
      <w:r>
        <w:rPr>
          <w:rFonts w:cstheme="minorHAnsi"/>
          <w:lang w:val="en-US"/>
        </w:rPr>
        <w:t xml:space="preserve"> modified.</w:t>
      </w:r>
      <w:r w:rsidR="004C6D6F">
        <w:rPr>
          <w:rFonts w:cstheme="minorHAnsi"/>
          <w:lang w:val="en-US"/>
        </w:rPr>
        <w:t xml:space="preserve"> Hence, the code that creates the TAPE5 file should likely receive a flag to state if the expected output is the optical depth or the transmission spectrum.</w:t>
      </w:r>
    </w:p>
    <w:p w14:paraId="332BFA50" w14:textId="641DFBF5" w:rsidR="0035304F" w:rsidRDefault="0035304F" w:rsidP="0015438B">
      <w:pPr>
        <w:jc w:val="both"/>
        <w:rPr>
          <w:lang w:val="en-US"/>
        </w:rPr>
      </w:pPr>
    </w:p>
    <w:p w14:paraId="6D57C323" w14:textId="1241ABD1" w:rsidR="00A17247" w:rsidRDefault="00A17247" w:rsidP="00A17247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t>Suggested way forward</w:t>
      </w:r>
    </w:p>
    <w:p w14:paraId="7C6922E6" w14:textId="77777777" w:rsidR="00F82F3E" w:rsidRPr="00F82F3E" w:rsidRDefault="00F82F3E" w:rsidP="00F82F3E">
      <w:pPr>
        <w:rPr>
          <w:lang w:val="en-US"/>
        </w:rPr>
      </w:pPr>
    </w:p>
    <w:p w14:paraId="36E891CD" w14:textId="6158ECEA" w:rsidR="00A17247" w:rsidRDefault="00A17247" w:rsidP="004B0664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 first test that the method is worth implementing is to make sure that Equation 4 holds. Hence, one should produce the transmission spectrum and the optical depth spectrum by changing the value of the IEMIT parameter (4</w:t>
      </w:r>
      <w:r w:rsidRPr="00A17247">
        <w:rPr>
          <w:vertAlign w:val="superscript"/>
          <w:lang w:val="en-US"/>
        </w:rPr>
        <w:t>th</w:t>
      </w:r>
      <w:r>
        <w:rPr>
          <w:lang w:val="en-US"/>
        </w:rPr>
        <w:t xml:space="preserve"> parameter) in TAPE5.</w:t>
      </w:r>
    </w:p>
    <w:p w14:paraId="2B85B7C8" w14:textId="0150BFF5" w:rsidR="00A17247" w:rsidRPr="00A17247" w:rsidRDefault="00A17247" w:rsidP="004B0664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next step is to compare the derivatives as determined by the 2 methods</w:t>
      </w:r>
      <w:r w:rsidR="006D19CB">
        <w:rPr>
          <w:lang w:val="en-US"/>
        </w:rPr>
        <w:t>, both numerically and in processing time.</w:t>
      </w:r>
    </w:p>
    <w:p w14:paraId="4D8B3C5D" w14:textId="77777777" w:rsidR="0035304F" w:rsidRPr="0035304F" w:rsidRDefault="0035304F" w:rsidP="0015438B">
      <w:pPr>
        <w:jc w:val="both"/>
        <w:rPr>
          <w:lang w:val="en-US"/>
        </w:rPr>
      </w:pPr>
    </w:p>
    <w:sectPr w:rsidR="0035304F" w:rsidRPr="0035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FC6"/>
    <w:multiLevelType w:val="hybridMultilevel"/>
    <w:tmpl w:val="B442E7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24FA7"/>
    <w:multiLevelType w:val="hybridMultilevel"/>
    <w:tmpl w:val="F8625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18C3"/>
    <w:multiLevelType w:val="hybridMultilevel"/>
    <w:tmpl w:val="2E6AE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2DB"/>
    <w:multiLevelType w:val="hybridMultilevel"/>
    <w:tmpl w:val="0602E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96DDF"/>
    <w:multiLevelType w:val="hybridMultilevel"/>
    <w:tmpl w:val="C78A8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5A"/>
    <w:multiLevelType w:val="hybridMultilevel"/>
    <w:tmpl w:val="8DE4F546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14A193D"/>
    <w:multiLevelType w:val="hybridMultilevel"/>
    <w:tmpl w:val="B442E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1246"/>
    <w:multiLevelType w:val="hybridMultilevel"/>
    <w:tmpl w:val="5430514A"/>
    <w:lvl w:ilvl="0" w:tplc="BC8608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76904">
    <w:abstractNumId w:val="5"/>
  </w:num>
  <w:num w:numId="2" w16cid:durableId="78329851">
    <w:abstractNumId w:val="4"/>
  </w:num>
  <w:num w:numId="3" w16cid:durableId="331766246">
    <w:abstractNumId w:val="1"/>
  </w:num>
  <w:num w:numId="4" w16cid:durableId="315232738">
    <w:abstractNumId w:val="3"/>
  </w:num>
  <w:num w:numId="5" w16cid:durableId="2034958750">
    <w:abstractNumId w:val="2"/>
  </w:num>
  <w:num w:numId="6" w16cid:durableId="1691179112">
    <w:abstractNumId w:val="7"/>
  </w:num>
  <w:num w:numId="7" w16cid:durableId="1093404177">
    <w:abstractNumId w:val="6"/>
  </w:num>
  <w:num w:numId="8" w16cid:durableId="33712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B"/>
    <w:rsid w:val="0001143C"/>
    <w:rsid w:val="000C2E8C"/>
    <w:rsid w:val="000E35DA"/>
    <w:rsid w:val="0015438B"/>
    <w:rsid w:val="001B669D"/>
    <w:rsid w:val="00203CE6"/>
    <w:rsid w:val="0023292D"/>
    <w:rsid w:val="00236ED6"/>
    <w:rsid w:val="002527F8"/>
    <w:rsid w:val="0035304F"/>
    <w:rsid w:val="003559DF"/>
    <w:rsid w:val="003D0BC2"/>
    <w:rsid w:val="003D331B"/>
    <w:rsid w:val="00442EC5"/>
    <w:rsid w:val="004B0664"/>
    <w:rsid w:val="004C6D6F"/>
    <w:rsid w:val="00500C5B"/>
    <w:rsid w:val="00542BAD"/>
    <w:rsid w:val="005F656C"/>
    <w:rsid w:val="00620D0D"/>
    <w:rsid w:val="0063245F"/>
    <w:rsid w:val="00644908"/>
    <w:rsid w:val="0065757C"/>
    <w:rsid w:val="00680908"/>
    <w:rsid w:val="006C7D4F"/>
    <w:rsid w:val="006D19CB"/>
    <w:rsid w:val="007B161E"/>
    <w:rsid w:val="00813E89"/>
    <w:rsid w:val="00826A60"/>
    <w:rsid w:val="00832447"/>
    <w:rsid w:val="00863879"/>
    <w:rsid w:val="008C418F"/>
    <w:rsid w:val="009119D2"/>
    <w:rsid w:val="00982C68"/>
    <w:rsid w:val="009B6121"/>
    <w:rsid w:val="009D25B4"/>
    <w:rsid w:val="00A054B9"/>
    <w:rsid w:val="00A17247"/>
    <w:rsid w:val="00A37C84"/>
    <w:rsid w:val="00A60478"/>
    <w:rsid w:val="00AB1EFD"/>
    <w:rsid w:val="00B07674"/>
    <w:rsid w:val="00B17002"/>
    <w:rsid w:val="00C66987"/>
    <w:rsid w:val="00C96BE3"/>
    <w:rsid w:val="00CE25D6"/>
    <w:rsid w:val="00CF4FC0"/>
    <w:rsid w:val="00D0555B"/>
    <w:rsid w:val="00D64848"/>
    <w:rsid w:val="00D6553A"/>
    <w:rsid w:val="00D7477E"/>
    <w:rsid w:val="00DA1232"/>
    <w:rsid w:val="00DA6170"/>
    <w:rsid w:val="00DB1878"/>
    <w:rsid w:val="00EC207D"/>
    <w:rsid w:val="00F10CAB"/>
    <w:rsid w:val="00F131ED"/>
    <w:rsid w:val="00F474A6"/>
    <w:rsid w:val="00F77B89"/>
    <w:rsid w:val="00F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7453"/>
  <w15:chartTrackingRefBased/>
  <w15:docId w15:val="{BAFF4C59-0338-2F41-B2F6-82BFEF5F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C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0C5B"/>
    <w:rPr>
      <w:color w:val="808080"/>
    </w:rPr>
  </w:style>
  <w:style w:type="paragraph" w:styleId="ListParagraph">
    <w:name w:val="List Paragraph"/>
    <w:basedOn w:val="Normal"/>
    <w:uiPriority w:val="34"/>
    <w:qFormat/>
    <w:rsid w:val="00F77B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Southern Observatory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Smette</dc:creator>
  <cp:keywords/>
  <dc:description/>
  <cp:lastModifiedBy>Alain Smette</cp:lastModifiedBy>
  <cp:revision>55</cp:revision>
  <dcterms:created xsi:type="dcterms:W3CDTF">2022-10-12T20:07:00Z</dcterms:created>
  <dcterms:modified xsi:type="dcterms:W3CDTF">2022-10-12T22:35:00Z</dcterms:modified>
</cp:coreProperties>
</file>