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2563EB"/>
          <w:sz w:val="24"/>
          <w:szCs w:val="24"/>
        </w:rPr>
        <w:t xml:space="preserve">COS202 · GROUP 9</w:t>
      </w:r>
    </w:p>
    <w:p>
      <w:pPr>
        <w:spacing w:after="0"/>
        <w:jc w:val="center"/>
      </w:pPr>
      <w:r>
        <w:rPr>
          <w:b/>
          <w:bCs/>
          <w:color w:val="1B1D2F"/>
          <w:sz w:val="52"/>
          <w:szCs w:val="52"/>
        </w:rPr>
        <w:t xml:space="preserve">Smart Drainage Monitoring and</w:t>
      </w:r>
    </w:p>
    <w:p>
      <w:pPr>
        <w:spacing w:after="240"/>
        <w:jc w:val="center"/>
      </w:pPr>
      <w:r>
        <w:rPr>
          <w:b/>
          <w:bCs/>
          <w:color w:val="1B1D2F"/>
          <w:sz w:val="52"/>
          <w:szCs w:val="52"/>
        </w:rPr>
        <w:t xml:space="preserve">Flood Alert System</w:t>
      </w:r>
    </w:p>
    <w:p>
      <w:pPr>
        <w:spacing w:after="80"/>
        <w:jc w:val="center"/>
      </w:pPr>
      <w:r>
        <w:rPr>
          <w:i/>
          <w:iCs/>
          <w:color w:val="565A78"/>
          <w:sz w:val="24"/>
          <w:szCs w:val="24"/>
        </w:rPr>
        <w:t xml:space="preserve">A Community-Driven Digital Platform for Flood Detection, Reporting, and Response</w:t>
      </w:r>
    </w:p>
    <w:p>
      <w:pPr>
        <w:spacing w:after="800"/>
        <w:jc w:val="center"/>
      </w:pPr>
      <w:r>
        <w:rPr>
          <w:color w:val="565A78"/>
          <w:sz w:val="22"/>
          <w:szCs w:val="22"/>
        </w:rPr>
        <w:t xml:space="preserve">Case Study: Lagos State</w:t>
      </w:r>
    </w:p>
    <w:p>
      <w:pPr>
        <w:pBdr>
          <w:top w:val="single" w:color="2563EB" w:sz="6"/>
        </w:pBdr>
        <w:spacing w:before="0"/>
        <w:jc w:val="center"/>
      </w:pPr>
    </w:p>
    <w:p>
      <w:pPr>
        <w:spacing w:before="400"/>
        <w:jc w:val="center"/>
      </w:pPr>
      <w:r>
        <w:rPr>
          <w:b/>
          <w:bCs/>
          <w:color w:val="1B1D2F"/>
          <w:sz w:val="26"/>
          <w:szCs w:val="26"/>
        </w:rPr>
        <w:t xml:space="preserve">Project Report</w:t>
      </w:r>
    </w:p>
    <w:p>
      <w:pPr>
        <w:spacing w:before="80"/>
        <w:jc w:val="center"/>
      </w:pPr>
      <w:r>
        <w:rPr>
          <w:color w:val="2563EB"/>
          <w:sz w:val="21"/>
          <w:szCs w:val="21"/>
        </w:rPr>
        <w:t xml:space="preserve">Live application: https://sdmfas.onrender.com</w:t>
      </w:r>
    </w:p>
    <w:p>
      <w:pPr>
        <w:spacing w:before="40"/>
        <w:jc w:val="center"/>
      </w:pPr>
      <w:r>
        <w:rPr>
          <w:color w:val="565A78"/>
          <w:sz w:val="21"/>
          <w:szCs w:val="21"/>
        </w:rPr>
        <w:t xml:space="preserve">Repository: github.com/Astronomox/sdmfas</w:t>
      </w:r>
    </w:p>
    <w:p>
      <w:pPr>
        <w:sectPr>
          <w:pgSz w:w="12240" w:h="15840" w:orient="portrait"/>
          <w:pgMar w:top="1440" w:right="1440" w:bottom="1440" w:left="1440" w:header="708" w:footer="708" w:gutter="0"/>
          <w:pgNumType/>
          <w:docGrid w:linePitch="360"/>
        </w:sectPr>
      </w:pPr>
    </w:p>
    <w:p>
      <w:pPr>
        <w:pStyle w:val="Heading1"/>
        <w:spacing w:after="16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080" w:right="1080" w:bottom="1080" w:left="1080" w:header="708" w:footer="708" w:gutter="0"/>
          <w:pgNumType/>
          <w:docGrid w:linePitch="360"/>
        </w:sectPr>
      </w:pPr>
    </w:p>
    <w:p>
      <w:pPr>
        <w:pStyle w:val="Heading1"/>
        <w:spacing w:after="160" w:before="360"/>
      </w:pPr>
      <w:r>
        <w:t xml:space="preserve">1. Executive Summary</w:t>
      </w:r>
    </w:p>
    <w:p>
      <w:pPr>
        <w:spacing w:after="160"/>
      </w:pPr>
      <w:r>
        <w:rPr>
          <w:sz w:val="21"/>
          <w:szCs w:val="21"/>
        </w:rPr>
        <w:t xml:space="preserve">SDMFAS is a full-stack web application that lets residents, commuters, and businesses across Lagos State report blocked drains and flooded spots in real time. Each report is routed automatically to the responsible Local Government Area (LGA), reviewed by an LGA authority for legitimacy, and — once verified — factored into a public dashboard that flags any LGA accumulating multiple unresolved, confirmed reports as a hotspot.</w:t>
      </w:r>
    </w:p>
    <w:p>
      <w:pPr>
        <w:spacing w:after="160"/>
      </w:pPr>
      <w:r>
        <w:rPr>
          <w:sz w:val="21"/>
          <w:szCs w:val="21"/>
        </w:rPr>
        <w:t xml:space="preserve">What began as a three-stage pipeline in the original proposal — Report, Route, Alert — has grown a fourth stage during development: Vet. This report documents the finished system, why that fourth stage was added, and how every part of the pipeline actually works, not just how it was originally pitched.</w:t>
      </w:r>
    </w:p>
    <w:p>
      <w:pPr>
        <w:pStyle w:val="Heading1"/>
        <w:spacing w:after="160" w:before="360"/>
      </w:pPr>
      <w:r>
        <w:t xml:space="preserve">2. The Problem</w:t>
      </w:r>
    </w:p>
    <w:p>
      <w:pPr>
        <w:spacing w:after="160"/>
      </w:pPr>
      <w:r>
        <w:rPr>
          <w:sz w:val="21"/>
          <w:szCs w:val="21"/>
        </w:rPr>
        <w:t xml:space="preserve">Flooding caused by blocked, poorly maintained, or undersized drainage channels is a recurring and widespread problem across Lagos State. During the rainy season, roads, residential neighbourhoods, markets, and major transport corridors in areas such as Lekki, Ajah, Apapa, Iyana-Ipaja, and Agege are frequently affected by overflowing gutters and waterlogged roads.</w:t>
      </w:r>
    </w:p>
    <w:p>
      <w:pPr>
        <w:spacing w:after="160"/>
      </w:pPr>
      <w:r>
        <w:rPr>
          <w:sz w:val="21"/>
          <w:szCs w:val="21"/>
        </w:rPr>
        <w:t xml:space="preserve">The problem persists because there is no fast, reliable, centralised channel through which residents can report a blocked drain or flooded spot the moment it is noticed. Reports, where they happen at all, are informal, word-of-mouth, or made through phone calls that are hard to track, verify, or prioritise. Small blockages that could be cleared in a day are left unattended until they cause serious flooding, property damage, and health hazards.</w:t>
      </w:r>
    </w:p>
    <w:p>
      <w:pPr>
        <w:pStyle w:val="Heading1"/>
        <w:spacing w:after="160" w:before="360"/>
      </w:pPr>
      <w:r>
        <w:t xml:space="preserve">3. Why It Matters</w:t>
      </w:r>
    </w:p>
    <w:p>
      <w:pPr>
        <w:spacing w:after="160"/>
      </w:pPr>
      <w:r>
        <w:rPr>
          <w:sz w:val="21"/>
          <w:szCs w:val="21"/>
        </w:rPr>
        <w:t xml:space="preserve">Flooding disrupts economic activity, damages property and infrastructure, endangers pedestrians and motorists, and in severe cases threatens life. Residents often have no way of knowing in advance which routes are flooded before they set out. Unresolved drainage problems are a major contributor to the flooding crises Lagos faces every rainy season, with wide-ranging economic and public health consequences.</w:t>
      </w:r>
    </w:p>
    <w:p>
      <w:pPr>
        <w:pStyle w:val="Heading1"/>
        <w:spacing w:after="160" w:before="360"/>
      </w:pPr>
      <w:r>
        <w:t xml:space="preserve">4. Our Solution</w:t>
      </w:r>
    </w:p>
    <w:p>
      <w:pPr>
        <w:spacing w:after="160"/>
      </w:pPr>
      <w:r>
        <w:rPr>
          <w:sz w:val="21"/>
          <w:szCs w:val="21"/>
        </w:rPr>
        <w:t xml:space="preserve">SDMFAS gives residents, commuters, and businesses a simple digital channel to report blocked drains and flooded areas as they're noticed — with a location, one or more photos, and a short description — directly through a web platform accessible from any phone or computer.</w:t>
      </w:r>
    </w:p>
    <w:p>
      <w:pPr>
        <w:spacing w:after="160"/>
      </w:pPr>
      <w:r>
        <w:rPr>
          <w:sz w:val="21"/>
          <w:szCs w:val="21"/>
        </w:rPr>
        <w:t xml:space="preserve">Each report is automatically tagged to the Local Government Area responsible for that location. An LGA authority then reviews the report before it can affect the public dashboard — this vetting step is what separates SDMFAS from a simple, unmoderated complaints inbox. Once verified, aggregated data gives both the public and LGA authorities a clear, trustworthy picture of recurring hotspots, enabling faster, evidence-based response.</w:t>
      </w:r>
    </w:p>
    <w:p>
      <w:pPr>
        <w:pStyle w:val="Heading1"/>
        <w:spacing w:after="160" w:before="360"/>
      </w:pPr>
      <w:r>
        <w:t xml:space="preserve">5. How SDMFAS Works</w:t>
      </w:r>
    </w:p>
    <w:p>
      <w:pPr>
        <w:spacing w:after="160"/>
      </w:pPr>
      <w:r>
        <w:rPr>
          <w:sz w:val="21"/>
          <w:szCs w:val="21"/>
        </w:rPr>
        <w:t xml:space="preserve">The system runs on a four-stage pipeline. The first two stages were part of the original proposal; the third was added during development once it became clear that a public dashboard needs a trust mechanism, not just a counting mechanism.</w:t>
      </w:r>
    </w:p>
    <w:p>
      <w:pPr>
        <w:pStyle w:val="Heading2"/>
        <w:spacing w:after="120" w:before="260"/>
      </w:pPr>
      <w:r>
        <w:t xml:space="preserve">5.1 Report</w:t>
      </w:r>
    </w:p>
    <w:p>
      <w:pPr>
        <w:spacing w:after="160"/>
      </w:pPr>
      <w:r>
        <w:rPr>
          <w:sz w:val="21"/>
          <w:szCs w:val="21"/>
        </w:rPr>
        <w:t xml:space="preserve">A resident submits a location, a short description, an optional photo, and severity level through the Report an Incident page.</w:t>
      </w:r>
    </w:p>
    <w:p>
      <w:pPr>
        <w:pStyle w:val="Heading2"/>
        <w:spacing w:after="120" w:before="260"/>
      </w:pPr>
      <w:r>
        <w:t xml:space="preserve">5.2 Route</w:t>
      </w:r>
    </w:p>
    <w:p>
      <w:pPr>
        <w:spacing w:after="160"/>
      </w:pPr>
      <w:r>
        <w:rPr>
          <w:sz w:val="21"/>
          <w:szCs w:val="21"/>
        </w:rPr>
        <w:t xml:space="preserve">The report is tagged to its Local Government Area at the moment of submission. This tag is the routing decision — no separate manual sorting step exists, because the tag itself determines who is responsible for the report.</w:t>
      </w:r>
    </w:p>
    <w:p>
      <w:pPr>
        <w:pStyle w:val="Heading2"/>
        <w:spacing w:after="120" w:before="260"/>
      </w:pPr>
      <w:r>
        <w:t xml:space="preserve">5.3 Vet — added during development</w:t>
      </w:r>
    </w:p>
    <w:p>
      <w:pPr>
        <w:spacing w:after="160"/>
      </w:pPr>
      <w:r>
        <w:rPr>
          <w:sz w:val="21"/>
          <w:szCs w:val="21"/>
        </w:rPr>
        <w:t xml:space="preserve">An LGA authority opens the LGA Review page, sees the full report — enlarged photo, complete description, reporter contact details if provided — and marks it Verified (a real, legitimate issue) or Rejected (spam, duplicate, or false). A report sits as Unreviewed the instant it is submitted and has no effect on the public dashboard until an authority acts on it.</w:t>
      </w:r>
    </w:p>
    <w:p>
      <w:pPr>
        <w:pStyle w:val="Heading2"/>
        <w:spacing w:after="120" w:before="260"/>
      </w:pPr>
      <w:r>
        <w:t xml:space="preserve">5.4 Alert</w:t>
      </w:r>
    </w:p>
    <w:p>
      <w:pPr>
        <w:spacing w:after="160"/>
      </w:pPr>
      <w:r>
        <w:rPr>
          <w:sz w:val="21"/>
          <w:szCs w:val="21"/>
        </w:rPr>
        <w:t xml:space="preserve">Only verified reports are counted. Once an LGA accumulates three or more verified, unresolved reports, it is automatically flagged as a hotspot on the Public Alerts page — visible to any resident checking conditions before they travel.</w:t>
      </w:r>
    </w:p>
    <w:p>
      <w:pPr>
        <w:pStyle w:val="Heading1"/>
        <w:spacing w:after="160" w:before="360"/>
      </w:pPr>
      <w:r>
        <w:t xml:space="preserve">6. Why the Vetting Step Was Added</w:t>
      </w:r>
    </w:p>
    <w:p>
      <w:pPr>
        <w:spacing w:after="160"/>
      </w:pPr>
      <w:r>
        <w:rPr>
          <w:sz w:val="21"/>
          <w:szCs w:val="21"/>
        </w:rPr>
        <w:t xml:space="preserve">The original proposal's pipeline — Report, Route, Alert — would let any single submission, true or false, immediately influence a public safety dashboard. During development, this was identified as a meaningful gap: a system meant to inform public travel decisions needs a safeguard against spam, duplicate reports, or deliberately false submissions.</w:t>
      </w:r>
    </w:p>
    <w:p>
      <w:pPr>
        <w:spacing w:after="160"/>
      </w:pPr>
      <w:r>
        <w:rPr>
          <w:sz w:val="21"/>
          <w:szCs w:val="21"/>
        </w:rPr>
        <w:t xml:space="preserve">The Vet stage closes that gap without adding friction for the reporting public — residents still submit exactly as before. The extra step is entirely on the LGA side, where it belongs, since verifying local conditions is naturally an LGA responsibility. This also strengthens the system's alignment with SDG 11 and SDG 13 by ensuring the data behind climate and infrastructure decisions is trustworthy, not just plentiful.</w:t>
      </w:r>
    </w:p>
    <w:p>
      <w:pPr>
        <w:pStyle w:val="Heading1"/>
        <w:spacing w:after="160" w:before="360"/>
      </w:pPr>
      <w:r>
        <w:t xml:space="preserve">7. Key Features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00"/>
        <w:gridCol w:w="1600"/>
        <w:gridCol w:w="3200"/>
      </w:tblGrid>
      <w:tr>
        <w:tc>
          <w:tcPr>
            <w:tcW w:type="dxa" w:w="4600"/>
            <w:shd w:fill="1B1D2F" w:val="clear"/>
            <w:tcMar>
              <w:top w:type="dxa" w:w="100"/>
              <w:left w:type="dxa" w:w="130"/>
              <w:bottom w:type="dxa" w:w="100"/>
              <w:right w:type="dxa" w:w="130"/>
            </w:tcMar>
            <w:vAlign w:val="center"/>
          </w:tcPr>
          <w:p>
            <w:r>
              <w:rPr>
                <w:b/>
                <w:bCs/>
                <w:color w:val="FFFFFF"/>
                <w:sz w:val="20"/>
                <w:szCs w:val="20"/>
              </w:rPr>
              <w:t xml:space="preserve">Feature</w:t>
            </w:r>
          </w:p>
        </w:tc>
        <w:tc>
          <w:tcPr>
            <w:tcW w:type="dxa" w:w="1600"/>
            <w:shd w:fill="1B1D2F" w:val="clear"/>
            <w:tcMar>
              <w:top w:type="dxa" w:w="100"/>
              <w:left w:type="dxa" w:w="130"/>
              <w:bottom w:type="dxa" w:w="100"/>
              <w:right w:type="dxa" w:w="130"/>
            </w:tcMar>
            <w:vAlign w:val="center"/>
          </w:tcPr>
          <w:p>
            <w:r>
              <w:rPr>
                <w:b/>
                <w:bCs/>
                <w:color w:val="FFFFFF"/>
                <w:sz w:val="20"/>
                <w:szCs w:val="20"/>
              </w:rPr>
              <w:t xml:space="preserve">Status</w:t>
            </w:r>
          </w:p>
        </w:tc>
        <w:tc>
          <w:tcPr>
            <w:tcW w:type="dxa" w:w="3200"/>
            <w:shd w:fill="1B1D2F" w:val="clear"/>
            <w:tcMar>
              <w:top w:type="dxa" w:w="100"/>
              <w:left w:type="dxa" w:w="130"/>
              <w:bottom w:type="dxa" w:w="100"/>
              <w:right w:type="dxa" w:w="130"/>
            </w:tcMar>
            <w:vAlign w:val="center"/>
          </w:tcPr>
          <w:p>
            <w:r>
              <w:rPr>
                <w:b/>
                <w:bCs/>
                <w:color w:val="FFFFFF"/>
                <w:sz w:val="20"/>
                <w:szCs w:val="20"/>
              </w:rPr>
              <w:t xml:space="preserve">Notes</w:t>
            </w:r>
          </w:p>
        </w:tc>
      </w:tr>
      <w:tr>
        <w:tc>
          <w:tcPr>
            <w:tcW w:type="dxa" w:w="4600"/>
            <w:tcMar>
              <w:top w:type="dxa" w:w="100"/>
              <w:left w:type="dxa" w:w="130"/>
              <w:bottom w:type="dxa" w:w="100"/>
              <w:right w:type="dxa" w:w="130"/>
            </w:tcMar>
            <w:vAlign w:val="center"/>
          </w:tcPr>
          <w:p>
            <w:r>
              <w:rPr>
                <w:b w:val="false"/>
                <w:bCs w:val="false"/>
                <w:color w:val="10121D"/>
                <w:sz w:val="19"/>
                <w:szCs w:val="19"/>
              </w:rPr>
              <w:t xml:space="preserve">Incident reporting (location, photo, description)</w:t>
            </w:r>
          </w:p>
        </w:tc>
        <w:tc>
          <w:tcPr>
            <w:tcW w:type="dxa" w:w="1600"/>
            <w:tcMar>
              <w:top w:type="dxa" w:w="100"/>
              <w:left w:type="dxa" w:w="130"/>
              <w:bottom w:type="dxa" w:w="100"/>
              <w:right w:type="dxa" w:w="130"/>
            </w:tcMar>
            <w:vAlign w:val="center"/>
          </w:tcPr>
          <w:p>
            <w:r>
              <w:rPr>
                <w:b w:val="false"/>
                <w:bCs w:val="false"/>
                <w:color w:val="10121D"/>
                <w:sz w:val="19"/>
                <w:szCs w:val="19"/>
              </w:rPr>
              <w:t xml:space="preserve">Built</w:t>
            </w:r>
          </w:p>
        </w:tc>
        <w:tc>
          <w:tcPr>
            <w:tcW w:type="dxa" w:w="3200"/>
            <w:tcMar>
              <w:top w:type="dxa" w:w="100"/>
              <w:left w:type="dxa" w:w="130"/>
              <w:bottom w:type="dxa" w:w="100"/>
              <w:right w:type="dxa" w:w="130"/>
            </w:tcMar>
            <w:vAlign w:val="center"/>
          </w:tcPr>
          <w:p>
            <w:r>
              <w:rPr>
                <w:b w:val="false"/>
                <w:bCs w:val="false"/>
                <w:color w:val="10121D"/>
                <w:sz w:val="19"/>
                <w:szCs w:val="19"/>
              </w:rPr>
              <w:t xml:space="preserve">Live form, photo capture via browser file input</w:t>
            </w:r>
          </w:p>
        </w:tc>
      </w:tr>
      <w:tr>
        <w:tc>
          <w:tcPr>
            <w:tcW w:type="dxa" w:w="4600"/>
            <w:tcMar>
              <w:top w:type="dxa" w:w="100"/>
              <w:left w:type="dxa" w:w="130"/>
              <w:bottom w:type="dxa" w:w="100"/>
              <w:right w:type="dxa" w:w="130"/>
            </w:tcMar>
            <w:vAlign w:val="center"/>
          </w:tcPr>
          <w:p>
            <w:r>
              <w:rPr>
                <w:b w:val="false"/>
                <w:bCs w:val="false"/>
                <w:color w:val="10121D"/>
                <w:sz w:val="19"/>
                <w:szCs w:val="19"/>
              </w:rPr>
              <w:t xml:space="preserve">Automatic routing to responsible LGA</w:t>
            </w:r>
          </w:p>
        </w:tc>
        <w:tc>
          <w:tcPr>
            <w:tcW w:type="dxa" w:w="1600"/>
            <w:tcMar>
              <w:top w:type="dxa" w:w="100"/>
              <w:left w:type="dxa" w:w="130"/>
              <w:bottom w:type="dxa" w:w="100"/>
              <w:right w:type="dxa" w:w="130"/>
            </w:tcMar>
            <w:vAlign w:val="center"/>
          </w:tcPr>
          <w:p>
            <w:r>
              <w:rPr>
                <w:b w:val="false"/>
                <w:bCs w:val="false"/>
                <w:color w:val="10121D"/>
                <w:sz w:val="19"/>
                <w:szCs w:val="19"/>
              </w:rPr>
              <w:t xml:space="preserve">Built</w:t>
            </w:r>
          </w:p>
        </w:tc>
        <w:tc>
          <w:tcPr>
            <w:tcW w:type="dxa" w:w="3200"/>
            <w:tcMar>
              <w:top w:type="dxa" w:w="100"/>
              <w:left w:type="dxa" w:w="130"/>
              <w:bottom w:type="dxa" w:w="100"/>
              <w:right w:type="dxa" w:w="130"/>
            </w:tcMar>
            <w:vAlign w:val="center"/>
          </w:tcPr>
          <w:p>
            <w:r>
              <w:rPr>
                <w:b w:val="false"/>
                <w:bCs w:val="false"/>
                <w:color w:val="10121D"/>
                <w:sz w:val="19"/>
                <w:szCs w:val="19"/>
              </w:rPr>
              <w:t xml:space="preserve">LGA tag on submission is the routing decision</w:t>
            </w:r>
          </w:p>
        </w:tc>
      </w:tr>
      <w:tr>
        <w:tc>
          <w:tcPr>
            <w:tcW w:type="dxa" w:w="4600"/>
            <w:tcMar>
              <w:top w:type="dxa" w:w="100"/>
              <w:left w:type="dxa" w:w="130"/>
              <w:bottom w:type="dxa" w:w="100"/>
              <w:right w:type="dxa" w:w="130"/>
            </w:tcMar>
            <w:vAlign w:val="center"/>
          </w:tcPr>
          <w:p>
            <w:r>
              <w:rPr>
                <w:b w:val="false"/>
                <w:bCs w:val="false"/>
                <w:color w:val="10121D"/>
                <w:sz w:val="19"/>
                <w:szCs w:val="19"/>
              </w:rPr>
              <w:t xml:space="preserve">Report vetting / verification</w:t>
            </w:r>
          </w:p>
        </w:tc>
        <w:tc>
          <w:tcPr>
            <w:tcW w:type="dxa" w:w="1600"/>
            <w:tcMar>
              <w:top w:type="dxa" w:w="100"/>
              <w:left w:type="dxa" w:w="130"/>
              <w:bottom w:type="dxa" w:w="100"/>
              <w:right w:type="dxa" w:w="130"/>
            </w:tcMar>
            <w:vAlign w:val="center"/>
          </w:tcPr>
          <w:p>
            <w:r>
              <w:rPr>
                <w:b w:val="false"/>
                <w:bCs w:val="false"/>
                <w:color w:val="10121D"/>
                <w:sz w:val="19"/>
                <w:szCs w:val="19"/>
              </w:rPr>
              <w:t xml:space="preserve">Built</w:t>
            </w:r>
          </w:p>
        </w:tc>
        <w:tc>
          <w:tcPr>
            <w:tcW w:type="dxa" w:w="3200"/>
            <w:tcMar>
              <w:top w:type="dxa" w:w="100"/>
              <w:left w:type="dxa" w:w="130"/>
              <w:bottom w:type="dxa" w:w="100"/>
              <w:right w:type="dxa" w:w="130"/>
            </w:tcMar>
            <w:vAlign w:val="center"/>
          </w:tcPr>
          <w:p>
            <w:r>
              <w:rPr>
                <w:b w:val="false"/>
                <w:bCs w:val="false"/>
                <w:color w:val="10121D"/>
                <w:sz w:val="19"/>
                <w:szCs w:val="19"/>
              </w:rPr>
              <w:t xml:space="preserve">Added beyond the original proposal — see Section 6</w:t>
            </w:r>
          </w:p>
        </w:tc>
      </w:tr>
      <w:tr>
        <w:tc>
          <w:tcPr>
            <w:tcW w:type="dxa" w:w="4600"/>
            <w:tcMar>
              <w:top w:type="dxa" w:w="100"/>
              <w:left w:type="dxa" w:w="130"/>
              <w:bottom w:type="dxa" w:w="100"/>
              <w:right w:type="dxa" w:w="130"/>
            </w:tcMar>
            <w:vAlign w:val="center"/>
          </w:tcPr>
          <w:p>
            <w:r>
              <w:rPr>
                <w:b w:val="false"/>
                <w:bCs w:val="false"/>
                <w:color w:val="10121D"/>
                <w:sz w:val="19"/>
                <w:szCs w:val="19"/>
              </w:rPr>
              <w:t xml:space="preserve">Public hotspot alert dashboard</w:t>
            </w:r>
          </w:p>
        </w:tc>
        <w:tc>
          <w:tcPr>
            <w:tcW w:type="dxa" w:w="1600"/>
            <w:tcMar>
              <w:top w:type="dxa" w:w="100"/>
              <w:left w:type="dxa" w:w="130"/>
              <w:bottom w:type="dxa" w:w="100"/>
              <w:right w:type="dxa" w:w="130"/>
            </w:tcMar>
            <w:vAlign w:val="center"/>
          </w:tcPr>
          <w:p>
            <w:r>
              <w:rPr>
                <w:b w:val="false"/>
                <w:bCs w:val="false"/>
                <w:color w:val="10121D"/>
                <w:sz w:val="19"/>
                <w:szCs w:val="19"/>
              </w:rPr>
              <w:t xml:space="preserve">Built</w:t>
            </w:r>
          </w:p>
        </w:tc>
        <w:tc>
          <w:tcPr>
            <w:tcW w:type="dxa" w:w="3200"/>
            <w:tcMar>
              <w:top w:type="dxa" w:w="100"/>
              <w:left w:type="dxa" w:w="130"/>
              <w:bottom w:type="dxa" w:w="100"/>
              <w:right w:type="dxa" w:w="130"/>
            </w:tcMar>
            <w:vAlign w:val="center"/>
          </w:tcPr>
          <w:p>
            <w:r>
              <w:rPr>
                <w:b w:val="false"/>
                <w:bCs w:val="false"/>
                <w:color w:val="10121D"/>
                <w:sz w:val="19"/>
                <w:szCs w:val="19"/>
              </w:rPr>
              <w:t xml:space="preserve">Only counts verified reports, 3+ threshold</w:t>
            </w:r>
          </w:p>
        </w:tc>
      </w:tr>
      <w:tr>
        <w:tc>
          <w:tcPr>
            <w:tcW w:type="dxa" w:w="4600"/>
            <w:tcMar>
              <w:top w:type="dxa" w:w="100"/>
              <w:left w:type="dxa" w:w="130"/>
              <w:bottom w:type="dxa" w:w="100"/>
              <w:right w:type="dxa" w:w="130"/>
            </w:tcMar>
            <w:vAlign w:val="center"/>
          </w:tcPr>
          <w:p>
            <w:r>
              <w:rPr>
                <w:b w:val="false"/>
                <w:bCs w:val="false"/>
                <w:color w:val="10121D"/>
                <w:sz w:val="19"/>
                <w:szCs w:val="19"/>
              </w:rPr>
              <w:t xml:space="preserve">LGA authority review interface</w:t>
            </w:r>
          </w:p>
        </w:tc>
        <w:tc>
          <w:tcPr>
            <w:tcW w:type="dxa" w:w="1600"/>
            <w:tcMar>
              <w:top w:type="dxa" w:w="100"/>
              <w:left w:type="dxa" w:w="130"/>
              <w:bottom w:type="dxa" w:w="100"/>
              <w:right w:type="dxa" w:w="130"/>
            </w:tcMar>
            <w:vAlign w:val="center"/>
          </w:tcPr>
          <w:p>
            <w:r>
              <w:rPr>
                <w:b w:val="false"/>
                <w:bCs w:val="false"/>
                <w:color w:val="10121D"/>
                <w:sz w:val="19"/>
                <w:szCs w:val="19"/>
              </w:rPr>
              <w:t xml:space="preserve">Built</w:t>
            </w:r>
          </w:p>
        </w:tc>
        <w:tc>
          <w:tcPr>
            <w:tcW w:type="dxa" w:w="3200"/>
            <w:tcMar>
              <w:top w:type="dxa" w:w="100"/>
              <w:left w:type="dxa" w:w="130"/>
              <w:bottom w:type="dxa" w:w="100"/>
              <w:right w:type="dxa" w:w="130"/>
            </w:tcMar>
            <w:vAlign w:val="center"/>
          </w:tcPr>
          <w:p>
            <w:r>
              <w:rPr>
                <w:b w:val="false"/>
                <w:bCs w:val="false"/>
                <w:color w:val="10121D"/>
                <w:sz w:val="19"/>
                <w:szCs w:val="19"/>
              </w:rPr>
              <w:t xml:space="preserve">Full detail view, Verify / Reject, status tracking</w:t>
            </w:r>
          </w:p>
        </w:tc>
      </w:tr>
      <w:tr>
        <w:tc>
          <w:tcPr>
            <w:tcW w:type="dxa" w:w="4600"/>
            <w:tcMar>
              <w:top w:type="dxa" w:w="100"/>
              <w:left w:type="dxa" w:w="130"/>
              <w:bottom w:type="dxa" w:w="100"/>
              <w:right w:type="dxa" w:w="130"/>
            </w:tcMar>
            <w:vAlign w:val="center"/>
          </w:tcPr>
          <w:p>
            <w:r>
              <w:rPr>
                <w:b w:val="false"/>
                <w:bCs w:val="false"/>
                <w:color w:val="10121D"/>
                <w:sz w:val="19"/>
                <w:szCs w:val="19"/>
              </w:rPr>
              <w:t xml:space="preserve">Mobile-responsive design</w:t>
            </w:r>
          </w:p>
        </w:tc>
        <w:tc>
          <w:tcPr>
            <w:tcW w:type="dxa" w:w="1600"/>
            <w:tcMar>
              <w:top w:type="dxa" w:w="100"/>
              <w:left w:type="dxa" w:w="130"/>
              <w:bottom w:type="dxa" w:w="100"/>
              <w:right w:type="dxa" w:w="130"/>
            </w:tcMar>
            <w:vAlign w:val="center"/>
          </w:tcPr>
          <w:p>
            <w:r>
              <w:rPr>
                <w:b w:val="false"/>
                <w:bCs w:val="false"/>
                <w:color w:val="10121D"/>
                <w:sz w:val="19"/>
                <w:szCs w:val="19"/>
              </w:rPr>
              <w:t xml:space="preserve">Built</w:t>
            </w:r>
          </w:p>
        </w:tc>
        <w:tc>
          <w:tcPr>
            <w:tcW w:type="dxa" w:w="3200"/>
            <w:tcMar>
              <w:top w:type="dxa" w:w="100"/>
              <w:left w:type="dxa" w:w="130"/>
              <w:bottom w:type="dxa" w:w="100"/>
              <w:right w:type="dxa" w:w="130"/>
            </w:tcMar>
            <w:vAlign w:val="center"/>
          </w:tcPr>
          <w:p>
            <w:r>
              <w:rPr>
                <w:b w:val="false"/>
                <w:bCs w:val="false"/>
                <w:color w:val="10121D"/>
                <w:sz w:val="19"/>
                <w:szCs w:val="19"/>
              </w:rPr>
              <w:t xml:space="preserve">Hamburger nav, fluid type, touch-optimised forms</w:t>
            </w:r>
          </w:p>
        </w:tc>
      </w:tr>
      <w:tr>
        <w:tc>
          <w:tcPr>
            <w:tcW w:type="dxa" w:w="4600"/>
            <w:tcMar>
              <w:top w:type="dxa" w:w="100"/>
              <w:left w:type="dxa" w:w="130"/>
              <w:bottom w:type="dxa" w:w="100"/>
              <w:right w:type="dxa" w:w="130"/>
            </w:tcMar>
            <w:vAlign w:val="center"/>
          </w:tcPr>
          <w:p>
            <w:r>
              <w:rPr>
                <w:b w:val="false"/>
                <w:bCs w:val="false"/>
                <w:color w:val="10121D"/>
                <w:sz w:val="19"/>
                <w:szCs w:val="19"/>
              </w:rPr>
              <w:t xml:space="preserve">Cloud deployment</w:t>
            </w:r>
          </w:p>
        </w:tc>
        <w:tc>
          <w:tcPr>
            <w:tcW w:type="dxa" w:w="1600"/>
            <w:tcMar>
              <w:top w:type="dxa" w:w="100"/>
              <w:left w:type="dxa" w:w="130"/>
              <w:bottom w:type="dxa" w:w="100"/>
              <w:right w:type="dxa" w:w="130"/>
            </w:tcMar>
            <w:vAlign w:val="center"/>
          </w:tcPr>
          <w:p>
            <w:r>
              <w:rPr>
                <w:b w:val="false"/>
                <w:bCs w:val="false"/>
                <w:color w:val="10121D"/>
                <w:sz w:val="19"/>
                <w:szCs w:val="19"/>
              </w:rPr>
              <w:t xml:space="preserve">Built</w:t>
            </w:r>
          </w:p>
        </w:tc>
        <w:tc>
          <w:tcPr>
            <w:tcW w:type="dxa" w:w="3200"/>
            <w:tcMar>
              <w:top w:type="dxa" w:w="100"/>
              <w:left w:type="dxa" w:w="130"/>
              <w:bottom w:type="dxa" w:w="100"/>
              <w:right w:type="dxa" w:w="130"/>
            </w:tcMar>
            <w:vAlign w:val="center"/>
          </w:tcPr>
          <w:p>
            <w:r>
              <w:rPr>
                <w:b w:val="false"/>
                <w:bCs w:val="false"/>
                <w:color w:val="10121D"/>
                <w:sz w:val="19"/>
                <w:szCs w:val="19"/>
              </w:rPr>
              <w:t xml:space="preserve">Live at sdmfas.onrender.com</w:t>
            </w:r>
          </w:p>
        </w:tc>
      </w:tr>
      <w:tr>
        <w:tc>
          <w:tcPr>
            <w:tcW w:type="dxa" w:w="4600"/>
            <w:tcMar>
              <w:top w:type="dxa" w:w="100"/>
              <w:left w:type="dxa" w:w="130"/>
              <w:bottom w:type="dxa" w:w="100"/>
              <w:right w:type="dxa" w:w="130"/>
            </w:tcMar>
            <w:vAlign w:val="center"/>
          </w:tcPr>
          <w:p>
            <w:r>
              <w:rPr>
                <w:b w:val="false"/>
                <w:bCs w:val="false"/>
                <w:color w:val="10121D"/>
                <w:sz w:val="19"/>
                <w:szCs w:val="19"/>
              </w:rPr>
              <w:t xml:space="preserve">Persistent database</w:t>
            </w:r>
          </w:p>
        </w:tc>
        <w:tc>
          <w:tcPr>
            <w:tcW w:type="dxa" w:w="1600"/>
            <w:tcMar>
              <w:top w:type="dxa" w:w="100"/>
              <w:left w:type="dxa" w:w="130"/>
              <w:bottom w:type="dxa" w:w="100"/>
              <w:right w:type="dxa" w:w="130"/>
            </w:tcMar>
            <w:vAlign w:val="center"/>
          </w:tcPr>
          <w:p>
            <w:r>
              <w:rPr>
                <w:b w:val="false"/>
                <w:bCs w:val="false"/>
                <w:color w:val="10121D"/>
                <w:sz w:val="19"/>
                <w:szCs w:val="19"/>
              </w:rPr>
              <w:t xml:space="preserve">Not built</w:t>
            </w:r>
          </w:p>
        </w:tc>
        <w:tc>
          <w:tcPr>
            <w:tcW w:type="dxa" w:w="3200"/>
            <w:tcMar>
              <w:top w:type="dxa" w:w="100"/>
              <w:left w:type="dxa" w:w="130"/>
              <w:bottom w:type="dxa" w:w="100"/>
              <w:right w:type="dxa" w:w="130"/>
            </w:tcMar>
            <w:vAlign w:val="center"/>
          </w:tcPr>
          <w:p>
            <w:r>
              <w:rPr>
                <w:b w:val="false"/>
                <w:bCs w:val="false"/>
                <w:color w:val="10121D"/>
                <w:sz w:val="19"/>
                <w:szCs w:val="19"/>
              </w:rPr>
              <w:t xml:space="preserve">In-memory store for prototype; noted in Section 10</w:t>
            </w:r>
          </w:p>
        </w:tc>
      </w:tr>
      <w:tr>
        <w:tc>
          <w:tcPr>
            <w:tcW w:type="dxa" w:w="4600"/>
            <w:tcMar>
              <w:top w:type="dxa" w:w="100"/>
              <w:left w:type="dxa" w:w="130"/>
              <w:bottom w:type="dxa" w:w="100"/>
              <w:right w:type="dxa" w:w="130"/>
            </w:tcMar>
            <w:vAlign w:val="center"/>
          </w:tcPr>
          <w:p>
            <w:r>
              <w:rPr>
                <w:b w:val="false"/>
                <w:bCs w:val="false"/>
                <w:color w:val="10121D"/>
                <w:sz w:val="19"/>
                <w:szCs w:val="19"/>
              </w:rPr>
              <w:t xml:space="preserve">Authentication for LGA accounts</w:t>
            </w:r>
          </w:p>
        </w:tc>
        <w:tc>
          <w:tcPr>
            <w:tcW w:type="dxa" w:w="1600"/>
            <w:tcMar>
              <w:top w:type="dxa" w:w="100"/>
              <w:left w:type="dxa" w:w="130"/>
              <w:bottom w:type="dxa" w:w="100"/>
              <w:right w:type="dxa" w:w="130"/>
            </w:tcMar>
            <w:vAlign w:val="center"/>
          </w:tcPr>
          <w:p>
            <w:r>
              <w:rPr>
                <w:b w:val="false"/>
                <w:bCs w:val="false"/>
                <w:color w:val="10121D"/>
                <w:sz w:val="19"/>
                <w:szCs w:val="19"/>
              </w:rPr>
              <w:t xml:space="preserve">Not built</w:t>
            </w:r>
          </w:p>
        </w:tc>
        <w:tc>
          <w:tcPr>
            <w:tcW w:type="dxa" w:w="3200"/>
            <w:tcMar>
              <w:top w:type="dxa" w:w="100"/>
              <w:left w:type="dxa" w:w="130"/>
              <w:bottom w:type="dxa" w:w="100"/>
              <w:right w:type="dxa" w:w="130"/>
            </w:tcMar>
            <w:vAlign w:val="center"/>
          </w:tcPr>
          <w:p>
            <w:r>
              <w:rPr>
                <w:b w:val="false"/>
                <w:bCs w:val="false"/>
                <w:color w:val="10121D"/>
                <w:sz w:val="19"/>
                <w:szCs w:val="19"/>
              </w:rPr>
              <w:t xml:space="preserve">Any visitor can currently access LGA Review</w:t>
            </w:r>
          </w:p>
        </w:tc>
      </w:tr>
    </w:tbl>
    <w:p>
      <w:pPr>
        <w:spacing w:after="200"/>
      </w:pPr>
    </w:p>
    <w:p>
      <w:pPr>
        <w:pStyle w:val="Heading1"/>
        <w:spacing w:after="160" w:before="360"/>
      </w:pPr>
      <w:r>
        <w:t xml:space="preserve">8. System Architecture</w:t>
      </w:r>
    </w:p>
    <w:p>
      <w:pPr>
        <w:spacing w:after="160"/>
      </w:pPr>
      <w:r>
        <w:rPr>
          <w:sz w:val="21"/>
          <w:szCs w:val="21"/>
        </w:rPr>
        <w:t xml:space="preserve">The backend follows a layered architecture: Controller → Service → Repository → in-memory store. The frontend is six static pages served directly by the same Spring Boot application, sharing one stylesheet and one set of JavaScript helpers so there is a single source of truth for design and behaviour.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200"/>
        <w:gridCol w:w="5800"/>
      </w:tblGrid>
      <w:tr>
        <w:tc>
          <w:tcPr>
            <w:tcW w:type="dxa" w:w="4200"/>
            <w:shd w:fill="1B1D2F" w:val="clear"/>
            <w:tcMar>
              <w:top w:type="dxa" w:w="100"/>
              <w:left w:type="dxa" w:w="130"/>
              <w:bottom w:type="dxa" w:w="100"/>
              <w:right w:type="dxa" w:w="130"/>
            </w:tcMar>
            <w:vAlign w:val="center"/>
          </w:tcPr>
          <w:p>
            <w:r>
              <w:rPr>
                <w:b/>
                <w:bCs/>
                <w:color w:val="FFFFFF"/>
                <w:sz w:val="20"/>
                <w:szCs w:val="20"/>
              </w:rPr>
              <w:t xml:space="preserve">Layer</w:t>
            </w:r>
          </w:p>
        </w:tc>
        <w:tc>
          <w:tcPr>
            <w:tcW w:type="dxa" w:w="5800"/>
            <w:shd w:fill="1B1D2F" w:val="clear"/>
            <w:tcMar>
              <w:top w:type="dxa" w:w="100"/>
              <w:left w:type="dxa" w:w="130"/>
              <w:bottom w:type="dxa" w:w="100"/>
              <w:right w:type="dxa" w:w="130"/>
            </w:tcMar>
            <w:vAlign w:val="center"/>
          </w:tcPr>
          <w:p>
            <w:r>
              <w:rPr>
                <w:b/>
                <w:bCs/>
                <w:color w:val="FFFFFF"/>
                <w:sz w:val="20"/>
                <w:szCs w:val="20"/>
              </w:rPr>
              <w:t xml:space="preserve">Technology</w:t>
            </w:r>
          </w:p>
        </w:tc>
      </w:tr>
      <w:tr>
        <w:tc>
          <w:tcPr>
            <w:tcW w:type="dxa" w:w="4200"/>
            <w:tcMar>
              <w:top w:type="dxa" w:w="100"/>
              <w:left w:type="dxa" w:w="130"/>
              <w:bottom w:type="dxa" w:w="100"/>
              <w:right w:type="dxa" w:w="130"/>
            </w:tcMar>
            <w:vAlign w:val="center"/>
          </w:tcPr>
          <w:p>
            <w:r>
              <w:rPr>
                <w:b w:val="false"/>
                <w:bCs w:val="false"/>
                <w:color w:val="10121D"/>
                <w:sz w:val="19"/>
                <w:szCs w:val="19"/>
              </w:rPr>
              <w:t xml:space="preserve">Backend language &amp; framework</w:t>
            </w:r>
          </w:p>
        </w:tc>
        <w:tc>
          <w:tcPr>
            <w:tcW w:type="dxa" w:w="5800"/>
            <w:tcMar>
              <w:top w:type="dxa" w:w="100"/>
              <w:left w:type="dxa" w:w="130"/>
              <w:bottom w:type="dxa" w:w="100"/>
              <w:right w:type="dxa" w:w="130"/>
            </w:tcMar>
            <w:vAlign w:val="center"/>
          </w:tcPr>
          <w:p>
            <w:r>
              <w:rPr>
                <w:b w:val="false"/>
                <w:bCs w:val="false"/>
                <w:color w:val="10121D"/>
                <w:sz w:val="19"/>
                <w:szCs w:val="19"/>
              </w:rPr>
              <w:t xml:space="preserve">Java 17, Spring Boot 3.3.4</w:t>
            </w:r>
          </w:p>
        </w:tc>
      </w:tr>
      <w:tr>
        <w:tc>
          <w:tcPr>
            <w:tcW w:type="dxa" w:w="4200"/>
            <w:tcMar>
              <w:top w:type="dxa" w:w="100"/>
              <w:left w:type="dxa" w:w="130"/>
              <w:bottom w:type="dxa" w:w="100"/>
              <w:right w:type="dxa" w:w="130"/>
            </w:tcMar>
            <w:vAlign w:val="center"/>
          </w:tcPr>
          <w:p>
            <w:r>
              <w:rPr>
                <w:b w:val="false"/>
                <w:bCs w:val="false"/>
                <w:color w:val="10121D"/>
                <w:sz w:val="19"/>
                <w:szCs w:val="19"/>
              </w:rPr>
              <w:t xml:space="preserve">Build tool</w:t>
            </w:r>
          </w:p>
        </w:tc>
        <w:tc>
          <w:tcPr>
            <w:tcW w:type="dxa" w:w="5800"/>
            <w:tcMar>
              <w:top w:type="dxa" w:w="100"/>
              <w:left w:type="dxa" w:w="130"/>
              <w:bottom w:type="dxa" w:w="100"/>
              <w:right w:type="dxa" w:w="130"/>
            </w:tcMar>
            <w:vAlign w:val="center"/>
          </w:tcPr>
          <w:p>
            <w:r>
              <w:rPr>
                <w:b w:val="false"/>
                <w:bCs w:val="false"/>
                <w:color w:val="10121D"/>
                <w:sz w:val="19"/>
                <w:szCs w:val="19"/>
              </w:rPr>
              <w:t xml:space="preserve">Apache Maven</w:t>
            </w:r>
          </w:p>
        </w:tc>
      </w:tr>
      <w:tr>
        <w:tc>
          <w:tcPr>
            <w:tcW w:type="dxa" w:w="4200"/>
            <w:tcMar>
              <w:top w:type="dxa" w:w="100"/>
              <w:left w:type="dxa" w:w="130"/>
              <w:bottom w:type="dxa" w:w="100"/>
              <w:right w:type="dxa" w:w="130"/>
            </w:tcMar>
            <w:vAlign w:val="center"/>
          </w:tcPr>
          <w:p>
            <w:r>
              <w:rPr>
                <w:b w:val="false"/>
                <w:bCs w:val="false"/>
                <w:color w:val="10121D"/>
                <w:sz w:val="19"/>
                <w:szCs w:val="19"/>
              </w:rPr>
              <w:t xml:space="preserve">Frontend</w:t>
            </w:r>
          </w:p>
        </w:tc>
        <w:tc>
          <w:tcPr>
            <w:tcW w:type="dxa" w:w="5800"/>
            <w:tcMar>
              <w:top w:type="dxa" w:w="100"/>
              <w:left w:type="dxa" w:w="130"/>
              <w:bottom w:type="dxa" w:w="100"/>
              <w:right w:type="dxa" w:w="130"/>
            </w:tcMar>
            <w:vAlign w:val="center"/>
          </w:tcPr>
          <w:p>
            <w:r>
              <w:rPr>
                <w:b w:val="false"/>
                <w:bCs w:val="false"/>
                <w:color w:val="10121D"/>
                <w:sz w:val="19"/>
                <w:szCs w:val="19"/>
              </w:rPr>
              <w:t xml:space="preserve">HTML5, vanilla JavaScript, CSS3</w:t>
            </w:r>
          </w:p>
        </w:tc>
      </w:tr>
      <w:tr>
        <w:tc>
          <w:tcPr>
            <w:tcW w:type="dxa" w:w="4200"/>
            <w:tcMar>
              <w:top w:type="dxa" w:w="100"/>
              <w:left w:type="dxa" w:w="130"/>
              <w:bottom w:type="dxa" w:w="100"/>
              <w:right w:type="dxa" w:w="130"/>
            </w:tcMar>
            <w:vAlign w:val="center"/>
          </w:tcPr>
          <w:p>
            <w:r>
              <w:rPr>
                <w:b w:val="false"/>
                <w:bCs w:val="false"/>
                <w:color w:val="10121D"/>
                <w:sz w:val="19"/>
                <w:szCs w:val="19"/>
              </w:rPr>
              <w:t xml:space="preserve">Data storage</w:t>
            </w:r>
          </w:p>
        </w:tc>
        <w:tc>
          <w:tcPr>
            <w:tcW w:type="dxa" w:w="5800"/>
            <w:tcMar>
              <w:top w:type="dxa" w:w="100"/>
              <w:left w:type="dxa" w:w="130"/>
              <w:bottom w:type="dxa" w:w="100"/>
              <w:right w:type="dxa" w:w="130"/>
            </w:tcMar>
            <w:vAlign w:val="center"/>
          </w:tcPr>
          <w:p>
            <w:r>
              <w:rPr>
                <w:b w:val="false"/>
                <w:bCs w:val="false"/>
                <w:color w:val="10121D"/>
                <w:sz w:val="19"/>
                <w:szCs w:val="19"/>
              </w:rPr>
              <w:t xml:space="preserve">In-memory (prototype scope)</w:t>
            </w:r>
          </w:p>
        </w:tc>
      </w:tr>
      <w:tr>
        <w:tc>
          <w:tcPr>
            <w:tcW w:type="dxa" w:w="4200"/>
            <w:tcMar>
              <w:top w:type="dxa" w:w="100"/>
              <w:left w:type="dxa" w:w="130"/>
              <w:bottom w:type="dxa" w:w="100"/>
              <w:right w:type="dxa" w:w="130"/>
            </w:tcMar>
            <w:vAlign w:val="center"/>
          </w:tcPr>
          <w:p>
            <w:r>
              <w:rPr>
                <w:b w:val="false"/>
                <w:bCs w:val="false"/>
                <w:color w:val="10121D"/>
                <w:sz w:val="19"/>
                <w:szCs w:val="19"/>
              </w:rPr>
              <w:t xml:space="preserve">Containerisation</w:t>
            </w:r>
          </w:p>
        </w:tc>
        <w:tc>
          <w:tcPr>
            <w:tcW w:type="dxa" w:w="5800"/>
            <w:tcMar>
              <w:top w:type="dxa" w:w="100"/>
              <w:left w:type="dxa" w:w="130"/>
              <w:bottom w:type="dxa" w:w="100"/>
              <w:right w:type="dxa" w:w="130"/>
            </w:tcMar>
            <w:vAlign w:val="center"/>
          </w:tcPr>
          <w:p>
            <w:r>
              <w:rPr>
                <w:b w:val="false"/>
                <w:bCs w:val="false"/>
                <w:color w:val="10121D"/>
                <w:sz w:val="19"/>
                <w:szCs w:val="19"/>
              </w:rPr>
              <w:t xml:space="preserve">Docker (multi-stage build)</w:t>
            </w:r>
          </w:p>
        </w:tc>
      </w:tr>
      <w:tr>
        <w:tc>
          <w:tcPr>
            <w:tcW w:type="dxa" w:w="4200"/>
            <w:tcMar>
              <w:top w:type="dxa" w:w="100"/>
              <w:left w:type="dxa" w:w="130"/>
              <w:bottom w:type="dxa" w:w="100"/>
              <w:right w:type="dxa" w:w="130"/>
            </w:tcMar>
            <w:vAlign w:val="center"/>
          </w:tcPr>
          <w:p>
            <w:r>
              <w:rPr>
                <w:b w:val="false"/>
                <w:bCs w:val="false"/>
                <w:color w:val="10121D"/>
                <w:sz w:val="19"/>
                <w:szCs w:val="19"/>
              </w:rPr>
              <w:t xml:space="preserve">Hosting</w:t>
            </w:r>
          </w:p>
        </w:tc>
        <w:tc>
          <w:tcPr>
            <w:tcW w:type="dxa" w:w="5800"/>
            <w:tcMar>
              <w:top w:type="dxa" w:w="100"/>
              <w:left w:type="dxa" w:w="130"/>
              <w:bottom w:type="dxa" w:w="100"/>
              <w:right w:type="dxa" w:w="130"/>
            </w:tcMar>
            <w:vAlign w:val="center"/>
          </w:tcPr>
          <w:p>
            <w:r>
              <w:rPr>
                <w:b w:val="false"/>
                <w:bCs w:val="false"/>
                <w:color w:val="10121D"/>
                <w:sz w:val="19"/>
                <w:szCs w:val="19"/>
              </w:rPr>
              <w:t xml:space="preserve">Render (Docker-based Web Service)</w:t>
            </w:r>
          </w:p>
        </w:tc>
      </w:tr>
      <w:tr>
        <w:tc>
          <w:tcPr>
            <w:tcW w:type="dxa" w:w="4200"/>
            <w:tcMar>
              <w:top w:type="dxa" w:w="100"/>
              <w:left w:type="dxa" w:w="130"/>
              <w:bottom w:type="dxa" w:w="100"/>
              <w:right w:type="dxa" w:w="130"/>
            </w:tcMar>
            <w:vAlign w:val="center"/>
          </w:tcPr>
          <w:p>
            <w:r>
              <w:rPr>
                <w:b w:val="false"/>
                <w:bCs w:val="false"/>
                <w:color w:val="10121D"/>
                <w:sz w:val="19"/>
                <w:szCs w:val="19"/>
              </w:rPr>
              <w:t xml:space="preserve">Version control</w:t>
            </w:r>
          </w:p>
        </w:tc>
        <w:tc>
          <w:tcPr>
            <w:tcW w:type="dxa" w:w="5800"/>
            <w:tcMar>
              <w:top w:type="dxa" w:w="100"/>
              <w:left w:type="dxa" w:w="130"/>
              <w:bottom w:type="dxa" w:w="100"/>
              <w:right w:type="dxa" w:w="130"/>
            </w:tcMar>
            <w:vAlign w:val="center"/>
          </w:tcPr>
          <w:p>
            <w:r>
              <w:rPr>
                <w:b w:val="false"/>
                <w:bCs w:val="false"/>
                <w:color w:val="10121D"/>
                <w:sz w:val="19"/>
                <w:szCs w:val="19"/>
              </w:rPr>
              <w:t xml:space="preserve">Git / GitHub, 44+ incremental commits</w:t>
            </w:r>
          </w:p>
        </w:tc>
      </w:tr>
    </w:tbl>
    <w:p>
      <w:pPr>
        <w:spacing w:after="200"/>
      </w:pPr>
    </w:p>
    <w:p>
      <w:pPr>
        <w:pStyle w:val="Heading1"/>
        <w:spacing w:after="160" w:before="360"/>
      </w:pPr>
      <w:r>
        <w:t xml:space="preserve">9. The Six Pages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400"/>
      </w:tblGrid>
      <w:tr>
        <w:tc>
          <w:tcPr>
            <w:tcW w:type="dxa" w:w="2000"/>
            <w:shd w:fill="1B1D2F" w:val="clear"/>
            <w:tcMar>
              <w:top w:type="dxa" w:w="100"/>
              <w:left w:type="dxa" w:w="130"/>
              <w:bottom w:type="dxa" w:w="100"/>
              <w:right w:type="dxa" w:w="130"/>
            </w:tcMar>
            <w:vAlign w:val="center"/>
          </w:tcPr>
          <w:p>
            <w:r>
              <w:rPr>
                <w:b/>
                <w:bCs/>
                <w:color w:val="FFFFFF"/>
                <w:sz w:val="20"/>
                <w:szCs w:val="20"/>
              </w:rPr>
              <w:t xml:space="preserve">Page</w:t>
            </w:r>
          </w:p>
        </w:tc>
        <w:tc>
          <w:tcPr>
            <w:tcW w:type="dxa" w:w="1800"/>
            <w:shd w:fill="1B1D2F" w:val="clear"/>
            <w:tcMar>
              <w:top w:type="dxa" w:w="100"/>
              <w:left w:type="dxa" w:w="130"/>
              <w:bottom w:type="dxa" w:w="100"/>
              <w:right w:type="dxa" w:w="130"/>
            </w:tcMar>
            <w:vAlign w:val="center"/>
          </w:tcPr>
          <w:p>
            <w:r>
              <w:rPr>
                <w:b/>
                <w:bCs/>
                <w:color w:val="FFFFFF"/>
                <w:sz w:val="20"/>
                <w:szCs w:val="20"/>
              </w:rPr>
              <w:t xml:space="preserve">Audience</w:t>
            </w:r>
          </w:p>
        </w:tc>
        <w:tc>
          <w:tcPr>
            <w:tcW w:type="dxa" w:w="5400"/>
            <w:shd w:fill="1B1D2F" w:val="clear"/>
            <w:tcMar>
              <w:top w:type="dxa" w:w="100"/>
              <w:left w:type="dxa" w:w="130"/>
              <w:bottom w:type="dxa" w:w="100"/>
              <w:right w:type="dxa" w:w="130"/>
            </w:tcMar>
            <w:vAlign w:val="center"/>
          </w:tcPr>
          <w:p>
            <w:r>
              <w:rPr>
                <w:b/>
                <w:bCs/>
                <w:color w:val="FFFFFF"/>
                <w:sz w:val="20"/>
                <w:szCs w:val="20"/>
              </w:rPr>
              <w:t xml:space="preserve">Purpose</w:t>
            </w:r>
          </w:p>
        </w:tc>
      </w:tr>
      <w:tr>
        <w:tc>
          <w:tcPr>
            <w:tcW w:type="dxa" w:w="2000"/>
            <w:tcMar>
              <w:top w:type="dxa" w:w="100"/>
              <w:left w:type="dxa" w:w="130"/>
              <w:bottom w:type="dxa" w:w="100"/>
              <w:right w:type="dxa" w:w="130"/>
            </w:tcMar>
            <w:vAlign w:val="center"/>
          </w:tcPr>
          <w:p>
            <w:r>
              <w:rPr>
                <w:b w:val="false"/>
                <w:bCs w:val="false"/>
                <w:color w:val="10121D"/>
                <w:sz w:val="19"/>
                <w:szCs w:val="19"/>
              </w:rPr>
              <w:t xml:space="preserve">Home</w:t>
            </w:r>
          </w:p>
        </w:tc>
        <w:tc>
          <w:tcPr>
            <w:tcW w:type="dxa" w:w="1800"/>
            <w:tcMar>
              <w:top w:type="dxa" w:w="100"/>
              <w:left w:type="dxa" w:w="130"/>
              <w:bottom w:type="dxa" w:w="100"/>
              <w:right w:type="dxa" w:w="130"/>
            </w:tcMar>
            <w:vAlign w:val="center"/>
          </w:tcPr>
          <w:p>
            <w:r>
              <w:rPr>
                <w:b w:val="false"/>
                <w:bCs w:val="false"/>
                <w:color w:val="10121D"/>
                <w:sz w:val="19"/>
                <w:szCs w:val="19"/>
              </w:rPr>
              <w:t xml:space="preserve">Everyone</w:t>
            </w:r>
          </w:p>
        </w:tc>
        <w:tc>
          <w:tcPr>
            <w:tcW w:type="dxa" w:w="5400"/>
            <w:tcMar>
              <w:top w:type="dxa" w:w="100"/>
              <w:left w:type="dxa" w:w="130"/>
              <w:bottom w:type="dxa" w:w="100"/>
              <w:right w:type="dxa" w:w="130"/>
            </w:tcMar>
            <w:vAlign w:val="center"/>
          </w:tcPr>
          <w:p>
            <w:r>
              <w:rPr>
                <w:b w:val="false"/>
                <w:bCs w:val="false"/>
                <w:color w:val="10121D"/>
                <w:sz w:val="19"/>
                <w:szCs w:val="19"/>
              </w:rPr>
              <w:t xml:space="preserve">Introduces the project, the pipeline, and links into the live app</w:t>
            </w:r>
          </w:p>
        </w:tc>
      </w:tr>
      <w:tr>
        <w:tc>
          <w:tcPr>
            <w:tcW w:type="dxa" w:w="2000"/>
            <w:tcMar>
              <w:top w:type="dxa" w:w="100"/>
              <w:left w:type="dxa" w:w="130"/>
              <w:bottom w:type="dxa" w:w="100"/>
              <w:right w:type="dxa" w:w="130"/>
            </w:tcMar>
            <w:vAlign w:val="center"/>
          </w:tcPr>
          <w:p>
            <w:r>
              <w:rPr>
                <w:b w:val="false"/>
                <w:bCs w:val="false"/>
                <w:color w:val="10121D"/>
                <w:sz w:val="19"/>
                <w:szCs w:val="19"/>
              </w:rPr>
              <w:t xml:space="preserve">Report an Incident</w:t>
            </w:r>
          </w:p>
        </w:tc>
        <w:tc>
          <w:tcPr>
            <w:tcW w:type="dxa" w:w="1800"/>
            <w:tcMar>
              <w:top w:type="dxa" w:w="100"/>
              <w:left w:type="dxa" w:w="130"/>
              <w:bottom w:type="dxa" w:w="100"/>
              <w:right w:type="dxa" w:w="130"/>
            </w:tcMar>
            <w:vAlign w:val="center"/>
          </w:tcPr>
          <w:p>
            <w:r>
              <w:rPr>
                <w:b w:val="false"/>
                <w:bCs w:val="false"/>
                <w:color w:val="10121D"/>
                <w:sz w:val="19"/>
                <w:szCs w:val="19"/>
              </w:rPr>
              <w:t xml:space="preserve">Public</w:t>
            </w:r>
          </w:p>
        </w:tc>
        <w:tc>
          <w:tcPr>
            <w:tcW w:type="dxa" w:w="5400"/>
            <w:tcMar>
              <w:top w:type="dxa" w:w="100"/>
              <w:left w:type="dxa" w:w="130"/>
              <w:bottom w:type="dxa" w:w="100"/>
              <w:right w:type="dxa" w:w="130"/>
            </w:tcMar>
            <w:vAlign w:val="center"/>
          </w:tcPr>
          <w:p>
            <w:r>
              <w:rPr>
                <w:b w:val="false"/>
                <w:bCs w:val="false"/>
                <w:color w:val="10121D"/>
                <w:sz w:val="19"/>
                <w:szCs w:val="19"/>
              </w:rPr>
              <w:t xml:space="preserve">Submit a new report with location, photo, description</w:t>
            </w:r>
          </w:p>
        </w:tc>
      </w:tr>
      <w:tr>
        <w:tc>
          <w:tcPr>
            <w:tcW w:type="dxa" w:w="2000"/>
            <w:tcMar>
              <w:top w:type="dxa" w:w="100"/>
              <w:left w:type="dxa" w:w="130"/>
              <w:bottom w:type="dxa" w:w="100"/>
              <w:right w:type="dxa" w:w="130"/>
            </w:tcMar>
            <w:vAlign w:val="center"/>
          </w:tcPr>
          <w:p>
            <w:r>
              <w:rPr>
                <w:b w:val="false"/>
                <w:bCs w:val="false"/>
                <w:color w:val="10121D"/>
                <w:sz w:val="19"/>
                <w:szCs w:val="19"/>
              </w:rPr>
              <w:t xml:space="preserve">Public Alerts</w:t>
            </w:r>
          </w:p>
        </w:tc>
        <w:tc>
          <w:tcPr>
            <w:tcW w:type="dxa" w:w="1800"/>
            <w:tcMar>
              <w:top w:type="dxa" w:w="100"/>
              <w:left w:type="dxa" w:w="130"/>
              <w:bottom w:type="dxa" w:w="100"/>
              <w:right w:type="dxa" w:w="130"/>
            </w:tcMar>
            <w:vAlign w:val="center"/>
          </w:tcPr>
          <w:p>
            <w:r>
              <w:rPr>
                <w:b w:val="false"/>
                <w:bCs w:val="false"/>
                <w:color w:val="10121D"/>
                <w:sz w:val="19"/>
                <w:szCs w:val="19"/>
              </w:rPr>
              <w:t xml:space="preserve">Public</w:t>
            </w:r>
          </w:p>
        </w:tc>
        <w:tc>
          <w:tcPr>
            <w:tcW w:type="dxa" w:w="5400"/>
            <w:tcMar>
              <w:top w:type="dxa" w:w="100"/>
              <w:left w:type="dxa" w:w="130"/>
              <w:bottom w:type="dxa" w:w="100"/>
              <w:right w:type="dxa" w:w="130"/>
            </w:tcMar>
            <w:vAlign w:val="center"/>
          </w:tcPr>
          <w:p>
            <w:r>
              <w:rPr>
                <w:b w:val="false"/>
                <w:bCs w:val="false"/>
                <w:color w:val="10121D"/>
                <w:sz w:val="19"/>
                <w:szCs w:val="19"/>
              </w:rPr>
              <w:t xml:space="preserve">See which LGAs are currently flagged as hotspots</w:t>
            </w:r>
          </w:p>
        </w:tc>
      </w:tr>
      <w:tr>
        <w:tc>
          <w:tcPr>
            <w:tcW w:type="dxa" w:w="2000"/>
            <w:tcMar>
              <w:top w:type="dxa" w:w="100"/>
              <w:left w:type="dxa" w:w="130"/>
              <w:bottom w:type="dxa" w:w="100"/>
              <w:right w:type="dxa" w:w="130"/>
            </w:tcMar>
            <w:vAlign w:val="center"/>
          </w:tcPr>
          <w:p>
            <w:r>
              <w:rPr>
                <w:b w:val="false"/>
                <w:bCs w:val="false"/>
                <w:color w:val="10121D"/>
                <w:sz w:val="19"/>
                <w:szCs w:val="19"/>
              </w:rPr>
              <w:t xml:space="preserve">LGA Review</w:t>
            </w:r>
          </w:p>
        </w:tc>
        <w:tc>
          <w:tcPr>
            <w:tcW w:type="dxa" w:w="1800"/>
            <w:tcMar>
              <w:top w:type="dxa" w:w="100"/>
              <w:left w:type="dxa" w:w="130"/>
              <w:bottom w:type="dxa" w:w="100"/>
              <w:right w:type="dxa" w:w="130"/>
            </w:tcMar>
            <w:vAlign w:val="center"/>
          </w:tcPr>
          <w:p>
            <w:r>
              <w:rPr>
                <w:b w:val="false"/>
                <w:bCs w:val="false"/>
                <w:color w:val="10121D"/>
                <w:sz w:val="19"/>
                <w:szCs w:val="19"/>
              </w:rPr>
              <w:t xml:space="preserve">LGA authority</w:t>
            </w:r>
          </w:p>
        </w:tc>
        <w:tc>
          <w:tcPr>
            <w:tcW w:type="dxa" w:w="5400"/>
            <w:tcMar>
              <w:top w:type="dxa" w:w="100"/>
              <w:left w:type="dxa" w:w="130"/>
              <w:bottom w:type="dxa" w:w="100"/>
              <w:right w:type="dxa" w:w="130"/>
            </w:tcMar>
            <w:vAlign w:val="center"/>
          </w:tcPr>
          <w:p>
            <w:r>
              <w:rPr>
                <w:b w:val="false"/>
                <w:bCs w:val="false"/>
                <w:color w:val="10121D"/>
                <w:sz w:val="19"/>
                <w:szCs w:val="19"/>
              </w:rPr>
              <w:t xml:space="preserve">Vet each report — Verify or Reject — and track response status</w:t>
            </w:r>
          </w:p>
        </w:tc>
      </w:tr>
      <w:tr>
        <w:tc>
          <w:tcPr>
            <w:tcW w:type="dxa" w:w="2000"/>
            <w:tcMar>
              <w:top w:type="dxa" w:w="100"/>
              <w:left w:type="dxa" w:w="130"/>
              <w:bottom w:type="dxa" w:w="100"/>
              <w:right w:type="dxa" w:w="130"/>
            </w:tcMar>
            <w:vAlign w:val="center"/>
          </w:tcPr>
          <w:p>
            <w:r>
              <w:rPr>
                <w:b w:val="false"/>
                <w:bCs w:val="false"/>
                <w:color w:val="10121D"/>
                <w:sz w:val="19"/>
                <w:szCs w:val="19"/>
              </w:rPr>
              <w:t xml:space="preserve">About</w:t>
            </w:r>
          </w:p>
        </w:tc>
        <w:tc>
          <w:tcPr>
            <w:tcW w:type="dxa" w:w="1800"/>
            <w:tcMar>
              <w:top w:type="dxa" w:w="100"/>
              <w:left w:type="dxa" w:w="130"/>
              <w:bottom w:type="dxa" w:w="100"/>
              <w:right w:type="dxa" w:w="130"/>
            </w:tcMar>
            <w:vAlign w:val="center"/>
          </w:tcPr>
          <w:p>
            <w:r>
              <w:rPr>
                <w:b w:val="false"/>
                <w:bCs w:val="false"/>
                <w:color w:val="10121D"/>
                <w:sz w:val="19"/>
                <w:szCs w:val="19"/>
              </w:rPr>
              <w:t xml:space="preserve">Everyone</w:t>
            </w:r>
          </w:p>
        </w:tc>
        <w:tc>
          <w:tcPr>
            <w:tcW w:type="dxa" w:w="5400"/>
            <w:tcMar>
              <w:top w:type="dxa" w:w="100"/>
              <w:left w:type="dxa" w:w="130"/>
              <w:bottom w:type="dxa" w:w="100"/>
              <w:right w:type="dxa" w:w="130"/>
            </w:tcMar>
            <w:vAlign w:val="center"/>
          </w:tcPr>
          <w:p>
            <w:r>
              <w:rPr>
                <w:b w:val="false"/>
                <w:bCs w:val="false"/>
                <w:color w:val="10121D"/>
                <w:sz w:val="19"/>
                <w:szCs w:val="19"/>
              </w:rPr>
              <w:t xml:space="preserve">Objectives, expected outcomes, SDG alignment</w:t>
            </w:r>
          </w:p>
        </w:tc>
      </w:tr>
      <w:tr>
        <w:tc>
          <w:tcPr>
            <w:tcW w:type="dxa" w:w="2000"/>
            <w:tcMar>
              <w:top w:type="dxa" w:w="100"/>
              <w:left w:type="dxa" w:w="130"/>
              <w:bottom w:type="dxa" w:w="100"/>
              <w:right w:type="dxa" w:w="130"/>
            </w:tcMar>
            <w:vAlign w:val="center"/>
          </w:tcPr>
          <w:p>
            <w:r>
              <w:rPr>
                <w:b w:val="false"/>
                <w:bCs w:val="false"/>
                <w:color w:val="10121D"/>
                <w:sz w:val="19"/>
                <w:szCs w:val="19"/>
              </w:rPr>
              <w:t xml:space="preserve">Team</w:t>
            </w:r>
          </w:p>
        </w:tc>
        <w:tc>
          <w:tcPr>
            <w:tcW w:type="dxa" w:w="1800"/>
            <w:tcMar>
              <w:top w:type="dxa" w:w="100"/>
              <w:left w:type="dxa" w:w="130"/>
              <w:bottom w:type="dxa" w:w="100"/>
              <w:right w:type="dxa" w:w="130"/>
            </w:tcMar>
            <w:vAlign w:val="center"/>
          </w:tcPr>
          <w:p>
            <w:r>
              <w:rPr>
                <w:b w:val="false"/>
                <w:bCs w:val="false"/>
                <w:color w:val="10121D"/>
                <w:sz w:val="19"/>
                <w:szCs w:val="19"/>
              </w:rPr>
              <w:t xml:space="preserve">Everyone</w:t>
            </w:r>
          </w:p>
        </w:tc>
        <w:tc>
          <w:tcPr>
            <w:tcW w:type="dxa" w:w="5400"/>
            <w:tcMar>
              <w:top w:type="dxa" w:w="100"/>
              <w:left w:type="dxa" w:w="130"/>
              <w:bottom w:type="dxa" w:w="100"/>
              <w:right w:type="dxa" w:w="130"/>
            </w:tcMar>
            <w:vAlign w:val="center"/>
          </w:tcPr>
          <w:p>
            <w:r>
              <w:rPr>
                <w:b w:val="false"/>
                <w:bCs w:val="false"/>
                <w:color w:val="10121D"/>
                <w:sz w:val="19"/>
                <w:szCs w:val="19"/>
              </w:rPr>
              <w:t xml:space="preserve">Group members and roles</w:t>
            </w:r>
          </w:p>
        </w:tc>
      </w:tr>
    </w:tbl>
    <w:p>
      <w:pPr>
        <w:spacing w:after="200"/>
      </w:pPr>
    </w:p>
    <w:p>
      <w:pPr>
        <w:pStyle w:val="Heading1"/>
        <w:spacing w:after="160" w:before="360"/>
      </w:pPr>
      <w:r>
        <w:t xml:space="preserve">10. Alignment with Project Criteria</w:t>
      </w:r>
    </w:p>
    <w:p>
      <w:pPr>
        <w:pStyle w:val="Heading2"/>
        <w:spacing w:after="120" w:before="260"/>
      </w:pPr>
      <w:r>
        <w:t xml:space="preserve">10.1 Localized</w:t>
      </w:r>
    </w:p>
    <w:p>
      <w:pPr>
        <w:spacing w:after="160"/>
      </w:pPr>
      <w:r>
        <w:rPr>
          <w:sz w:val="21"/>
          <w:szCs w:val="21"/>
        </w:rPr>
        <w:t xml:space="preserve">The project is grounded in a real, recurring problem affecting communities across Lagos State. The routing of reports to the specific LGA responsible is designed around the local governance structure spanning the state's 20 LGAs, making the system relevant at neighbourhood level.</w:t>
      </w:r>
    </w:p>
    <w:p>
      <w:pPr>
        <w:pStyle w:val="Heading2"/>
        <w:spacing w:after="120" w:before="260"/>
      </w:pPr>
      <w:r>
        <w:t xml:space="preserve">10.2 Impactful</w:t>
      </w:r>
    </w:p>
    <w:p>
      <w:pPr>
        <w:spacing w:after="160"/>
      </w:pPr>
      <w:r>
        <w:rPr>
          <w:sz w:val="21"/>
          <w:szCs w:val="21"/>
        </w:rPr>
        <w:t xml:space="preserve">The system replaces a slow, informal reporting process with a structured, verified one, giving the responsible authority exact location data, visual evidence, and confirmed incident details. Residents gain safer travel decisions; LGA authorities gain a prioritised, verifiable list of issues; the wider public benefits from fewer flood-related disruptions over time.</w:t>
      </w:r>
    </w:p>
    <w:p>
      <w:pPr>
        <w:pStyle w:val="Heading2"/>
        <w:spacing w:after="120" w:before="260"/>
      </w:pPr>
      <w:r>
        <w:t xml:space="preserve">10.3 Linked to the Sustainable Development Goals</w:t>
      </w:r>
    </w:p>
    <w:p>
      <w:pPr>
        <w:spacing w:after="160"/>
      </w:pPr>
      <w:r>
        <w:rPr>
          <w:sz w:val="21"/>
          <w:szCs w:val="21"/>
        </w:rPr>
        <w:t xml:space="preserve">SDG 11 (Sustainable Cities and Communities) — improving drainage maintenance response and flood management across Lagos supports safer, more resilient urban infrastructure.</w:t>
      </w:r>
    </w:p>
    <w:p>
      <w:pPr>
        <w:spacing w:after="160"/>
      </w:pPr>
      <w:r>
        <w:rPr>
          <w:sz w:val="21"/>
          <w:szCs w:val="21"/>
        </w:rPr>
        <w:t xml:space="preserve">SDG 13 (Climate Action) — strengthening early warning and community reporting for a climate-related hazard intensified by heavier rainfall builds local resilience and adaptive capacity.</w:t>
      </w:r>
    </w:p>
    <w:p>
      <w:pPr>
        <w:pStyle w:val="Heading1"/>
        <w:spacing w:after="160" w:before="360"/>
      </w:pPr>
      <w:r>
        <w:t xml:space="preserve">11. Expected Outcomes</w:t>
      </w:r>
    </w:p>
    <w:p>
      <w:pPr>
        <w:pStyle w:val="ListParagraph"/>
        <w:numPr>
          <w:ilvl w:val="0"/>
          <w:numId w:val="2"/>
        </w:numPr>
        <w:spacing w:after="90"/>
      </w:pPr>
      <w:r>
        <w:rPr>
          <w:sz w:val="21"/>
          <w:szCs w:val="21"/>
        </w:rPr>
        <w:t xml:space="preserve">Faster identification and clearing of blocked drains before they cause flooding.</w:t>
      </w:r>
    </w:p>
    <w:p>
      <w:pPr>
        <w:pStyle w:val="ListParagraph"/>
        <w:numPr>
          <w:ilvl w:val="0"/>
          <w:numId w:val="2"/>
        </w:numPr>
        <w:spacing w:after="90"/>
      </w:pPr>
      <w:r>
        <w:rPr>
          <w:sz w:val="21"/>
          <w:szCs w:val="21"/>
        </w:rPr>
        <w:t xml:space="preserve">Reduced risk to pedestrians and motorists through advance, verified flood alerts.</w:t>
      </w:r>
    </w:p>
    <w:p>
      <w:pPr>
        <w:pStyle w:val="ListParagraph"/>
        <w:numPr>
          <w:ilvl w:val="0"/>
          <w:numId w:val="2"/>
        </w:numPr>
        <w:spacing w:after="90"/>
      </w:pPr>
      <w:r>
        <w:rPr>
          <w:sz w:val="21"/>
          <w:szCs w:val="21"/>
        </w:rPr>
        <w:t xml:space="preserve">A documented, data-backed, trustworthy record of flood-prone areas to support long-term planning.</w:t>
      </w:r>
    </w:p>
    <w:p>
      <w:pPr>
        <w:pStyle w:val="ListParagraph"/>
        <w:numPr>
          <w:ilvl w:val="0"/>
          <w:numId w:val="2"/>
        </w:numPr>
        <w:spacing w:after="90"/>
      </w:pPr>
      <w:r>
        <w:rPr>
          <w:sz w:val="21"/>
          <w:szCs w:val="21"/>
        </w:rPr>
        <w:t xml:space="preserve">Stronger collaboration between residents and LGA authorities on drainage maintenance.</w:t>
      </w:r>
    </w:p>
    <w:p>
      <w:pPr>
        <w:pStyle w:val="Heading1"/>
        <w:spacing w:after="160" w:before="360"/>
      </w:pPr>
      <w:r>
        <w:t xml:space="preserve">12. Scope, Limitations, and Future Work</w:t>
      </w:r>
    </w:p>
    <w:p>
      <w:pPr>
        <w:spacing w:after="160"/>
      </w:pPr>
      <w:r>
        <w:rPr>
          <w:sz w:val="21"/>
          <w:szCs w:val="21"/>
        </w:rPr>
        <w:t xml:space="preserve">The current build is a functional prototype, deliberately scoped to what could be demonstrated within the project timeline. The following limitations are known and intentional:</w:t>
      </w:r>
    </w:p>
    <w:p>
      <w:pPr>
        <w:pStyle w:val="ListParagraph"/>
        <w:numPr>
          <w:ilvl w:val="0"/>
          <w:numId w:val="3"/>
        </w:numPr>
        <w:spacing w:after="90"/>
      </w:pPr>
      <w:r>
        <w:rPr>
          <w:sz w:val="21"/>
          <w:szCs w:val="21"/>
        </w:rPr>
        <w:t xml:space="preserve">In-memory storage — all data resets if the server restarts. A production version would use PostgreSQL via Spring Data JPA; the repository layer is already structured to support this with minimal changes.</w:t>
      </w:r>
    </w:p>
    <w:p>
      <w:pPr>
        <w:pStyle w:val="ListParagraph"/>
        <w:numPr>
          <w:ilvl w:val="0"/>
          <w:numId w:val="3"/>
        </w:numPr>
        <w:spacing w:after="90"/>
      </w:pPr>
      <w:r>
        <w:rPr>
          <w:sz w:val="21"/>
          <w:szCs w:val="21"/>
        </w:rPr>
        <w:t xml:space="preserve">No authentication — any visitor can currently access the LGA Review page. A production version would restrict this to verified LGA-authority accounts.</w:t>
      </w:r>
    </w:p>
    <w:p>
      <w:pPr>
        <w:pStyle w:val="ListParagraph"/>
        <w:numPr>
          <w:ilvl w:val="0"/>
          <w:numId w:val="3"/>
        </w:numPr>
        <w:spacing w:after="90"/>
      </w:pPr>
      <w:r>
        <w:rPr>
          <w:sz w:val="21"/>
          <w:szCs w:val="21"/>
        </w:rPr>
        <w:t xml:space="preserve">Photos are stored as base64 text rather than in dedicated file storage (e.g. S3-compatible object storage) — adequate for a demo, not for real-world photo volumes.</w:t>
      </w:r>
    </w:p>
    <w:p>
      <w:pPr>
        <w:pStyle w:val="ListParagraph"/>
        <w:numPr>
          <w:ilvl w:val="0"/>
          <w:numId w:val="3"/>
        </w:numPr>
        <w:spacing w:after="90"/>
      </w:pPr>
      <w:r>
        <w:rPr>
          <w:sz w:val="21"/>
          <w:szCs w:val="21"/>
        </w:rPr>
        <w:t xml:space="preserve">The hotspot threshold (3 verified reports) is a fixed constant. A production version might vary it by LGA population density or historical flood risk.</w:t>
      </w:r>
    </w:p>
    <w:p>
      <w:pPr>
        <w:pStyle w:val="ListParagraph"/>
        <w:numPr>
          <w:ilvl w:val="0"/>
          <w:numId w:val="3"/>
        </w:numPr>
        <w:spacing w:after="90"/>
      </w:pPr>
      <w:r>
        <w:rPr>
          <w:sz w:val="21"/>
          <w:szCs w:val="21"/>
        </w:rPr>
        <w:t xml:space="preserve">Free-tier hosting means the live demo may take up to a minute to respond after a period of inactivity, as the server spins back up.</w:t>
      </w:r>
    </w:p>
    <w:p>
      <w:pPr>
        <w:pStyle w:val="Heading1"/>
        <w:spacing w:after="160" w:before="360"/>
      </w:pPr>
      <w:r>
        <w:t xml:space="preserve">13. Team</w:t>
      </w:r>
    </w:p>
    <w:p>
      <w:pPr>
        <w:spacing w:after="160"/>
      </w:pPr>
      <w:r>
        <w:rPr>
          <w:sz w:val="21"/>
          <w:szCs w:val="21"/>
        </w:rPr>
        <w:t xml:space="preserve">Eleven members across Computer Science, Data Science, Mathematics, and Mathematics Education contributed to this project's conception and proposal. Full member details, including project roles, are listed on the Team page of the live application.</w:t>
      </w:r>
    </w:p>
    <w:p>
      <w:pPr>
        <w:pStyle w:val="Heading1"/>
        <w:spacing w:after="160" w:before="360"/>
      </w:pPr>
      <w:r>
        <w:t xml:space="preserve">14. Conclusion</w:t>
      </w:r>
    </w:p>
    <w:p>
      <w:pPr>
        <w:spacing w:after="160"/>
      </w:pPr>
      <w:r>
        <w:rPr>
          <w:sz w:val="21"/>
          <w:szCs w:val="21"/>
        </w:rPr>
        <w:t xml:space="preserve">SDMFAS demonstrates a practical, technology-driven response to a recurring and widespread problem: poor drainage maintenance and inadequate flood reporting across Lagos State. By connecting residents directly to the LGA authorities responsible for action, verifying reports before they carry public weight, and keeping the public informed before they travel, the finished system delivers a meaningful improvement over both the original written proposal and the pitch deck it was first presented with — in direct support of SDG 11 and SDG 13.</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65A78"/>
        <w:sz w:val="16"/>
        <w:szCs w:val="16"/>
      </w:rPr>
      <w:t xml:space="preserve">Page </w:t>
    </w:r>
    <w:r>
      <w:rPr>
        <w:color w:val="565A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65A78"/>
        <w:sz w:val="16"/>
        <w:szCs w:val="16"/>
      </w:rPr>
      <w:t xml:space="preserve">SDMFAS · Group 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2026-09-03T16:36:38.470Z</dcterms:created>
  <dcterms:modified xsi:type="dcterms:W3CDTF">2026-09-03T16:36:38.470Z</dcterms:modified>
</cp:coreProperties>
</file>

<file path=docProps/custom.xml><?xml version="1.0" encoding="utf-8"?>
<Properties xmlns="http://schemas.openxmlformats.org/officeDocument/2006/custom-properties" xmlns:vt="http://schemas.openxmlformats.org/officeDocument/2006/docPropsVTypes"/>
</file>