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6C" w:rsidRDefault="0084246C"/>
    <w:p w:rsidR="00D7666C" w:rsidRDefault="00D7666C"/>
    <w:p w:rsidR="003502AA" w:rsidRDefault="003502AA">
      <w:r>
        <w:rPr>
          <w:noProof/>
          <w:lang w:eastAsia="pl-PL"/>
        </w:rPr>
        <w:drawing>
          <wp:inline distT="0" distB="0" distL="0" distR="0" wp14:anchorId="580883C9" wp14:editId="2D8391C7">
            <wp:extent cx="5760720" cy="7588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6C" w:rsidRDefault="00D7666C"/>
    <w:p w:rsidR="00D7666C" w:rsidRDefault="00D7666C"/>
    <w:p w:rsidR="003502AA" w:rsidRDefault="003502AA"/>
    <w:p w:rsidR="003502AA" w:rsidRDefault="003502AA"/>
    <w:p w:rsidR="003502AA" w:rsidRDefault="003502AA">
      <w:pPr>
        <w:rPr>
          <w:sz w:val="24"/>
          <w:szCs w:val="24"/>
        </w:rPr>
      </w:pPr>
      <w:r w:rsidRPr="003502AA">
        <w:rPr>
          <w:sz w:val="24"/>
          <w:szCs w:val="24"/>
        </w:rPr>
        <w:t>Spis treści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0175333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</w:rPr>
      </w:sdtEndPr>
      <w:sdtContent>
        <w:p w:rsidR="00912C78" w:rsidRDefault="00912C78">
          <w:pPr>
            <w:pStyle w:val="Nagwekspisutreci"/>
          </w:pPr>
          <w:r>
            <w:t>Spis treści</w:t>
          </w:r>
        </w:p>
        <w:p w:rsidR="00FC4D23" w:rsidRDefault="00912C7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A670BA">
            <w:rPr>
              <w:rFonts w:cstheme="majorHAnsi"/>
              <w:b/>
              <w:bCs/>
              <w:sz w:val="24"/>
              <w:szCs w:val="24"/>
            </w:rPr>
            <w:fldChar w:fldCharType="begin"/>
          </w:r>
          <w:r w:rsidRPr="00A670BA">
            <w:rPr>
              <w:rFonts w:cstheme="majorHAnsi"/>
              <w:b/>
              <w:bCs/>
              <w:sz w:val="24"/>
              <w:szCs w:val="24"/>
            </w:rPr>
            <w:instrText xml:space="preserve"> TOC \o "1-3" \h \z \u </w:instrText>
          </w:r>
          <w:r w:rsidRPr="00A670BA">
            <w:rPr>
              <w:rFonts w:cstheme="majorHAnsi"/>
              <w:b/>
              <w:bCs/>
              <w:sz w:val="24"/>
              <w:szCs w:val="24"/>
            </w:rPr>
            <w:fldChar w:fldCharType="separate"/>
          </w:r>
          <w:hyperlink w:anchor="_Toc109226519" w:history="1">
            <w:r w:rsidR="00FC4D23" w:rsidRPr="004D4A4D">
              <w:rPr>
                <w:rStyle w:val="Hipercze"/>
                <w:noProof/>
              </w:rPr>
              <w:t>1. WSTĘP</w:t>
            </w:r>
            <w:r w:rsidR="00FC4D23">
              <w:rPr>
                <w:noProof/>
                <w:webHidden/>
              </w:rPr>
              <w:tab/>
            </w:r>
            <w:r w:rsidR="00FC4D23">
              <w:rPr>
                <w:noProof/>
                <w:webHidden/>
              </w:rPr>
              <w:fldChar w:fldCharType="begin"/>
            </w:r>
            <w:r w:rsidR="00FC4D23">
              <w:rPr>
                <w:noProof/>
                <w:webHidden/>
              </w:rPr>
              <w:instrText xml:space="preserve"> PAGEREF _Toc109226519 \h </w:instrText>
            </w:r>
            <w:r w:rsidR="00FC4D23">
              <w:rPr>
                <w:noProof/>
                <w:webHidden/>
              </w:rPr>
            </w:r>
            <w:r w:rsidR="00FC4D23">
              <w:rPr>
                <w:noProof/>
                <w:webHidden/>
              </w:rPr>
              <w:fldChar w:fldCharType="separate"/>
            </w:r>
            <w:r w:rsidR="00FC4D23">
              <w:rPr>
                <w:noProof/>
                <w:webHidden/>
              </w:rPr>
              <w:t>4</w:t>
            </w:r>
            <w:r w:rsidR="00FC4D23"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0" w:history="1">
            <w:r w:rsidRPr="004D4A4D">
              <w:rPr>
                <w:rStyle w:val="Hipercze"/>
                <w:noProof/>
              </w:rPr>
              <w:t>1.1 Przeznaczenie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1" w:history="1">
            <w:r w:rsidRPr="004D4A4D">
              <w:rPr>
                <w:rStyle w:val="Hipercze"/>
                <w:noProof/>
              </w:rPr>
              <w:t>1.2 Definicje słów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2" w:history="1">
            <w:r w:rsidRPr="004D4A4D">
              <w:rPr>
                <w:rStyle w:val="Hipercze"/>
                <w:rFonts w:ascii="Calibri Light" w:hAnsi="Calibri Light" w:cs="Calibri Light"/>
                <w:noProof/>
              </w:rPr>
              <w:t>1.3 Klasyfikacja i zgodność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3" w:history="1">
            <w:r w:rsidRPr="004D4A4D">
              <w:rPr>
                <w:rStyle w:val="Hipercze"/>
                <w:noProof/>
              </w:rPr>
              <w:t>1.4 Środki ostrożności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4" w:history="1">
            <w:r w:rsidRPr="004D4A4D">
              <w:rPr>
                <w:rStyle w:val="Hipercze"/>
                <w:noProof/>
              </w:rPr>
              <w:t>1.5 Symbole i informacje dotyczące bezpieczeństwa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5" w:history="1">
            <w:r w:rsidRPr="004D4A4D">
              <w:rPr>
                <w:rStyle w:val="Hipercze"/>
                <w:noProof/>
              </w:rPr>
              <w:t>1.6 Wytyczne dotyczące kompatybilności elektromagnetycznej (EMC)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6" w:history="1">
            <w:r w:rsidRPr="004D4A4D">
              <w:rPr>
                <w:rStyle w:val="Hipercze"/>
                <w:rFonts w:cstheme="majorHAnsi"/>
                <w:noProof/>
              </w:rPr>
              <w:t>1.6.1 Wytyczne i deklaracja producenta – emisje elektromagnetyczne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7" w:history="1">
            <w:r w:rsidRPr="004D4A4D">
              <w:rPr>
                <w:rStyle w:val="Hipercze"/>
                <w:rFonts w:cstheme="majorHAnsi"/>
                <w:noProof/>
              </w:rPr>
              <w:t>1.6.2 Wytyczne i deklaracja producenta – odporność elektromagnetyczna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8" w:history="1">
            <w:r w:rsidRPr="004D4A4D">
              <w:rPr>
                <w:rStyle w:val="Hipercze"/>
                <w:noProof/>
              </w:rPr>
              <w:t>1.6.3 Wytyczne i deklaracja producenta – odporność elektromagnetyczna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29" w:history="1">
            <w:r w:rsidRPr="004D4A4D">
              <w:rPr>
                <w:rStyle w:val="Hipercze"/>
                <w:noProof/>
              </w:rPr>
              <w:t>1.6.4 Zalecane odległości separacji między przenośnym i mobilnym sprzętem do komunikacji radiowej a ACCUNIQ BC720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0" w:history="1">
            <w:r w:rsidRPr="004D4A4D">
              <w:rPr>
                <w:rStyle w:val="Hipercze"/>
                <w:noProof/>
              </w:rPr>
              <w:t>2. O SKŁADZIE CIAŁA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1" w:history="1">
            <w:r w:rsidRPr="004D4A4D">
              <w:rPr>
                <w:rStyle w:val="Hipercze"/>
                <w:noProof/>
              </w:rPr>
              <w:t>2.1 Skład ciała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2" w:history="1">
            <w:r w:rsidRPr="004D4A4D">
              <w:rPr>
                <w:rStyle w:val="Hipercze"/>
                <w:noProof/>
              </w:rPr>
              <w:t>2.2 Otyłość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3" w:history="1">
            <w:r w:rsidRPr="004D4A4D">
              <w:rPr>
                <w:rStyle w:val="Hipercze"/>
                <w:noProof/>
              </w:rPr>
              <w:t>2.4. Wskaźnik talia biodro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4" w:history="1">
            <w:r w:rsidRPr="004D4A4D">
              <w:rPr>
                <w:rStyle w:val="Hipercze"/>
                <w:noProof/>
              </w:rPr>
              <w:t>2.5. Otyłość brzuszna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5" w:history="1">
            <w:r w:rsidRPr="004D4A4D">
              <w:rPr>
                <w:rStyle w:val="Hipercze"/>
                <w:noProof/>
              </w:rPr>
              <w:t>2.6 Analiza segmentowa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6" w:history="1">
            <w:r w:rsidRPr="004D4A4D">
              <w:rPr>
                <w:rStyle w:val="Hipercze"/>
                <w:noProof/>
              </w:rPr>
              <w:t>2.7 Wiek metaboliczny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7" w:history="1">
            <w:r w:rsidRPr="004D4A4D">
              <w:rPr>
                <w:rStyle w:val="Hipercze"/>
                <w:noProof/>
              </w:rPr>
              <w:t>2.8 Impedancja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8" w:history="1">
            <w:r w:rsidRPr="004D4A4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4D4A4D">
              <w:rPr>
                <w:rStyle w:val="Hipercze"/>
                <w:noProof/>
              </w:rPr>
              <w:t>FUNKCJE POSZCZEGOŁN</w:t>
            </w:r>
            <w:r w:rsidRPr="004D4A4D">
              <w:rPr>
                <w:rStyle w:val="Hipercze"/>
                <w:noProof/>
              </w:rPr>
              <w:t>Y</w:t>
            </w:r>
            <w:r w:rsidRPr="004D4A4D">
              <w:rPr>
                <w:rStyle w:val="Hipercze"/>
                <w:noProof/>
              </w:rPr>
              <w:t>CH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39" w:history="1">
            <w:r w:rsidRPr="004D4A4D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4D4A4D">
              <w:rPr>
                <w:rStyle w:val="Hipercze"/>
                <w:noProof/>
              </w:rPr>
              <w:t>Podstawowe części.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40" w:history="1">
            <w:r w:rsidRPr="004D4A4D">
              <w:rPr>
                <w:rStyle w:val="Hipercze"/>
                <w:noProof/>
              </w:rPr>
              <w:t>3.2 OPCJE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41" w:history="1">
            <w:r w:rsidRPr="004D4A4D">
              <w:rPr>
                <w:rStyle w:val="Hipercze"/>
                <w:noProof/>
              </w:rPr>
              <w:t>3.2.1 UHM. Wzrostomierz ultradźwiękowy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42" w:history="1">
            <w:r w:rsidRPr="004D4A4D">
              <w:rPr>
                <w:rStyle w:val="Hipercze"/>
                <w:noProof/>
              </w:rPr>
              <w:t>3.2.2 Arkusz wyników dla części segmentowych i dzieci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43" w:history="1">
            <w:r w:rsidRPr="004D4A4D">
              <w:rPr>
                <w:rStyle w:val="Hipercze"/>
                <w:noProof/>
              </w:rPr>
              <w:t>3.2.3 Automatyczny ciśnieniomierz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23" w:rsidRDefault="00FC4D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09226544" w:history="1">
            <w:r w:rsidRPr="004D4A4D">
              <w:rPr>
                <w:rStyle w:val="Hipercze"/>
                <w:noProof/>
              </w:rPr>
              <w:t>3.2.4 Klucz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78" w:rsidRDefault="00912C78">
          <w:r w:rsidRPr="00A670BA">
            <w:rPr>
              <w:rFonts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Default="003502AA">
      <w:pPr>
        <w:rPr>
          <w:sz w:val="24"/>
          <w:szCs w:val="24"/>
        </w:rPr>
      </w:pPr>
    </w:p>
    <w:p w:rsidR="003502AA" w:rsidRPr="00D354CB" w:rsidRDefault="003502AA" w:rsidP="003502AA">
      <w:pPr>
        <w:rPr>
          <w:color w:val="FFFFFF" w:themeColor="background1"/>
          <w:sz w:val="40"/>
          <w:szCs w:val="40"/>
          <w:lang w:eastAsia="pl-PL"/>
        </w:rPr>
      </w:pPr>
    </w:p>
    <w:p w:rsidR="003502AA" w:rsidRPr="00D354CB" w:rsidRDefault="003502AA" w:rsidP="003502AA">
      <w:pPr>
        <w:rPr>
          <w:color w:val="FFFFFF" w:themeColor="background1"/>
          <w:sz w:val="40"/>
          <w:szCs w:val="40"/>
        </w:rPr>
      </w:pPr>
      <w:r w:rsidRPr="00D354CB">
        <w:rPr>
          <w:noProof/>
          <w:color w:val="FFFFFF" w:themeColor="background1"/>
          <w:sz w:val="40"/>
          <w:szCs w:val="40"/>
          <w:lang w:eastAsia="pl-PL"/>
        </w:rPr>
        <w:drawing>
          <wp:inline distT="0" distB="0" distL="0" distR="0" wp14:anchorId="77CCAFD4" wp14:editId="028259A5">
            <wp:extent cx="1095375" cy="5905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AA" w:rsidRPr="00912C78" w:rsidRDefault="003502AA" w:rsidP="003502AA">
      <w:pPr>
        <w:rPr>
          <w:rFonts w:cstheme="majorHAnsi"/>
          <w:sz w:val="24"/>
          <w:szCs w:val="24"/>
        </w:rPr>
      </w:pPr>
      <w:r w:rsidRPr="00912C78">
        <w:rPr>
          <w:rFonts w:cstheme="majorHAnsi"/>
          <w:sz w:val="24"/>
          <w:szCs w:val="24"/>
        </w:rPr>
        <w:t>Urządzenie posiada znak CE zgodnie z postanowieniami Dyrektywy o Wyrobach Medycznych 93/42/EEC.</w:t>
      </w:r>
    </w:p>
    <w:p w:rsidR="003502AA" w:rsidRPr="00912C78" w:rsidRDefault="003502AA" w:rsidP="003502AA">
      <w:pPr>
        <w:rPr>
          <w:rFonts w:cstheme="majorHAnsi"/>
          <w:sz w:val="24"/>
          <w:szCs w:val="24"/>
        </w:rPr>
      </w:pPr>
    </w:p>
    <w:p w:rsidR="003502AA" w:rsidRPr="00912C78" w:rsidRDefault="003502AA" w:rsidP="003502AA">
      <w:pPr>
        <w:rPr>
          <w:rFonts w:cstheme="majorHAnsi"/>
          <w:sz w:val="24"/>
          <w:szCs w:val="24"/>
        </w:rPr>
      </w:pPr>
      <w:r w:rsidRPr="00912C78">
        <w:rPr>
          <w:rFonts w:cstheme="majorHAnsi"/>
          <w:noProof/>
          <w:color w:val="FFFFFF" w:themeColor="background1"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5DB5CBB5" wp14:editId="2254C483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1209675" cy="1152525"/>
            <wp:effectExtent l="0" t="0" r="9525" b="952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C78">
        <w:rPr>
          <w:rFonts w:cstheme="majorHAnsi"/>
          <w:sz w:val="24"/>
          <w:szCs w:val="24"/>
        </w:rPr>
        <w:t>OSOBY ODPOWIEDZIALNE ZA WPROWADZANIE URZĄDZEŃ NA RYNEK WE W RAMACH MDD 93/42/EWG</w:t>
      </w:r>
    </w:p>
    <w:p w:rsidR="003502AA" w:rsidRPr="00912C78" w:rsidRDefault="003502AA" w:rsidP="00912C78">
      <w:pPr>
        <w:pStyle w:val="Bezodstpw"/>
        <w:rPr>
          <w:lang w:val="en-GB"/>
        </w:rPr>
      </w:pPr>
      <w:r w:rsidRPr="00912C78">
        <w:rPr>
          <w:lang w:val="en-GB"/>
        </w:rPr>
        <w:t>SELVAS Healthcare, Inc.</w:t>
      </w:r>
    </w:p>
    <w:p w:rsidR="003502AA" w:rsidRPr="00912C78" w:rsidRDefault="003502AA" w:rsidP="00912C78">
      <w:pPr>
        <w:pStyle w:val="Bezodstpw"/>
        <w:rPr>
          <w:lang w:val="en-GB"/>
        </w:rPr>
      </w:pPr>
      <w:r w:rsidRPr="00912C78">
        <w:rPr>
          <w:lang w:val="en-GB"/>
        </w:rPr>
        <w:t xml:space="preserve">155, </w:t>
      </w:r>
      <w:proofErr w:type="spellStart"/>
      <w:r w:rsidRPr="00912C78">
        <w:rPr>
          <w:lang w:val="en-GB"/>
        </w:rPr>
        <w:t>Sinseong-ro</w:t>
      </w:r>
      <w:proofErr w:type="spellEnd"/>
      <w:r w:rsidRPr="00912C78">
        <w:rPr>
          <w:lang w:val="en-GB"/>
        </w:rPr>
        <w:t xml:space="preserve">, </w:t>
      </w:r>
      <w:proofErr w:type="spellStart"/>
      <w:r w:rsidRPr="00912C78">
        <w:rPr>
          <w:lang w:val="en-GB"/>
        </w:rPr>
        <w:t>Yuseong-gu</w:t>
      </w:r>
      <w:proofErr w:type="spellEnd"/>
      <w:r w:rsidRPr="00912C78">
        <w:rPr>
          <w:lang w:val="en-GB"/>
        </w:rPr>
        <w:t xml:space="preserve">, Daejeon, 34109 </w:t>
      </w:r>
      <w:proofErr w:type="spellStart"/>
      <w:r w:rsidRPr="00912C78">
        <w:rPr>
          <w:lang w:val="en-GB"/>
        </w:rPr>
        <w:t>Republika</w:t>
      </w:r>
      <w:proofErr w:type="spellEnd"/>
      <w:r w:rsidRPr="00912C78">
        <w:rPr>
          <w:lang w:val="en-GB"/>
        </w:rPr>
        <w:t xml:space="preserve"> </w:t>
      </w:r>
      <w:proofErr w:type="spellStart"/>
      <w:r w:rsidRPr="00912C78">
        <w:rPr>
          <w:lang w:val="en-GB"/>
        </w:rPr>
        <w:t>Korei</w:t>
      </w:r>
      <w:proofErr w:type="spellEnd"/>
    </w:p>
    <w:p w:rsidR="003502AA" w:rsidRPr="00912C78" w:rsidRDefault="003502AA" w:rsidP="00912C78">
      <w:pPr>
        <w:pStyle w:val="Bezodstpw"/>
      </w:pPr>
      <w:r w:rsidRPr="00912C78">
        <w:t>TEL: 82-42-879-3000, FAKS: 82-42-864-4462</w:t>
      </w:r>
    </w:p>
    <w:p w:rsidR="003502AA" w:rsidRPr="00912C78" w:rsidRDefault="003502AA" w:rsidP="003502AA">
      <w:pPr>
        <w:rPr>
          <w:rFonts w:cstheme="majorHAnsi"/>
          <w:sz w:val="24"/>
          <w:szCs w:val="24"/>
        </w:rPr>
      </w:pPr>
    </w:p>
    <w:p w:rsidR="003502AA" w:rsidRPr="00912C78" w:rsidRDefault="003502AA" w:rsidP="003502AA">
      <w:pPr>
        <w:rPr>
          <w:rFonts w:cstheme="majorHAnsi"/>
          <w:color w:val="FFFFFF" w:themeColor="background1"/>
          <w:sz w:val="24"/>
          <w:szCs w:val="24"/>
        </w:rPr>
      </w:pPr>
    </w:p>
    <w:p w:rsidR="003502AA" w:rsidRPr="00912C78" w:rsidRDefault="00912C78" w:rsidP="003502AA">
      <w:pPr>
        <w:rPr>
          <w:rFonts w:cstheme="majorHAnsi"/>
          <w:color w:val="FFFFFF" w:themeColor="background1"/>
          <w:sz w:val="24"/>
          <w:szCs w:val="24"/>
        </w:rPr>
      </w:pPr>
      <w:r w:rsidRPr="00912C78">
        <w:rPr>
          <w:rFonts w:cstheme="majorHAnsi"/>
          <w:noProof/>
          <w:color w:val="FFFFFF" w:themeColor="background1"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 wp14:anchorId="29039355" wp14:editId="0937F122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1238250" cy="40957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2AA" w:rsidRPr="00912C78" w:rsidRDefault="003502AA" w:rsidP="00912C78">
      <w:pPr>
        <w:pStyle w:val="Bezodstpw"/>
        <w:rPr>
          <w:rFonts w:cstheme="majorHAnsi"/>
          <w:szCs w:val="24"/>
        </w:rPr>
      </w:pPr>
      <w:r w:rsidRPr="00912C78">
        <w:rPr>
          <w:rFonts w:cstheme="majorHAnsi"/>
          <w:szCs w:val="24"/>
        </w:rPr>
        <w:t>VITAKO Sp. z o.o.</w:t>
      </w:r>
    </w:p>
    <w:p w:rsidR="003502AA" w:rsidRPr="00912C78" w:rsidRDefault="003502AA" w:rsidP="00912C78">
      <w:pPr>
        <w:pStyle w:val="Bezodstpw"/>
        <w:rPr>
          <w:rFonts w:cstheme="majorHAnsi"/>
          <w:color w:val="FFFFFF" w:themeColor="background1"/>
          <w:szCs w:val="24"/>
        </w:rPr>
      </w:pPr>
      <w:r w:rsidRPr="00912C78">
        <w:rPr>
          <w:rFonts w:cstheme="majorHAnsi"/>
          <w:color w:val="000000"/>
          <w:szCs w:val="24"/>
        </w:rPr>
        <w:t>Ul. Stanisława Żaryna 7/C.01, 02-593 Warszawa, Poland</w:t>
      </w:r>
    </w:p>
    <w:p w:rsidR="003502AA" w:rsidRDefault="003502AA">
      <w:pPr>
        <w:rPr>
          <w:sz w:val="24"/>
          <w:szCs w:val="24"/>
        </w:rPr>
      </w:pPr>
    </w:p>
    <w:p w:rsidR="00912C78" w:rsidRDefault="00912C78">
      <w:pPr>
        <w:rPr>
          <w:sz w:val="24"/>
          <w:szCs w:val="24"/>
        </w:rPr>
      </w:pPr>
    </w:p>
    <w:p w:rsidR="00912C78" w:rsidRDefault="00912C78">
      <w:pPr>
        <w:rPr>
          <w:sz w:val="24"/>
          <w:szCs w:val="24"/>
        </w:rPr>
      </w:pPr>
    </w:p>
    <w:p w:rsidR="00912C78" w:rsidRPr="00912C78" w:rsidRDefault="00912C78" w:rsidP="00912C78">
      <w:pPr>
        <w:pStyle w:val="Default"/>
        <w:rPr>
          <w:rFonts w:asciiTheme="majorHAnsi" w:eastAsiaTheme="minorHAnsi" w:hAnsiTheme="majorHAnsi" w:cstheme="majorHAnsi"/>
          <w:lang w:val="en-GB"/>
        </w:rPr>
      </w:pPr>
      <w:r w:rsidRPr="00912C78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00150" cy="38100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C78">
        <w:rPr>
          <w:rFonts w:asciiTheme="majorHAnsi" w:eastAsiaTheme="minorHAnsi" w:hAnsiTheme="majorHAnsi" w:cstheme="majorHAnsi"/>
          <w:b/>
          <w:bCs/>
          <w:lang w:val="en-GB"/>
        </w:rPr>
        <w:t xml:space="preserve">HIMS Inc. </w:t>
      </w:r>
    </w:p>
    <w:p w:rsidR="00912C78" w:rsidRPr="00912C78" w:rsidRDefault="00912C78" w:rsidP="00912C78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  <w:lang w:val="en-GB"/>
        </w:rPr>
      </w:pPr>
      <w:r w:rsidRPr="00912C78">
        <w:rPr>
          <w:rFonts w:cstheme="majorHAnsi"/>
          <w:color w:val="000000"/>
          <w:sz w:val="24"/>
          <w:szCs w:val="24"/>
          <w:lang w:val="en-GB"/>
        </w:rPr>
        <w:t xml:space="preserve">4616 W Howard Ln suite 960, Austin, TX 78728, USA </w:t>
      </w: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  <w:r w:rsidRPr="00912C78">
        <w:rPr>
          <w:rFonts w:cstheme="majorHAnsi"/>
          <w:color w:val="000000"/>
          <w:sz w:val="24"/>
          <w:szCs w:val="24"/>
        </w:rPr>
        <w:t xml:space="preserve">TEL: +1 512 837 2000 </w:t>
      </w: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912C78" w:rsidRDefault="00912C78" w:rsidP="00912C78">
      <w:pPr>
        <w:rPr>
          <w:rFonts w:cstheme="majorHAnsi"/>
          <w:color w:val="000000"/>
          <w:sz w:val="24"/>
          <w:szCs w:val="24"/>
        </w:rPr>
      </w:pPr>
    </w:p>
    <w:p w:rsidR="00A670BA" w:rsidRDefault="00A670BA" w:rsidP="00912C78">
      <w:pPr>
        <w:pStyle w:val="Nagwek1"/>
      </w:pPr>
    </w:p>
    <w:p w:rsidR="00912C78" w:rsidRPr="00912C78" w:rsidRDefault="00912C78" w:rsidP="00912C78">
      <w:pPr>
        <w:pStyle w:val="Nagwek1"/>
      </w:pPr>
      <w:bookmarkStart w:id="0" w:name="_Toc109226519"/>
      <w:r w:rsidRPr="00912C78">
        <w:t>1. WSTĘP</w:t>
      </w:r>
      <w:bookmarkEnd w:id="0"/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Bardzo doceniamy, że wybraliście Państwo produkt naszej firmy.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Uprzejmie prosimy o zapoznanie się z tymi wskazówkami przed użyciem tego produktu i zawsze ich przechowywanie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wraz z produktem. Jeśli nie masz pewności co do wskazówek lub problemów pojawiających się podczas korzystania z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produktu, prosimy o kontakt z naszym centrum serwisowym.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Przekażemy Ci szczegółowe instrukcje.</w:t>
      </w:r>
    </w:p>
    <w:p w:rsidR="00912C78" w:rsidRDefault="00912C78" w:rsidP="00912C78">
      <w:pPr>
        <w:pStyle w:val="Bezodstpw"/>
      </w:pPr>
    </w:p>
    <w:p w:rsidR="00912C78" w:rsidRDefault="00912C78" w:rsidP="00912C78">
      <w:pPr>
        <w:pStyle w:val="Nagwek1"/>
      </w:pPr>
      <w:bookmarkStart w:id="1" w:name="_Toc109226520"/>
      <w:r>
        <w:t>1.1 Przeznaczenie</w:t>
      </w:r>
      <w:bookmarkEnd w:id="1"/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To urządzenie mierzy impedancję metodą analizy impedancji bioelektrycznej i zapewnia wiele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informacje na podstawie zmierzonej impedancji i wprowadzonych danych osobowych (wzrost, wiek, płeć, waga).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Pokazuje skład ciała MBF, LBM, SLM, SMM, TBW, masę białkową, masę mineralną itp. oraz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informacje dotyczące BMI, PBF, BMR, analizy jamy brzusznej, cel do kontroli, analizę segmentową, zmiany składu ciała itp.</w:t>
      </w:r>
    </w:p>
    <w:p w:rsidR="00912C78" w:rsidRDefault="00912C78" w:rsidP="00912C78">
      <w:pPr>
        <w:pStyle w:val="Bezodstpw"/>
      </w:pPr>
    </w:p>
    <w:p w:rsidR="00912C78" w:rsidRPr="00912C78" w:rsidRDefault="00912C78" w:rsidP="00912C78">
      <w:pPr>
        <w:pStyle w:val="Nagwek1"/>
      </w:pPr>
      <w:bookmarkStart w:id="2" w:name="_Toc109226521"/>
      <w:r w:rsidRPr="00912C78">
        <w:lastRenderedPageBreak/>
        <w:t>1.2 Definicje słów</w:t>
      </w:r>
      <w:bookmarkEnd w:id="2"/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 xml:space="preserve">Aby zapewnić bezpieczną pracę i długoterminową stabilność działania, ważne jest, aby w pełni zrozumieć </w:t>
      </w:r>
      <w:r>
        <w:rPr>
          <w:szCs w:val="24"/>
        </w:rPr>
        <w:t>funkcje</w:t>
      </w:r>
      <w:r w:rsidRPr="00912C78">
        <w:rPr>
          <w:szCs w:val="24"/>
        </w:rPr>
        <w:t>, obsług</w:t>
      </w:r>
      <w:r>
        <w:rPr>
          <w:szCs w:val="24"/>
        </w:rPr>
        <w:t>ę i konserwację</w:t>
      </w:r>
      <w:r w:rsidRPr="00912C78">
        <w:rPr>
          <w:szCs w:val="24"/>
        </w:rPr>
        <w:t>, zapoznając się z niniejszą instrukcją przed uruchomieniem urządzenia.</w:t>
      </w:r>
    </w:p>
    <w:p w:rsidR="00912C78" w:rsidRP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Szczególną uwagę należy zwrócić na wszystkie ostrzeżenia, przestrogi i uwagi zawarte w niniejszym dokumencie.</w:t>
      </w:r>
    </w:p>
    <w:p w:rsidR="00912C78" w:rsidRDefault="00912C78" w:rsidP="00912C78">
      <w:pPr>
        <w:pStyle w:val="Bezodstpw"/>
        <w:rPr>
          <w:szCs w:val="24"/>
        </w:rPr>
      </w:pPr>
      <w:r w:rsidRPr="00912C78">
        <w:rPr>
          <w:szCs w:val="24"/>
        </w:rPr>
        <w:t>Poniższe konwencje są używane w całym podręczniku w celu oznaczenia informacji o szczególnym znaczeniu.</w:t>
      </w:r>
    </w:p>
    <w:p w:rsidR="00912C78" w:rsidRDefault="00912C78" w:rsidP="00912C78">
      <w:pPr>
        <w:pStyle w:val="Bezodstpw"/>
        <w:rPr>
          <w:szCs w:val="24"/>
        </w:rPr>
      </w:pP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6AE31966" wp14:editId="25525E1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85165" cy="618490"/>
            <wp:effectExtent l="0" t="0" r="635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 xml:space="preserve">OSTRZEŻENIE </w:t>
      </w: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>Wskazuje na ważną informację dotyczącą możliwego zagrożenia, które może spowodować poważne obrażenia ciała, śmierć, znaczne uszkodzenia mienia, jeśli ostrzeżenie zostanie zignorowane.</w:t>
      </w: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558F741C" wp14:editId="7B66430A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666115" cy="561340"/>
            <wp:effectExtent l="0" t="0" r="635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UWAGA</w:t>
      </w:r>
    </w:p>
    <w:p w:rsidR="00912C78" w:rsidRDefault="00912C78" w:rsidP="00912C78">
      <w:pPr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>Wskazuje na ważną informację dotyczącą możliwego zagrożenia, które może spowodować lekkie obrażenia ciała lub uszkodzenia mienia, jeśli ostrzeżenie zostanie zignorowane.</w:t>
      </w: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4421BF42" wp14:editId="5DB31A85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>WSKAZÓWKA</w:t>
      </w:r>
    </w:p>
    <w:p w:rsidR="00912C78" w:rsidRPr="00D354CB" w:rsidRDefault="00912C78" w:rsidP="00912C78">
      <w:pPr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>Wskazuje na ważną informację dotyczącą instalacji, obsługi i konserwacji tego urządzenia. Różni się ona od „Ostrzeżenia” lub „Uwagi”.</w:t>
      </w:r>
    </w:p>
    <w:p w:rsidR="00A670BA" w:rsidRDefault="00A670BA" w:rsidP="00C4705B">
      <w:pPr>
        <w:pStyle w:val="Nagwek1"/>
        <w:rPr>
          <w:rFonts w:ascii="Calibri Light" w:hAnsi="Calibri Light" w:cs="Calibri Light"/>
        </w:rPr>
      </w:pPr>
    </w:p>
    <w:p w:rsidR="00C4705B" w:rsidRPr="00A670BA" w:rsidRDefault="00C4705B" w:rsidP="00C4705B">
      <w:pPr>
        <w:pStyle w:val="Nagwek1"/>
        <w:rPr>
          <w:rFonts w:ascii="Calibri Light" w:hAnsi="Calibri Light" w:cs="Calibri Light"/>
        </w:rPr>
      </w:pPr>
      <w:bookmarkStart w:id="3" w:name="_Toc109226522"/>
      <w:r w:rsidRPr="00A670BA">
        <w:rPr>
          <w:rFonts w:ascii="Calibri Light" w:hAnsi="Calibri Light" w:cs="Calibri Light"/>
        </w:rPr>
        <w:t>1.3 Klasyfikacja i zgodność</w:t>
      </w:r>
      <w:bookmarkEnd w:id="3"/>
    </w:p>
    <w:p w:rsidR="00C4705B" w:rsidRPr="00A670BA" w:rsidRDefault="00C4705B" w:rsidP="00A670BA">
      <w:pPr>
        <w:pStyle w:val="Bezodstpw"/>
      </w:pPr>
      <w:r w:rsidRPr="00A670BA">
        <w:t>(1) To urządzenie jest sklasyfikowane jako;</w:t>
      </w:r>
    </w:p>
    <w:p w:rsidR="00C4705B" w:rsidRPr="00A670BA" w:rsidRDefault="00C4705B" w:rsidP="00A670BA">
      <w:pPr>
        <w:pStyle w:val="Bezodstpw"/>
      </w:pPr>
      <w:r w:rsidRPr="00A670BA">
        <w:t>Klasa 1 typu BF przed porażeniem elektrycznym</w:t>
      </w:r>
    </w:p>
    <w:p w:rsidR="00C4705B" w:rsidRPr="00A670BA" w:rsidRDefault="00C4705B" w:rsidP="00A670BA">
      <w:pPr>
        <w:pStyle w:val="Bezodstpw"/>
      </w:pPr>
      <w:r w:rsidRPr="00A670BA">
        <w:t>Zwykłe wyposażenie bez ochrony przed wnikaniem wody</w:t>
      </w:r>
    </w:p>
    <w:p w:rsidR="00C4705B" w:rsidRPr="00A670BA" w:rsidRDefault="00C4705B" w:rsidP="00A670BA">
      <w:pPr>
        <w:pStyle w:val="Bezodstpw"/>
      </w:pPr>
      <w:r w:rsidRPr="00A670BA">
        <w:t>Sprzęt nie nadaje się do użytku w obecności palnej mieszaniny środków znieczulających zgodnie z normą EN 60601-1: 2006 (podstawowe bezpieczeństwo i zasadnicze działanie medycznego sprzętu elektrycznego)</w:t>
      </w:r>
    </w:p>
    <w:p w:rsidR="00912C78" w:rsidRPr="00A670BA" w:rsidRDefault="00C4705B" w:rsidP="00A670BA">
      <w:pPr>
        <w:pStyle w:val="Bezodstpw"/>
      </w:pPr>
      <w:r w:rsidRPr="00A670BA">
        <w:t>(2) To urządzenie jest zgodne z klasą A pod względem emisji hałasu, poziomem B pod względem odporności na hałas, zgodnie z normą IEC 60601-1-2:2007 (wymagania dotyczące kompatybilności elektromagnetycznej).</w:t>
      </w:r>
    </w:p>
    <w:p w:rsidR="00E521A3" w:rsidRPr="00A670BA" w:rsidRDefault="00E521A3" w:rsidP="00A670BA">
      <w:pPr>
        <w:pStyle w:val="Bezodstpw"/>
      </w:pPr>
    </w:p>
    <w:p w:rsidR="00F96EA1" w:rsidRDefault="00F96EA1" w:rsidP="00A670BA">
      <w:pPr>
        <w:pStyle w:val="Bezodstpw"/>
      </w:pPr>
    </w:p>
    <w:p w:rsidR="00F96EA1" w:rsidRDefault="00F96EA1" w:rsidP="00F96EA1">
      <w:pPr>
        <w:pStyle w:val="Nagwek1"/>
      </w:pPr>
      <w:bookmarkStart w:id="4" w:name="_Toc109226523"/>
      <w:r>
        <w:t xml:space="preserve">1.4 </w:t>
      </w:r>
      <w:r w:rsidRPr="00F96EA1">
        <w:t>Środki ostrożności</w:t>
      </w:r>
      <w:bookmarkEnd w:id="4"/>
    </w:p>
    <w:p w:rsidR="00E521A3" w:rsidRPr="00A670BA" w:rsidRDefault="00E521A3" w:rsidP="00A670BA">
      <w:pPr>
        <w:pStyle w:val="Bezodstpw"/>
      </w:pPr>
      <w:r w:rsidRPr="00A670BA">
        <w:t>To urządzenie zostało zaprojektowane i wykonane z uwzględnieniem bezpieczeństwa operatora, badanego, a także niezawodności urządzenia.</w:t>
      </w:r>
    </w:p>
    <w:p w:rsidR="00E521A3" w:rsidRPr="00A670BA" w:rsidRDefault="00E521A3" w:rsidP="00A670BA">
      <w:pPr>
        <w:pStyle w:val="Bezodstpw"/>
      </w:pPr>
      <w:r w:rsidRPr="00A670BA">
        <w:t>Dla zwiększenia bezpieczeństwa, proszę zwracać uwagę na znaki bezpieczeństwa:</w:t>
      </w:r>
    </w:p>
    <w:p w:rsidR="00E521A3" w:rsidRDefault="00E521A3" w:rsidP="00E521A3">
      <w:pPr>
        <w:rPr>
          <w:rFonts w:cstheme="majorHAnsi"/>
          <w:sz w:val="24"/>
          <w:szCs w:val="24"/>
        </w:rPr>
      </w:pPr>
    </w:p>
    <w:p w:rsidR="00F96EA1" w:rsidRDefault="00F96EA1" w:rsidP="00E521A3">
      <w:pPr>
        <w:rPr>
          <w:rFonts w:cstheme="majorHAnsi"/>
          <w:sz w:val="24"/>
          <w:szCs w:val="24"/>
        </w:rPr>
      </w:pPr>
    </w:p>
    <w:p w:rsidR="00F96EA1" w:rsidRDefault="00F96EA1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lastRenderedPageBreak/>
        <w:drawing>
          <wp:anchor distT="0" distB="0" distL="114300" distR="114300" simplePos="0" relativeHeight="251685888" behindDoc="0" locked="0" layoutInCell="1" allowOverlap="1" wp14:anchorId="2844E432" wp14:editId="75F30FFA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685714" cy="619048"/>
            <wp:effectExtent l="0" t="0" r="635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A1">
        <w:rPr>
          <w:rFonts w:cstheme="majorHAnsi"/>
          <w:sz w:val="24"/>
          <w:szCs w:val="24"/>
        </w:rPr>
        <w:t xml:space="preserve">Podczas pomiaru składu ciała przez ciało przepływa mikroprąd o natężeniu 180 </w:t>
      </w:r>
      <w:proofErr w:type="spellStart"/>
      <w:r w:rsidRPr="00F96EA1">
        <w:rPr>
          <w:rFonts w:cstheme="majorHAnsi"/>
          <w:sz w:val="24"/>
          <w:szCs w:val="24"/>
        </w:rPr>
        <w:t>μA</w:t>
      </w:r>
      <w:proofErr w:type="spellEnd"/>
      <w:r w:rsidRPr="00F96EA1">
        <w:rPr>
          <w:rFonts w:cstheme="majorHAnsi"/>
          <w:sz w:val="24"/>
          <w:szCs w:val="24"/>
        </w:rPr>
        <w:t>. Osoby, które mają jakiekolwiek wszczepione aktywne urządzenia medyczne, takie jak rozruszniki serca, nie powinny używać tego sprzętu, ponieważ mikroprąd może spowodować nieprawidłowe działanie wszczepionego urządzenia.</w:t>
      </w: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F96EA1" w:rsidRDefault="00F96EA1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87936" behindDoc="0" locked="0" layoutInCell="1" allowOverlap="1" wp14:anchorId="0814AEED" wp14:editId="1C876A9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85714" cy="619048"/>
            <wp:effectExtent l="0" t="0" r="635" b="0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A1">
        <w:rPr>
          <w:rFonts w:cstheme="majorHAnsi"/>
          <w:sz w:val="24"/>
          <w:szCs w:val="24"/>
        </w:rPr>
        <w:t>Aby zapobiec niebezpieczeństwu pożaru, używaj wyłącznie prawidłowo okablowanego gniazdka (100-240VAC) i nie używaj gniazdka wielogniazdowego, które nie jest zgodne z normą IEC 60601-1.</w:t>
      </w:r>
    </w:p>
    <w:p w:rsidR="00F96EA1" w:rsidRDefault="00F96EA1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F96EA1" w:rsidRDefault="00F96EA1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89984" behindDoc="0" locked="0" layoutInCell="1" allowOverlap="1" wp14:anchorId="2173DCE3" wp14:editId="74EDADE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85714" cy="619048"/>
            <wp:effectExtent l="0" t="0" r="635" b="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A1">
        <w:rPr>
          <w:rFonts w:cstheme="majorHAnsi"/>
          <w:sz w:val="24"/>
          <w:szCs w:val="24"/>
        </w:rPr>
        <w:t>Aby zmniejszyć ryzyko porażenia prądem lub uszkodzenia produktu, nigdy nie podłączaj ani nie odłączaj wtyczki mokrymi rękami.</w:t>
      </w:r>
    </w:p>
    <w:p w:rsidR="00F96EA1" w:rsidRDefault="00F96EA1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92032" behindDoc="0" locked="0" layoutInCell="1" allowOverlap="1" wp14:anchorId="0831EE84" wp14:editId="7E97FE8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85165" cy="618490"/>
            <wp:effectExtent l="0" t="0" r="635" b="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522">
        <w:rPr>
          <w:rFonts w:cstheme="majorHAnsi"/>
          <w:sz w:val="24"/>
          <w:szCs w:val="24"/>
        </w:rPr>
        <w:t>Osoby niepełnosprawne fizycznie nie powinny podejmować samodzielnych pomiarów, lecz powinny korzystać z pomocy opiekunów w korzystaniu z urządzenia.</w:t>
      </w:r>
    </w:p>
    <w:p w:rsidR="00F96EA1" w:rsidRDefault="00F96EA1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494522" w:rsidRDefault="00494522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94080" behindDoc="0" locked="0" layoutInCell="1" allowOverlap="1" wp14:anchorId="2A8B9F7F" wp14:editId="4972836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66115" cy="561340"/>
            <wp:effectExtent l="0" t="0" r="635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522">
        <w:rPr>
          <w:rFonts w:cstheme="majorHAnsi"/>
          <w:sz w:val="24"/>
          <w:szCs w:val="24"/>
        </w:rPr>
        <w:t>Urządzenie musi być obsługiwane wyłącznie przez lub pod nadzorem wykwalifikowanej osoby z naszej firmy lub naszych dystrybutorów.</w:t>
      </w: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494522" w:rsidRDefault="00494522" w:rsidP="00494522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96128" behindDoc="0" locked="0" layoutInCell="1" allowOverlap="1" wp14:anchorId="46EBE7A7" wp14:editId="6322D0D3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666115" cy="561340"/>
            <wp:effectExtent l="0" t="0" r="635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Jeśli planujesz podłączenie dowolnego urządzenia innego producenta elektrycznie lub mechanicznie do analizatora, skontaktuj się z VITAKO. Jeśli podłączasz komputer lub inny system do jednostki (RS-232C), załączane systemy powinny posiadać certyfikat IEC 950 lub spełniać równoważne normy dotyczące urządzeń do przetwarzania danych. Konfiguracje powinny być zgodne ze st</w:t>
      </w:r>
      <w:r>
        <w:rPr>
          <w:rFonts w:cstheme="majorHAnsi"/>
          <w:sz w:val="24"/>
          <w:szCs w:val="24"/>
        </w:rPr>
        <w:t>andardem systemu EN 60601-1:2006</w:t>
      </w:r>
      <w:r w:rsidRPr="00D354CB">
        <w:rPr>
          <w:rFonts w:cstheme="majorHAnsi"/>
          <w:sz w:val="24"/>
          <w:szCs w:val="24"/>
        </w:rPr>
        <w:t>. Każdy, kto podłącza dodatkowe urządzenia do obróbki sygnału wejściowego lub wyjściowego konfiguruje system medyczny wedł</w:t>
      </w:r>
      <w:r>
        <w:rPr>
          <w:rFonts w:cstheme="majorHAnsi"/>
          <w:sz w:val="24"/>
          <w:szCs w:val="24"/>
        </w:rPr>
        <w:t xml:space="preserve">ug standardu EN IEC 60601-1:2006. </w:t>
      </w:r>
      <w:r w:rsidRPr="00494522">
        <w:rPr>
          <w:rFonts w:cstheme="majorHAnsi"/>
          <w:sz w:val="24"/>
          <w:szCs w:val="24"/>
        </w:rPr>
        <w:t>W razie wątpliwości skonsultuj się z działem A/S lokalnego dystrybutora.</w:t>
      </w: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494522" w:rsidRPr="00D354CB" w:rsidRDefault="00494522" w:rsidP="00494522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98176" behindDoc="0" locked="0" layoutInCell="1" allowOverlap="1" wp14:anchorId="47797D07" wp14:editId="1ABE62B7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666115" cy="561340"/>
            <wp:effectExtent l="0" t="0" r="635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Unikaj poniższych warunków środowiska podczas użytkowania i przechowywania; - Gdy temperatura spadnie poniżej -25°C lub przekroczy 70°C.                                  - Gdy ciśnienie atmosferyczne spadnie poniżej 70kPa (700mbar) oraz wzrośnie powyżej 106kPa (1060mbar).</w:t>
      </w:r>
    </w:p>
    <w:p w:rsidR="00494522" w:rsidRPr="00D354CB" w:rsidRDefault="00494522" w:rsidP="00494522">
      <w:pPr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 xml:space="preserve">- Gdy wilgotność jest wyższa niż 93%.                                  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- Gdy urządzenie jest narażone na bezpośredni strumień wody lub zalanie.              </w:t>
      </w:r>
      <w:r w:rsidRPr="00D354CB">
        <w:rPr>
          <w:rFonts w:cstheme="majorHAnsi"/>
          <w:sz w:val="24"/>
          <w:szCs w:val="24"/>
        </w:rPr>
        <w:tab/>
        <w:t xml:space="preserve">           - Gdy urządzenie jest narażone na kontakt z kurzem.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- Gdy urządzenie jest narażone na kontakt z parą wodną.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            - Gdy urządzenie jest narażone na kontakt ze słonym środowiskiem.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- Gdy urządzenie jest narażone na kontakt z łatwopalnym gazem. </w:t>
      </w:r>
      <w:r w:rsidRPr="00D354CB">
        <w:rPr>
          <w:rFonts w:cstheme="majorHAnsi"/>
          <w:sz w:val="24"/>
          <w:szCs w:val="24"/>
        </w:rPr>
        <w:tab/>
        <w:t xml:space="preserve">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- Gdy urządzenie jest narażone na nadmierne wstrząsy i wibracje.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- Gdy kąt nachylenia powierzchni montażowej przekracza 10°.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- Gdy urządzenie jest narażone na bezpośrednie działanie promieni słonecznych.</w:t>
      </w:r>
    </w:p>
    <w:p w:rsidR="00494522" w:rsidRPr="00D354CB" w:rsidRDefault="00494522" w:rsidP="00494522">
      <w:pPr>
        <w:rPr>
          <w:rFonts w:cstheme="majorHAnsi"/>
          <w:sz w:val="24"/>
          <w:szCs w:val="24"/>
        </w:rPr>
      </w:pPr>
    </w:p>
    <w:p w:rsidR="00494522" w:rsidRPr="00D354CB" w:rsidRDefault="00494522" w:rsidP="00494522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700224" behindDoc="0" locked="0" layoutInCell="1" allowOverlap="1" wp14:anchorId="62982CD3" wp14:editId="02FC98E9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666115" cy="561340"/>
            <wp:effectExtent l="0" t="0" r="635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Oświadczenie, że ELEKTRYCZNY SPRZĘT MEDYCZNY (EMC – ELECTRICAL MEDICAL EQUIPMENT) wymaga specjalnych środków ostrożności dotyczących EMC i powinien być instalowany i uruchamiany zgodnie z zaleceniami dotyczącymi EMC zawartymi w DOKUMENTACH TOWARZYSZĄCYCH;</w:t>
      </w:r>
    </w:p>
    <w:p w:rsidR="00494522" w:rsidRDefault="00494522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675C1EF6" wp14:editId="541CA213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666115" cy="561340"/>
            <wp:effectExtent l="0" t="0" r="63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Jeśli wystąpiły jakiekolwiek problemy z urządzeniem, natychmiast je wyłącz i skontaktuj się z producentem - Selvas Healthcare lub jej autoryzowanym sprzedawcą w celu uzyskania pomocy.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6982A384" wp14:editId="53C7FF6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685714" cy="619048"/>
            <wp:effectExtent l="0" t="0" r="635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To urządzenie jest określone jako Klasa 1 typ BF - jednostka zgodna ze standardem IEC 60601-1:2005/A1:2012 (bezpieczeństwo podstawowe i niezbędne wykonanie elektrycznych urządzeń medycznych). Dlatego pacjenci nigdy nie mogą dotykać lub obsługiwać wewnętrznych elementów systemu.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 wp14:anchorId="3A9D12D1" wp14:editId="36E7A8F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85714" cy="619048"/>
            <wp:effectExtent l="0" t="0" r="635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Nie modyfikuj urządzenia. Jeśli potrzebna jest modyfikacja, skontaktuj się z naszym autoryzowanym dystrybutorem – VITAKO.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 wp14:anchorId="1C01F293" wp14:editId="11C3A747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685714" cy="619048"/>
            <wp:effectExtent l="0" t="0" r="635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Urządzenie zostało dostosowane podczas produkcji do maksymalnej wydajności. Nie modyfikuj żadnych elementów sprzętu, poza tymi, opisanymi w instrukcji.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77696" behindDoc="0" locked="0" layoutInCell="1" allowOverlap="1" wp14:anchorId="0A53C068" wp14:editId="4A090775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666115" cy="561340"/>
            <wp:effectExtent l="0" t="0" r="635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 xml:space="preserve">To urządzenie zostało przetestowane i uznane za zgodne z ograniczeniami dla urządzeń medycznych zgodnie z IEC 60601-1-2:2007. Ograniczenia te mają na celu zapewnienie odpowiedniej ochrony przed szkodliwymi zakłóceniami w typowej instalacji medycznej. Urządzenie to generuje, wykorzystuje i może emitować energię o częstotliwości fal radiowych i jeśli nie jest zainstalowane i używane zgodnie z instrukcją, może powodować szkodliwe zakłócenia innych urządzeń znajdujących się w pobliżu. Jednakże, nie ma gwarancji, że zakłócenia nie wystąpią w konkretnej instalacji. Jeśli praca urządzenia powoduje zakłócenie działania innych urządzeń, użytkownik może podjąć próbę usunięcia zakłóceń w jeden lub więcej z następujących sposobów;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- Zmiana położenia urządzenia odbiorczego.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            - Zwiększenie dystansu między urządzeniami.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          - Podłączenie sprzętu do gniazdka w innym obwodzie niż ten, do którego podłączone są pozostałe urządzenia.  </w:t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</w:r>
      <w:r w:rsidRPr="00D354CB">
        <w:rPr>
          <w:rFonts w:cstheme="majorHAnsi"/>
          <w:sz w:val="24"/>
          <w:szCs w:val="24"/>
        </w:rPr>
        <w:tab/>
        <w:t xml:space="preserve"> </w:t>
      </w:r>
      <w:r w:rsidRPr="00D354CB">
        <w:rPr>
          <w:rFonts w:cstheme="majorHAnsi"/>
          <w:sz w:val="24"/>
          <w:szCs w:val="24"/>
        </w:rPr>
        <w:tab/>
        <w:t xml:space="preserve">           - Skontaktowanie się z autoryzowanym przedstawicielem producenta - VITAKO.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 wp14:anchorId="576FFDC0" wp14:editId="7E669E51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685714" cy="619048"/>
            <wp:effectExtent l="0" t="0" r="635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Nie dotykaj złącza wejściowego i wyjściowego oraz pacjenta jednocześnie.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lastRenderedPageBreak/>
        <w:drawing>
          <wp:anchor distT="0" distB="0" distL="114300" distR="114300" simplePos="0" relativeHeight="251680768" behindDoc="0" locked="0" layoutInCell="1" allowOverlap="1" wp14:anchorId="4DCBB95A" wp14:editId="1B928BFD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666115" cy="561340"/>
            <wp:effectExtent l="0" t="0" r="635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Oświadczenie, że przenośny sprzęt i mobilne przekaźniki radiowe mogą wpływać na ELEKTRYCZNY SPRZĘT MEDYCZNY.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81792" behindDoc="1" locked="0" layoutInCell="1" allowOverlap="1" wp14:anchorId="601117AA" wp14:editId="0AC5BBCA">
            <wp:simplePos x="0" y="0"/>
            <wp:positionH relativeFrom="margin">
              <wp:posOffset>0</wp:posOffset>
            </wp:positionH>
            <wp:positionV relativeFrom="paragraph">
              <wp:posOffset>-201295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Proszę skonsultować się z lekarzem lub wyszkolonym pracownikiem służby zdrowia aby zinterpretować wyniki pomiarów.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82816" behindDoc="0" locked="0" layoutInCell="1" allowOverlap="1" wp14:anchorId="5EC1DE7E" wp14:editId="4E8164C2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666115" cy="561340"/>
            <wp:effectExtent l="0" t="0" r="63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Pomiary mogą być zakłócone, jeśli to urządzenie jest używane w pobliżu telewizorów, kuchenek mikrofalowych, sprzętu rentgenowskiego lub innych urządzeń z silnymi polami elektrycznymi. Aby zapobiec takim zakłóceń, należy używać analizatora w odpowiedniej odległości od takich urządzeń lub je wyłączać.</w:t>
      </w: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</w:p>
    <w:p w:rsidR="00E521A3" w:rsidRPr="00D354CB" w:rsidRDefault="00E521A3" w:rsidP="00E521A3">
      <w:pPr>
        <w:rPr>
          <w:rFonts w:cstheme="majorHAnsi"/>
          <w:sz w:val="24"/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683840" behindDoc="1" locked="0" layoutInCell="1" allowOverlap="1" wp14:anchorId="55035046" wp14:editId="7B2B798C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4CB">
        <w:rPr>
          <w:rFonts w:cstheme="majorHAnsi"/>
          <w:sz w:val="24"/>
          <w:szCs w:val="24"/>
        </w:rPr>
        <w:t>W przypadku niepoprawnego korzystania z urządzenia, niezgodnego ze wskazówkami zawartymi w instrukcji, odpowiedzialność za uszkodzenie ciała lub mienia lub jakiekolwiek inne szkody ponosi użytkownik. Tę instrukcję stworzono dla celów informacyjnych i nie może ona zastąpić porady lekarza czy być wskazówką do rozwiązania jakiegokolwiek problemu zdrowotnego. Nie wolno używać informacji zawartych w instrukcji do diagnozy lub leczenia problemów zdrowotnych lub zastosowania leczenia farmakologicznego na własną rękę. Jeśli masz, lub podejrzewasz, że masz problem zdrowotny, skonsultuj go z lekarzem. Uszkodzony sprzęt lub akcesoria muszą być spakowane w zamienne kartony w przypadku wysyłki od Państwa do VITAKO. Koszty wysyłki i ubezpieczenia w przypadku przesyłki zwrotnej leżą po stronie użytkownika.</w:t>
      </w:r>
    </w:p>
    <w:p w:rsidR="00E521A3" w:rsidRDefault="00E521A3" w:rsidP="00E521A3">
      <w:pPr>
        <w:rPr>
          <w:rFonts w:cstheme="majorHAnsi"/>
          <w:sz w:val="24"/>
          <w:szCs w:val="24"/>
        </w:rPr>
      </w:pPr>
    </w:p>
    <w:p w:rsidR="00E521A3" w:rsidRDefault="00E521A3" w:rsidP="00E521A3">
      <w:pPr>
        <w:rPr>
          <w:rFonts w:cstheme="majorHAnsi"/>
          <w:sz w:val="24"/>
          <w:szCs w:val="24"/>
        </w:rPr>
      </w:pPr>
    </w:p>
    <w:p w:rsidR="00E521A3" w:rsidRDefault="00E521A3" w:rsidP="00E521A3">
      <w:pPr>
        <w:rPr>
          <w:rFonts w:cstheme="majorHAnsi"/>
          <w:sz w:val="24"/>
          <w:szCs w:val="24"/>
        </w:rPr>
      </w:pPr>
    </w:p>
    <w:p w:rsidR="00E521A3" w:rsidRDefault="00D7207F" w:rsidP="00D7207F">
      <w:pPr>
        <w:pStyle w:val="Nagwek1"/>
      </w:pPr>
      <w:bookmarkStart w:id="5" w:name="_Toc109226524"/>
      <w:r w:rsidRPr="00D7207F">
        <w:t>1.5 Symbole i informacje dotyczące bezpieczeństwa</w:t>
      </w:r>
      <w:bookmarkEnd w:id="5"/>
    </w:p>
    <w:p w:rsidR="002363DF" w:rsidRPr="00D354CB" w:rsidRDefault="002363DF" w:rsidP="002363DF">
      <w:pPr>
        <w:autoSpaceDE w:val="0"/>
        <w:autoSpaceDN w:val="0"/>
        <w:adjustRightInd w:val="0"/>
        <w:spacing w:after="0" w:line="240" w:lineRule="auto"/>
        <w:rPr>
          <w:rFonts w:cstheme="majorHAnsi"/>
          <w:sz w:val="24"/>
          <w:szCs w:val="24"/>
        </w:rPr>
      </w:pPr>
      <w:r w:rsidRPr="00D354CB">
        <w:rPr>
          <w:rFonts w:cstheme="majorHAnsi"/>
          <w:sz w:val="24"/>
          <w:szCs w:val="24"/>
        </w:rPr>
        <w:t>Międzynarodowa Komisja Elektrotechniczna (IEC) ustanowiła zbiór symboli dla medycznych urządzeń elektrycznych, które klasyfikują połączenia lub ostrzeżenia wszelkich potencjalnych zagrożeń.</w:t>
      </w:r>
    </w:p>
    <w:p w:rsidR="002363DF" w:rsidRPr="00D354CB" w:rsidRDefault="002363DF" w:rsidP="002363DF">
      <w:pPr>
        <w:rPr>
          <w:rFonts w:cstheme="majorHAnsi"/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56"/>
        <w:gridCol w:w="6506"/>
      </w:tblGrid>
      <w:tr w:rsidR="002363DF" w:rsidRPr="00D354CB" w:rsidTr="00B05267">
        <w:trPr>
          <w:trHeight w:val="572"/>
        </w:trPr>
        <w:tc>
          <w:tcPr>
            <w:tcW w:w="1566" w:type="dxa"/>
          </w:tcPr>
          <w:p w:rsidR="002363DF" w:rsidRPr="00D354CB" w:rsidRDefault="002363DF" w:rsidP="00B05267">
            <w:pPr>
              <w:jc w:val="center"/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sz w:val="40"/>
                <w:szCs w:val="40"/>
                <w:lang w:eastAsia="pl-PL"/>
              </w:rPr>
              <w:t>SYMBOL</w:t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ajorHAnsi"/>
                <w:sz w:val="40"/>
                <w:szCs w:val="40"/>
              </w:rPr>
            </w:pPr>
            <w:r w:rsidRPr="00D354CB">
              <w:rPr>
                <w:rFonts w:cstheme="majorHAnsi"/>
                <w:sz w:val="40"/>
                <w:szCs w:val="40"/>
              </w:rPr>
              <w:t>INFORMACJA</w:t>
            </w:r>
          </w:p>
        </w:tc>
      </w:tr>
      <w:tr w:rsidR="002363DF" w:rsidRPr="00D354CB" w:rsidTr="00B05267">
        <w:trPr>
          <w:trHeight w:val="1137"/>
        </w:trPr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lang w:eastAsia="pl-PL"/>
              </w:rPr>
              <w:drawing>
                <wp:anchor distT="0" distB="0" distL="114300" distR="114300" simplePos="0" relativeHeight="251702272" behindDoc="0" locked="0" layoutInCell="1" allowOverlap="1" wp14:anchorId="6C9D02EF" wp14:editId="5E86711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52381" cy="590476"/>
                  <wp:effectExtent l="0" t="0" r="635" b="635"/>
                  <wp:wrapSquare wrapText="bothSides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autoSpaceDE w:val="0"/>
              <w:autoSpaceDN w:val="0"/>
              <w:adjustRightInd w:val="0"/>
              <w:spacing w:after="0"/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 xml:space="preserve">Stopień </w:t>
            </w:r>
            <w:r w:rsidRPr="00C4444D">
              <w:rPr>
                <w:rFonts w:cstheme="majorHAnsi"/>
                <w:sz w:val="24"/>
                <w:szCs w:val="24"/>
              </w:rPr>
              <w:t xml:space="preserve">ochrony przeciwko </w:t>
            </w:r>
            <w:r w:rsidRPr="00D354CB">
              <w:rPr>
                <w:rFonts w:cstheme="majorHAnsi"/>
                <w:sz w:val="24"/>
                <w:szCs w:val="24"/>
              </w:rPr>
              <w:t>wstrząsowi elektrycznemu: TYP BF</w:t>
            </w:r>
          </w:p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sz w:val="24"/>
                <w:szCs w:val="24"/>
                <w:lang w:eastAsia="pl-PL"/>
              </w:rPr>
              <w:drawing>
                <wp:anchor distT="0" distB="0" distL="114300" distR="114300" simplePos="0" relativeHeight="251703296" behindDoc="0" locked="0" layoutInCell="1" allowOverlap="1" wp14:anchorId="66ADCA09" wp14:editId="342CA212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1270</wp:posOffset>
                  </wp:positionV>
                  <wp:extent cx="523810" cy="542857"/>
                  <wp:effectExtent l="0" t="0" r="0" b="0"/>
                  <wp:wrapSquare wrapText="bothSides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Należy przestrzegać instrukcji obsługi</w:t>
            </w:r>
          </w:p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sz w:val="24"/>
                <w:szCs w:val="24"/>
                <w:lang w:eastAsia="pl-PL"/>
              </w:rPr>
              <w:lastRenderedPageBreak/>
              <w:drawing>
                <wp:anchor distT="0" distB="0" distL="114300" distR="114300" simplePos="0" relativeHeight="251704320" behindDoc="0" locked="0" layoutInCell="1" allowOverlap="1" wp14:anchorId="2F526E79" wp14:editId="0864DAF2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32385</wp:posOffset>
                  </wp:positionV>
                  <wp:extent cx="685714" cy="619048"/>
                  <wp:effectExtent l="0" t="0" r="635" b="0"/>
                  <wp:wrapSquare wrapText="bothSides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Ogólny znak ostrzegawczy</w:t>
            </w:r>
          </w:p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2030383A" wp14:editId="74E9D964">
                  <wp:extent cx="523810" cy="523810"/>
                  <wp:effectExtent l="0" t="0" r="0" b="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Ogólny znak zakazu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A45C6BE" wp14:editId="71E632C6">
                  <wp:extent cx="561905" cy="523810"/>
                  <wp:effectExtent l="0" t="0" r="0" b="0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Ogólny znak nakazu działania</w:t>
            </w:r>
          </w:p>
        </w:tc>
      </w:tr>
      <w:tr w:rsidR="002363DF" w:rsidRPr="00D354CB" w:rsidTr="00B05267">
        <w:trPr>
          <w:trHeight w:val="1081"/>
        </w:trPr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sz w:val="24"/>
                <w:szCs w:val="24"/>
                <w:lang w:eastAsia="pl-PL"/>
              </w:rPr>
              <w:drawing>
                <wp:anchor distT="0" distB="0" distL="114300" distR="114300" simplePos="0" relativeHeight="251705344" behindDoc="1" locked="0" layoutInCell="1" allowOverlap="1" wp14:anchorId="2736C846" wp14:editId="7BADE018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22860</wp:posOffset>
                  </wp:positionV>
                  <wp:extent cx="666115" cy="561340"/>
                  <wp:effectExtent l="0" t="0" r="635" b="0"/>
                  <wp:wrapSquare wrapText="bothSides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5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Uwaga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587B0189" wp14:editId="01F6D8B0">
                  <wp:extent cx="561905" cy="628571"/>
                  <wp:effectExtent l="0" t="0" r="0" b="635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Zużyty sprzęt elektryczny i elektroniczny (WEEE). Urządzenie może być odesłane do producenta w celu recyklingu. Alternatywnie urządzenie powinno być utylizowane zgodnie z prawem obowiązującym w danym kraju.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75E38B56" wp14:editId="35655350">
                  <wp:extent cx="466667" cy="514286"/>
                  <wp:effectExtent l="0" t="0" r="0" b="635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7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autoSpaceDE w:val="0"/>
              <w:autoSpaceDN w:val="0"/>
              <w:adjustRightInd w:val="0"/>
              <w:spacing w:after="0"/>
              <w:rPr>
                <w:rFonts w:cstheme="majorHAnsi"/>
                <w:color w:val="000000"/>
                <w:sz w:val="24"/>
                <w:szCs w:val="24"/>
              </w:rPr>
            </w:pPr>
          </w:p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"WYŁĄCZ" (tylko dla części urządzenia)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0B39F237" wp14:editId="490DECC4">
                  <wp:extent cx="523810" cy="504762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autoSpaceDE w:val="0"/>
              <w:autoSpaceDN w:val="0"/>
              <w:adjustRightInd w:val="0"/>
              <w:spacing w:after="0"/>
              <w:rPr>
                <w:rFonts w:cstheme="majorHAnsi"/>
                <w:color w:val="000000"/>
                <w:sz w:val="24"/>
                <w:szCs w:val="24"/>
              </w:rPr>
            </w:pPr>
          </w:p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"WŁĄCZ" (tylko dla części urządzenia)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3640EB4D" wp14:editId="738FC97A">
                  <wp:extent cx="676190" cy="561905"/>
                  <wp:effectExtent l="0" t="0" r="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Ten symbol jest używany wewnątrz systemu. Określa punkt, w którym system bezpieczeństwa jest przymocowany do obudowy.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6E314BB9" wp14:editId="7432E287">
                  <wp:extent cx="628571" cy="542857"/>
                  <wp:effectExtent l="0" t="0" r="635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Nie otwierać. Informacja tylko dla producenta.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5F294BA7" wp14:editId="4E483430">
                  <wp:extent cx="990476" cy="342857"/>
                  <wp:effectExtent l="0" t="0" r="635" b="63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Prąd zmienny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4306EC34" wp14:editId="7BA06DC4">
                  <wp:extent cx="1181100" cy="352425"/>
                  <wp:effectExtent l="0" t="0" r="0" b="9525"/>
                  <wp:docPr id="35" name="Obraz 35" descr="C:\Users\pawel\Pictures\Screenpresso\2022-07-11_14h01_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el\Pictures\Screenpresso\2022-07-11_14h01_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Prąd stały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noProof/>
                <w:lang w:eastAsia="pl-PL"/>
              </w:rPr>
              <w:drawing>
                <wp:inline distT="0" distB="0" distL="0" distR="0" wp14:anchorId="549FE11A" wp14:editId="148B87AD">
                  <wp:extent cx="504762" cy="533333"/>
                  <wp:effectExtent l="0" t="0" r="0" b="635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Data produkcji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47E0BA89" wp14:editId="1360E693">
                  <wp:extent cx="514350" cy="571500"/>
                  <wp:effectExtent l="0" t="0" r="0" b="0"/>
                  <wp:docPr id="39" name="Obraz 39" descr="C:\Users\pawel\AppData\Local\Microsoft\Windows\INetCache\Content.Word\2022-07-11_14h02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pawel\AppData\Local\Microsoft\Windows\INetCache\Content.Word\2022-07-11_14h02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Producent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lastRenderedPageBreak/>
              <w:drawing>
                <wp:inline distT="0" distB="0" distL="0" distR="0" wp14:anchorId="077A4FDA" wp14:editId="7A560561">
                  <wp:extent cx="571500" cy="504825"/>
                  <wp:effectExtent l="0" t="0" r="0" b="9525"/>
                  <wp:docPr id="37" name="Obraz 37" descr="C:\Users\pawel\AppData\Local\Microsoft\Windows\INetCache\Content.Word\2022-07-11_14h02_2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wel\AppData\Local\Microsoft\Windows\INetCache\Content.Word\2022-07-11_14h02_2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Promieniowanie niejonizujące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51195A5D" wp14:editId="54AC9300">
                  <wp:extent cx="904875" cy="428625"/>
                  <wp:effectExtent l="0" t="0" r="9525" b="9525"/>
                  <wp:docPr id="40" name="Obraz 40" descr="C:\Users\pawel\AppData\Local\Microsoft\Windows\INetCache\Content.Word\2022-07-11_14h02_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pawel\AppData\Local\Microsoft\Windows\INetCache\Content.Word\2022-07-11_14h02_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Znak CE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7B905272" wp14:editId="6AB7CB62">
                  <wp:extent cx="809625" cy="504825"/>
                  <wp:effectExtent l="0" t="0" r="9525" b="9525"/>
                  <wp:docPr id="41" name="Obraz 41" descr="C:\Users\pawel\AppData\Local\Microsoft\Windows\INetCache\Content.Word\2022-07-11_14h02_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awel\AppData\Local\Microsoft\Windows\INetCache\Content.Word\2022-07-11_14h02_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Numer seryjny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28026511" wp14:editId="7EEBF751">
                  <wp:extent cx="1485900" cy="533400"/>
                  <wp:effectExtent l="0" t="0" r="0" b="0"/>
                  <wp:docPr id="42" name="Obraz 42" descr="C:\Users\pawel\AppData\Local\Microsoft\Windows\INetCache\Content.Word\2022-07-11_14h02_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pawel\AppData\Local\Microsoft\Windows\INetCache\Content.Word\2022-07-11_14h02_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Upoważniony przedstawiciel we Wspólnocie Europejskiej.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3D7BDCD5" wp14:editId="53D39B57">
                  <wp:extent cx="466725" cy="542925"/>
                  <wp:effectExtent l="0" t="0" r="9525" b="9525"/>
                  <wp:docPr id="43" name="Obraz 43" descr="C:\Users\pawel\AppData\Local\Microsoft\Windows\INetCache\Content.Word\2022-07-11_14h03_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pawel\AppData\Local\Microsoft\Windows\INetCache\Content.Word\2022-07-11_14h03_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chronić przed wilgocią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77FB28C7" wp14:editId="795841C4">
                  <wp:extent cx="485775" cy="561975"/>
                  <wp:effectExtent l="0" t="0" r="9525" b="9525"/>
                  <wp:docPr id="44" name="Obraz 44" descr="C:\Users\pawel\AppData\Local\Microsoft\Windows\INetCache\Content.Word\2022-07-11_14h03_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pawel\AppData\Local\Microsoft\Windows\INetCache\Content.Word\2022-07-11_14h03_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Góra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49DFF690" wp14:editId="3002BD9E">
                  <wp:extent cx="333375" cy="561975"/>
                  <wp:effectExtent l="0" t="0" r="9525" b="9525"/>
                  <wp:docPr id="45" name="Obraz 45" descr="C:\Users\pawel\AppData\Local\Microsoft\Windows\INetCache\Content.Word\2022-07-11_14h03_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pawel\AppData\Local\Microsoft\Windows\INetCache\Content.Word\2022-07-11_14h03_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Uwaga, szklane elementy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74311EED" wp14:editId="1B7C63B5">
                  <wp:extent cx="447675" cy="542925"/>
                  <wp:effectExtent l="0" t="0" r="9525" b="9525"/>
                  <wp:docPr id="46" name="Obraz 46" descr="C:\Users\pawel\AppData\Local\Microsoft\Windows\INetCache\Content.Word\2022-07-11_14h03_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pawel\AppData\Local\Microsoft\Windows\INetCache\Content.Word\2022-07-11_14h03_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Nie używaj haczyków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0E09E91A" wp14:editId="2D4055D3">
                  <wp:extent cx="571500" cy="514350"/>
                  <wp:effectExtent l="0" t="0" r="0" b="0"/>
                  <wp:docPr id="47" name="Obraz 47" descr="C:\Users\pawel\AppData\Local\Microsoft\Windows\INetCache\Content.Word\2022-07-11_14h03_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pawel\AppData\Local\Microsoft\Windows\INetCache\Content.Word\2022-07-11_14h03_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tylko do użytku w pomieszczeniu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18294F27" wp14:editId="03CE5A4C">
                  <wp:extent cx="1371600" cy="523875"/>
                  <wp:effectExtent l="0" t="0" r="0" b="9525"/>
                  <wp:docPr id="48" name="Obraz 48" descr="C:\Users\pawel\AppData\Local\Microsoft\Windows\INetCache\Content.Word\2022-07-11_14h03_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pawel\AppData\Local\Microsoft\Windows\INetCache\Content.Word\2022-07-11_14h03_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RoHS2</w:t>
            </w:r>
          </w:p>
        </w:tc>
      </w:tr>
      <w:tr w:rsidR="002363DF" w:rsidRPr="00D354CB" w:rsidTr="00B05267">
        <w:tc>
          <w:tcPr>
            <w:tcW w:w="1566" w:type="dxa"/>
          </w:tcPr>
          <w:p w:rsidR="002363DF" w:rsidRPr="00D354CB" w:rsidRDefault="002363DF" w:rsidP="00B05267">
            <w:pPr>
              <w:rPr>
                <w:rFonts w:cstheme="majorHAnsi"/>
                <w:sz w:val="40"/>
                <w:szCs w:val="40"/>
                <w:lang w:eastAsia="pl-PL"/>
              </w:rPr>
            </w:pPr>
            <w:r w:rsidRPr="00D354CB">
              <w:rPr>
                <w:rFonts w:cstheme="majorHAnsi"/>
                <w:noProof/>
                <w:sz w:val="40"/>
                <w:szCs w:val="40"/>
                <w:lang w:eastAsia="pl-PL"/>
              </w:rPr>
              <w:drawing>
                <wp:inline distT="0" distB="0" distL="0" distR="0" wp14:anchorId="1E6AC1E5" wp14:editId="009D2F15">
                  <wp:extent cx="819150" cy="552450"/>
                  <wp:effectExtent l="0" t="0" r="0" b="0"/>
                  <wp:docPr id="49" name="Obraz 49" descr="C:\Users\pawel\AppData\Local\Microsoft\Windows\INetCache\Content.Word\2022-07-11_14h13_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pawel\AppData\Local\Microsoft\Windows\INetCache\Content.Word\2022-07-11_14h13_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:rsidR="002363DF" w:rsidRPr="00D354CB" w:rsidRDefault="002363DF" w:rsidP="00B05267">
            <w:pPr>
              <w:rPr>
                <w:rFonts w:cstheme="majorHAnsi"/>
                <w:sz w:val="24"/>
                <w:szCs w:val="24"/>
              </w:rPr>
            </w:pPr>
            <w:r w:rsidRPr="00D354CB">
              <w:rPr>
                <w:rFonts w:cstheme="majorHAnsi"/>
                <w:sz w:val="24"/>
                <w:szCs w:val="24"/>
              </w:rPr>
              <w:t>Urządzenie medyczne</w:t>
            </w:r>
          </w:p>
        </w:tc>
      </w:tr>
    </w:tbl>
    <w:p w:rsidR="002363DF" w:rsidRDefault="002363DF" w:rsidP="00C4705B">
      <w:pPr>
        <w:pStyle w:val="Bezodstpw"/>
        <w:rPr>
          <w:szCs w:val="24"/>
        </w:rPr>
      </w:pPr>
    </w:p>
    <w:p w:rsidR="00C4444D" w:rsidRDefault="00C4444D" w:rsidP="00C4705B">
      <w:pPr>
        <w:pStyle w:val="Bezodstpw"/>
        <w:rPr>
          <w:szCs w:val="24"/>
        </w:rPr>
      </w:pPr>
    </w:p>
    <w:p w:rsidR="00C4444D" w:rsidRPr="00C4444D" w:rsidRDefault="00C4444D" w:rsidP="00C4444D">
      <w:pPr>
        <w:pStyle w:val="Nagwek1"/>
      </w:pPr>
      <w:bookmarkStart w:id="6" w:name="_Toc109226525"/>
      <w:r w:rsidRPr="00C4444D">
        <w:t>1.6 Wytyczne dotyczące kompatybilności elektromagnetycznej (EMC)</w:t>
      </w:r>
      <w:bookmarkEnd w:id="6"/>
    </w:p>
    <w:p w:rsidR="00C4444D" w:rsidRPr="001B1748" w:rsidRDefault="00C4444D" w:rsidP="00C4444D">
      <w:pPr>
        <w:pStyle w:val="Bezodstpw"/>
        <w:rPr>
          <w:rFonts w:cstheme="majorHAnsi"/>
          <w:szCs w:val="24"/>
        </w:rPr>
      </w:pPr>
      <w:r w:rsidRPr="001B1748">
        <w:rPr>
          <w:rFonts w:cstheme="majorHAnsi"/>
          <w:szCs w:val="24"/>
        </w:rPr>
        <w:t>Szczegóły dotyczące kompatybilności elektromagnetycznej (EMC) ACCUNIQ BC720 podano poniżej. Przed użyciem ACCUNIQ BC720 należy przeczytać i zrozumieć poniższe informacje.</w:t>
      </w:r>
    </w:p>
    <w:p w:rsidR="007D2BE0" w:rsidRPr="001B1748" w:rsidRDefault="007D2BE0" w:rsidP="00C4444D">
      <w:pPr>
        <w:pStyle w:val="Bezodstpw"/>
        <w:rPr>
          <w:rFonts w:cstheme="majorHAnsi"/>
          <w:szCs w:val="24"/>
        </w:rPr>
      </w:pPr>
    </w:p>
    <w:p w:rsidR="007D2BE0" w:rsidRPr="001B1748" w:rsidRDefault="007D2BE0" w:rsidP="007D2BE0">
      <w:pPr>
        <w:pStyle w:val="Nagwek1"/>
        <w:rPr>
          <w:rFonts w:cstheme="majorHAnsi"/>
        </w:rPr>
      </w:pPr>
      <w:bookmarkStart w:id="7" w:name="_Toc109226526"/>
      <w:r w:rsidRPr="001B1748">
        <w:rPr>
          <w:rFonts w:cstheme="majorHAnsi"/>
        </w:rPr>
        <w:lastRenderedPageBreak/>
        <w:t>1.6.1 Wytyczne i deklaracja producenta – emisje elektromagnetyczne</w:t>
      </w:r>
      <w:bookmarkEnd w:id="7"/>
    </w:p>
    <w:p w:rsidR="007D2BE0" w:rsidRPr="001B1748" w:rsidRDefault="007D2BE0" w:rsidP="007D2BE0">
      <w:pPr>
        <w:pStyle w:val="Bezodstpw"/>
        <w:rPr>
          <w:rFonts w:cstheme="majorHAnsi"/>
        </w:rPr>
      </w:pPr>
      <w:r w:rsidRPr="001B1748">
        <w:rPr>
          <w:rFonts w:cstheme="majorHAnsi"/>
        </w:rPr>
        <w:t>ACCUNIQ BC720 jest przeznaczony do użytku w opisanym poniżej środowisku elektromagnetycznym. Klient lub użytkownik ACCUNIQ BC720 powinien zapewnić, że jest on używany w takim środowisku.</w:t>
      </w:r>
    </w:p>
    <w:p w:rsidR="007D2BE0" w:rsidRPr="007D2BE0" w:rsidRDefault="007D2BE0" w:rsidP="007D2BE0">
      <w:pPr>
        <w:pStyle w:val="Bezodstpw"/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61"/>
        <w:gridCol w:w="2284"/>
        <w:gridCol w:w="4622"/>
      </w:tblGrid>
      <w:tr w:rsidR="00C152E1" w:rsidTr="001B1748">
        <w:tc>
          <w:tcPr>
            <w:tcW w:w="2161" w:type="dxa"/>
          </w:tcPr>
          <w:p w:rsidR="00C152E1" w:rsidRDefault="00C152E1" w:rsidP="007D2BE0">
            <w:r>
              <w:t>Test emisji</w:t>
            </w:r>
          </w:p>
        </w:tc>
        <w:tc>
          <w:tcPr>
            <w:tcW w:w="2284" w:type="dxa"/>
          </w:tcPr>
          <w:p w:rsidR="00C152E1" w:rsidRDefault="00C152E1" w:rsidP="007D2BE0">
            <w:r>
              <w:t>Zgodność</w:t>
            </w:r>
          </w:p>
        </w:tc>
        <w:tc>
          <w:tcPr>
            <w:tcW w:w="4622" w:type="dxa"/>
          </w:tcPr>
          <w:p w:rsidR="00C152E1" w:rsidRDefault="00C152E1" w:rsidP="007D2BE0">
            <w:r>
              <w:t>Środowisko elektromagnetyczne – wskazówki</w:t>
            </w:r>
          </w:p>
        </w:tc>
      </w:tr>
      <w:tr w:rsidR="00C152E1" w:rsidTr="001B1748">
        <w:tc>
          <w:tcPr>
            <w:tcW w:w="2161" w:type="dxa"/>
          </w:tcPr>
          <w:p w:rsidR="00C152E1" w:rsidRPr="001B1748" w:rsidRDefault="00C152E1" w:rsidP="001B1748">
            <w:pPr>
              <w:pStyle w:val="Bezodstpw"/>
            </w:pPr>
            <w:r w:rsidRPr="001B1748">
              <w:t>RF emisje</w:t>
            </w:r>
          </w:p>
          <w:p w:rsidR="00C152E1" w:rsidRPr="001B1748" w:rsidRDefault="00C152E1" w:rsidP="001B1748">
            <w:pPr>
              <w:pStyle w:val="Bezodstpw"/>
            </w:pPr>
            <w:r w:rsidRPr="001B1748">
              <w:t>CISPR 11</w:t>
            </w:r>
          </w:p>
        </w:tc>
        <w:tc>
          <w:tcPr>
            <w:tcW w:w="2284" w:type="dxa"/>
          </w:tcPr>
          <w:p w:rsidR="00C152E1" w:rsidRPr="001B1748" w:rsidRDefault="00C152E1" w:rsidP="001B1748">
            <w:pPr>
              <w:pStyle w:val="Bezodstpw"/>
            </w:pPr>
            <w:r w:rsidRPr="001B1748">
              <w:t>Grupa 1</w:t>
            </w:r>
          </w:p>
        </w:tc>
        <w:tc>
          <w:tcPr>
            <w:tcW w:w="4622" w:type="dxa"/>
          </w:tcPr>
          <w:p w:rsidR="00C152E1" w:rsidRPr="001B1748" w:rsidRDefault="00C152E1" w:rsidP="001B1748">
            <w:pPr>
              <w:pStyle w:val="Bezodstpw"/>
            </w:pPr>
            <w:r w:rsidRPr="001B1748">
              <w:t>ACCUNIQ BC720 wykorzystuje energię RF tylko do swoich wewnętrznych funkcji. Dlatego jego emisje RF są bardzo niskie i prawdopodobnie nie będą powodować żadnych zakłóceń w pobliskim sprzęcie elektronicznym.</w:t>
            </w:r>
          </w:p>
        </w:tc>
      </w:tr>
      <w:tr w:rsidR="001B1748" w:rsidTr="001B1748">
        <w:tc>
          <w:tcPr>
            <w:tcW w:w="2161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>RF emisje</w:t>
            </w:r>
          </w:p>
          <w:p w:rsidR="001B1748" w:rsidRPr="001B1748" w:rsidRDefault="001B1748" w:rsidP="001B1748">
            <w:pPr>
              <w:pStyle w:val="Bezodstpw"/>
            </w:pPr>
            <w:r w:rsidRPr="001B1748">
              <w:t>CISPR 11</w:t>
            </w:r>
          </w:p>
        </w:tc>
        <w:tc>
          <w:tcPr>
            <w:tcW w:w="2284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>Klasa B</w:t>
            </w:r>
          </w:p>
        </w:tc>
        <w:tc>
          <w:tcPr>
            <w:tcW w:w="4622" w:type="dxa"/>
            <w:vMerge w:val="restart"/>
          </w:tcPr>
          <w:p w:rsidR="001B1748" w:rsidRPr="001B1748" w:rsidRDefault="001B1748" w:rsidP="001B1748">
            <w:pPr>
              <w:pStyle w:val="Bezodstpw"/>
            </w:pPr>
            <w:r w:rsidRPr="001B1748">
              <w:t>ACCUNIQ BC720 nadaje się do użytku we wszystkich placówkach, w tym placówkach mieszkalnych oraz placówkach bezpośrednio podłączonych do publicznej sieci niskiego napięcia zasilającej budynki wykorzystywane do celów mieszkalnych.</w:t>
            </w:r>
          </w:p>
        </w:tc>
      </w:tr>
      <w:tr w:rsidR="001B1748" w:rsidTr="001B1748">
        <w:tc>
          <w:tcPr>
            <w:tcW w:w="2161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>Emisje harmoniczne</w:t>
            </w:r>
          </w:p>
          <w:p w:rsidR="001B1748" w:rsidRPr="001B1748" w:rsidRDefault="001B1748" w:rsidP="001B1748">
            <w:pPr>
              <w:pStyle w:val="Bezodstpw"/>
            </w:pPr>
            <w:r w:rsidRPr="001B1748">
              <w:t>IEC 61000-3-2</w:t>
            </w:r>
          </w:p>
        </w:tc>
        <w:tc>
          <w:tcPr>
            <w:tcW w:w="2284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>Klasa A</w:t>
            </w:r>
          </w:p>
        </w:tc>
        <w:tc>
          <w:tcPr>
            <w:tcW w:w="4622" w:type="dxa"/>
            <w:vMerge/>
          </w:tcPr>
          <w:p w:rsidR="001B1748" w:rsidRPr="001B1748" w:rsidRDefault="001B1748" w:rsidP="001B1748">
            <w:pPr>
              <w:pStyle w:val="Bezodstpw"/>
            </w:pPr>
          </w:p>
        </w:tc>
      </w:tr>
      <w:tr w:rsidR="001B1748" w:rsidTr="001B1748">
        <w:trPr>
          <w:trHeight w:val="813"/>
        </w:trPr>
        <w:tc>
          <w:tcPr>
            <w:tcW w:w="2161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 xml:space="preserve">Wahania napięcia/ </w:t>
            </w:r>
            <w:r w:rsidRPr="001B1748">
              <w:t>emisje</w:t>
            </w:r>
            <w:r w:rsidRPr="001B1748">
              <w:t xml:space="preserve"> </w:t>
            </w:r>
            <w:r w:rsidRPr="001B1748">
              <w:t>migotanie</w:t>
            </w:r>
          </w:p>
          <w:p w:rsidR="001B1748" w:rsidRPr="001B1748" w:rsidRDefault="001B1748" w:rsidP="001B1748">
            <w:pPr>
              <w:pStyle w:val="Bezodstpw"/>
            </w:pPr>
            <w:r w:rsidRPr="001B1748">
              <w:t>IEC 61000-3-3</w:t>
            </w:r>
          </w:p>
        </w:tc>
        <w:tc>
          <w:tcPr>
            <w:tcW w:w="2284" w:type="dxa"/>
          </w:tcPr>
          <w:p w:rsidR="001B1748" w:rsidRPr="001B1748" w:rsidRDefault="001B1748" w:rsidP="001B1748">
            <w:pPr>
              <w:pStyle w:val="Bezodstpw"/>
            </w:pPr>
            <w:r w:rsidRPr="001B1748">
              <w:t>Zgodność</w:t>
            </w:r>
          </w:p>
        </w:tc>
        <w:tc>
          <w:tcPr>
            <w:tcW w:w="4622" w:type="dxa"/>
            <w:vMerge/>
          </w:tcPr>
          <w:p w:rsidR="001B1748" w:rsidRPr="001B1748" w:rsidRDefault="001B1748" w:rsidP="001B1748">
            <w:pPr>
              <w:pStyle w:val="Bezodstpw"/>
            </w:pPr>
          </w:p>
        </w:tc>
      </w:tr>
    </w:tbl>
    <w:p w:rsidR="007D2BE0" w:rsidRDefault="007D2BE0" w:rsidP="007D2BE0"/>
    <w:p w:rsidR="001B1748" w:rsidRDefault="001B1748" w:rsidP="007D2BE0"/>
    <w:p w:rsidR="00F1356B" w:rsidRDefault="00F1356B" w:rsidP="004F6D80">
      <w:pPr>
        <w:pStyle w:val="Nagwek1"/>
        <w:rPr>
          <w:rFonts w:cstheme="majorHAnsi"/>
        </w:rPr>
      </w:pPr>
    </w:p>
    <w:p w:rsidR="00F1356B" w:rsidRDefault="00F1356B" w:rsidP="004F6D80">
      <w:pPr>
        <w:pStyle w:val="Nagwek1"/>
        <w:rPr>
          <w:rFonts w:cstheme="majorHAnsi"/>
        </w:rPr>
      </w:pPr>
    </w:p>
    <w:p w:rsidR="00F1356B" w:rsidRDefault="00F1356B" w:rsidP="004F6D80">
      <w:pPr>
        <w:pStyle w:val="Nagwek1"/>
        <w:rPr>
          <w:rFonts w:cstheme="majorHAnsi"/>
        </w:rPr>
      </w:pPr>
    </w:p>
    <w:p w:rsidR="00F1356B" w:rsidRDefault="00F1356B" w:rsidP="004F6D80">
      <w:pPr>
        <w:pStyle w:val="Nagwek1"/>
        <w:rPr>
          <w:rFonts w:cstheme="majorHAnsi"/>
        </w:rPr>
      </w:pPr>
    </w:p>
    <w:p w:rsidR="00F1356B" w:rsidRDefault="00F1356B" w:rsidP="004F6D80">
      <w:pPr>
        <w:pStyle w:val="Nagwek1"/>
        <w:rPr>
          <w:rFonts w:cstheme="majorHAnsi"/>
        </w:rPr>
      </w:pPr>
    </w:p>
    <w:p w:rsidR="00156B31" w:rsidRPr="00156B31" w:rsidRDefault="00156B31" w:rsidP="00156B31"/>
    <w:p w:rsidR="00F1356B" w:rsidRPr="00F1356B" w:rsidRDefault="00F1356B" w:rsidP="00F1356B"/>
    <w:p w:rsidR="004F6D80" w:rsidRPr="004F6D80" w:rsidRDefault="004F6D80" w:rsidP="004F6D80">
      <w:pPr>
        <w:pStyle w:val="Nagwek1"/>
        <w:rPr>
          <w:rFonts w:cstheme="majorHAnsi"/>
        </w:rPr>
      </w:pPr>
      <w:bookmarkStart w:id="8" w:name="_Toc109226527"/>
      <w:r w:rsidRPr="004F6D80">
        <w:rPr>
          <w:rFonts w:cstheme="majorHAnsi"/>
        </w:rPr>
        <w:t>1.6.2 Wytyczne i deklaracja producenta – odporność elektromagnetyczna</w:t>
      </w:r>
      <w:bookmarkEnd w:id="8"/>
    </w:p>
    <w:p w:rsidR="00156B31" w:rsidRDefault="00156B31" w:rsidP="004F6D80">
      <w:pPr>
        <w:pStyle w:val="Bezodstpw"/>
        <w:rPr>
          <w:szCs w:val="24"/>
        </w:rPr>
      </w:pPr>
    </w:p>
    <w:p w:rsidR="001B1748" w:rsidRPr="00F1356B" w:rsidRDefault="004F6D80" w:rsidP="004F6D80">
      <w:pPr>
        <w:pStyle w:val="Bezodstpw"/>
        <w:rPr>
          <w:szCs w:val="24"/>
        </w:rPr>
      </w:pPr>
      <w:r w:rsidRPr="00F1356B">
        <w:rPr>
          <w:szCs w:val="24"/>
        </w:rPr>
        <w:t>ACCUNIQ BC720 jest przeznaczony do użytku w opisanym poniżej środowisku elektromagnetycznym. Klient lub użytkownik ACCUNIQ BC720 powinien zapewnić, że jest on używany w takim środowisku.</w:t>
      </w:r>
    </w:p>
    <w:p w:rsidR="004F6D80" w:rsidRPr="00F1356B" w:rsidRDefault="004F6D80" w:rsidP="004F6D80">
      <w:pPr>
        <w:pStyle w:val="Bezodstpw"/>
        <w:rPr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27"/>
        <w:gridCol w:w="2207"/>
        <w:gridCol w:w="2208"/>
        <w:gridCol w:w="2420"/>
      </w:tblGrid>
      <w:tr w:rsidR="004F6D80" w:rsidRPr="00F1356B" w:rsidTr="004F6D80">
        <w:tc>
          <w:tcPr>
            <w:tcW w:w="2265" w:type="dxa"/>
          </w:tcPr>
          <w:p w:rsidR="004F6D80" w:rsidRPr="00F1356B" w:rsidRDefault="007A06BD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Test odporności</w:t>
            </w:r>
          </w:p>
        </w:tc>
        <w:tc>
          <w:tcPr>
            <w:tcW w:w="2265" w:type="dxa"/>
          </w:tcPr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Poziom testowy IEC 60601</w:t>
            </w:r>
          </w:p>
        </w:tc>
        <w:tc>
          <w:tcPr>
            <w:tcW w:w="2266" w:type="dxa"/>
          </w:tcPr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Poziom zgodności</w:t>
            </w:r>
          </w:p>
        </w:tc>
        <w:tc>
          <w:tcPr>
            <w:tcW w:w="2266" w:type="dxa"/>
          </w:tcPr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Wytyczne dotyczące środowiska elektromagnetycznego</w:t>
            </w:r>
          </w:p>
        </w:tc>
      </w:tr>
      <w:tr w:rsidR="004F6D80" w:rsidRPr="00F1356B" w:rsidTr="004F6D80">
        <w:tc>
          <w:tcPr>
            <w:tcW w:w="2265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Wyładowania elektrostatyczne (ESD) IEC 61000-4-2</w:t>
            </w:r>
          </w:p>
        </w:tc>
        <w:tc>
          <w:tcPr>
            <w:tcW w:w="2265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±6kV: Kontakt 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±8kV: Powietrze</w:t>
            </w:r>
          </w:p>
        </w:tc>
        <w:tc>
          <w:tcPr>
            <w:tcW w:w="2266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±6kV: Kontakt 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±8kV: Powietrze</w:t>
            </w:r>
          </w:p>
        </w:tc>
        <w:tc>
          <w:tcPr>
            <w:tcW w:w="2266" w:type="dxa"/>
          </w:tcPr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Podłogi powinny być wykonane z drewna, betonu lub płytek </w:t>
            </w:r>
            <w:r w:rsidRPr="00F1356B">
              <w:rPr>
                <w:szCs w:val="24"/>
              </w:rPr>
              <w:lastRenderedPageBreak/>
              <w:t>ceramicznych. Jeśli podłogi pokryte są materiałem syntetycznym, wilgotność względna powinna wynosić co najmniej 30%.</w:t>
            </w:r>
          </w:p>
        </w:tc>
      </w:tr>
      <w:tr w:rsidR="004F6D80" w:rsidRPr="00F1356B" w:rsidTr="004F6D80">
        <w:tc>
          <w:tcPr>
            <w:tcW w:w="2265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lastRenderedPageBreak/>
              <w:t>Elektryczne szybkie przejście/wybuch IEC 61000-4-4</w:t>
            </w:r>
          </w:p>
        </w:tc>
        <w:tc>
          <w:tcPr>
            <w:tcW w:w="2265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±2kV: Linie zasilające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±1kV: Linie wejścia/wyjścia</w:t>
            </w:r>
          </w:p>
        </w:tc>
        <w:tc>
          <w:tcPr>
            <w:tcW w:w="2266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±2kV: Linie zasilające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±1kV: Linie wejścia/wyjścia</w:t>
            </w:r>
          </w:p>
        </w:tc>
        <w:tc>
          <w:tcPr>
            <w:tcW w:w="2266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Jakość zasilania sieciowego powinna odpowiadać typowemu środowisku komercyjnemu lub szpitalnemu.</w:t>
            </w:r>
          </w:p>
        </w:tc>
      </w:tr>
      <w:tr w:rsidR="004F6D80" w:rsidRPr="00F1356B" w:rsidTr="004F6D80">
        <w:tc>
          <w:tcPr>
            <w:tcW w:w="2265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Przepięcie IEC 61000-4-5</w:t>
            </w:r>
          </w:p>
        </w:tc>
        <w:tc>
          <w:tcPr>
            <w:tcW w:w="2265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±1 </w:t>
            </w:r>
            <w:proofErr w:type="spellStart"/>
            <w:r w:rsidRPr="00F1356B">
              <w:rPr>
                <w:szCs w:val="24"/>
              </w:rPr>
              <w:t>kV</w:t>
            </w:r>
            <w:proofErr w:type="spellEnd"/>
            <w:r w:rsidRPr="00F1356B">
              <w:rPr>
                <w:szCs w:val="24"/>
              </w:rPr>
              <w:t xml:space="preserve"> tryb różnicowy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Tryb wspólny 2 </w:t>
            </w:r>
            <w:proofErr w:type="spellStart"/>
            <w:r w:rsidRPr="00F1356B">
              <w:rPr>
                <w:szCs w:val="24"/>
              </w:rPr>
              <w:t>kV</w:t>
            </w:r>
            <w:proofErr w:type="spellEnd"/>
          </w:p>
        </w:tc>
        <w:tc>
          <w:tcPr>
            <w:tcW w:w="2266" w:type="dxa"/>
          </w:tcPr>
          <w:p w:rsidR="00F1356B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±1 </w:t>
            </w:r>
            <w:proofErr w:type="spellStart"/>
            <w:r w:rsidRPr="00F1356B">
              <w:rPr>
                <w:szCs w:val="24"/>
              </w:rPr>
              <w:t>kV</w:t>
            </w:r>
            <w:proofErr w:type="spellEnd"/>
            <w:r w:rsidRPr="00F1356B">
              <w:rPr>
                <w:szCs w:val="24"/>
              </w:rPr>
              <w:t xml:space="preserve"> tryb różnicowy</w:t>
            </w:r>
          </w:p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 xml:space="preserve">Tryb wspólny 2 </w:t>
            </w:r>
            <w:proofErr w:type="spellStart"/>
            <w:r w:rsidRPr="00F1356B">
              <w:rPr>
                <w:szCs w:val="24"/>
              </w:rPr>
              <w:t>kV</w:t>
            </w:r>
            <w:proofErr w:type="spellEnd"/>
          </w:p>
        </w:tc>
        <w:tc>
          <w:tcPr>
            <w:tcW w:w="2266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Jakość zasilania sieciowego powinna odpowiadać typowemu środowisku komercyjnemu lub szpitalnemu.</w:t>
            </w:r>
          </w:p>
        </w:tc>
      </w:tr>
      <w:tr w:rsidR="004F6D80" w:rsidRPr="00F1356B" w:rsidTr="004F6D80">
        <w:tc>
          <w:tcPr>
            <w:tcW w:w="2265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Spadki, zapady i wahania napięcia wejściowej linii zasilającej IEC 61000-4-11</w:t>
            </w:r>
          </w:p>
        </w:tc>
        <w:tc>
          <w:tcPr>
            <w:tcW w:w="2265" w:type="dxa"/>
          </w:tcPr>
          <w:p w:rsidR="004F6D80" w:rsidRPr="00F1356B" w:rsidRDefault="00F1356B" w:rsidP="00F1356B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&lt;5% UT (&gt;95% zapad napięcia UT) przez 0,5 cyklu 40% UT (60% zapad napięcia UT) przez 5 cykli 70% UT (30% zapad napięcia UT) przez 25 cykli &lt;5% UT (&gt;95) % spadek w UT) przez 5 sekund</w:t>
            </w:r>
          </w:p>
        </w:tc>
        <w:tc>
          <w:tcPr>
            <w:tcW w:w="2266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&lt;5% UT (&gt;95% zapad napięcia UT) przez 0,5 cyklu 40% UT (60% zapad napięcia UT) przez 5 cykli 70% UT (30% zapad napięcia UT) przez 25 cykli &lt;5% UT (&gt;95) % spadek w UT) przez 5 sekund</w:t>
            </w:r>
          </w:p>
        </w:tc>
        <w:tc>
          <w:tcPr>
            <w:tcW w:w="2266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Jakość zasilania sieciowego powinna odpowiadać typowemu środowisku komercyjnemu lub szpitalnemu. Jeśli użytkownik ACCUNIQ BC720 wymaga ciągłej pracy podczas przerw w zasilaniu, zaleca się, aby ACCUNIQ BC720 był zasilany z zasilacza awaryjnego lub akumulatora.</w:t>
            </w:r>
          </w:p>
        </w:tc>
      </w:tr>
      <w:tr w:rsidR="004F6D80" w:rsidRPr="00F1356B" w:rsidTr="004F6D80">
        <w:tc>
          <w:tcPr>
            <w:tcW w:w="2265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Pole magnetyczne o częstotliwości handlowej (50/60Hz) IEC 61000-4-8</w:t>
            </w:r>
          </w:p>
        </w:tc>
        <w:tc>
          <w:tcPr>
            <w:tcW w:w="2265" w:type="dxa"/>
          </w:tcPr>
          <w:p w:rsidR="00F1356B" w:rsidRPr="00F1356B" w:rsidRDefault="00F1356B" w:rsidP="00F1356B">
            <w:pPr>
              <w:pStyle w:val="Default"/>
            </w:pPr>
            <w:r w:rsidRPr="00F1356B">
              <w:t xml:space="preserve">3 A/m </w:t>
            </w:r>
          </w:p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</w:p>
        </w:tc>
        <w:tc>
          <w:tcPr>
            <w:tcW w:w="2266" w:type="dxa"/>
          </w:tcPr>
          <w:p w:rsidR="00F1356B" w:rsidRPr="00F1356B" w:rsidRDefault="00F1356B" w:rsidP="00F1356B">
            <w:pPr>
              <w:pStyle w:val="Default"/>
            </w:pPr>
            <w:r w:rsidRPr="00F1356B">
              <w:t xml:space="preserve">3 A/m </w:t>
            </w:r>
          </w:p>
          <w:p w:rsidR="004F6D80" w:rsidRPr="00F1356B" w:rsidRDefault="004F6D80" w:rsidP="004F6D80">
            <w:pPr>
              <w:pStyle w:val="Bezodstpw"/>
              <w:rPr>
                <w:szCs w:val="24"/>
              </w:rPr>
            </w:pPr>
          </w:p>
        </w:tc>
        <w:tc>
          <w:tcPr>
            <w:tcW w:w="2266" w:type="dxa"/>
          </w:tcPr>
          <w:p w:rsidR="004F6D80" w:rsidRPr="00F1356B" w:rsidRDefault="00F1356B" w:rsidP="004F6D80">
            <w:pPr>
              <w:pStyle w:val="Bezodstpw"/>
              <w:rPr>
                <w:szCs w:val="24"/>
              </w:rPr>
            </w:pPr>
            <w:r w:rsidRPr="00F1356B">
              <w:rPr>
                <w:szCs w:val="24"/>
              </w:rPr>
              <w:t>Pola magnetyczne o częstotliwości zasilania powinny być na poziomach charakterystycznych dla typowej lokalizacji w typowym środowisku handlowym lub szpitalnym.</w:t>
            </w:r>
          </w:p>
        </w:tc>
      </w:tr>
    </w:tbl>
    <w:p w:rsidR="004F6D80" w:rsidRPr="00F1356B" w:rsidRDefault="004F6D80" w:rsidP="004F6D80">
      <w:pPr>
        <w:pStyle w:val="Bezodstpw"/>
        <w:rPr>
          <w:szCs w:val="24"/>
        </w:rPr>
      </w:pPr>
    </w:p>
    <w:p w:rsidR="00F1356B" w:rsidRDefault="00F1356B" w:rsidP="004F6D80">
      <w:pPr>
        <w:pStyle w:val="Bezodstpw"/>
        <w:rPr>
          <w:szCs w:val="24"/>
        </w:rPr>
      </w:pPr>
      <w:r w:rsidRPr="00D354CB">
        <w:rPr>
          <w:noProof/>
          <w:lang w:eastAsia="pl-PL"/>
        </w:rPr>
        <w:drawing>
          <wp:anchor distT="0" distB="0" distL="114300" distR="114300" simplePos="0" relativeHeight="251707392" behindDoc="1" locked="0" layoutInCell="1" allowOverlap="1" wp14:anchorId="214082D3" wp14:editId="42E7A78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56B">
        <w:rPr>
          <w:szCs w:val="24"/>
        </w:rPr>
        <w:t>UT to a.c. napięcie sieciowe przed zastosowaniem poziomu testowego.</w:t>
      </w:r>
    </w:p>
    <w:p w:rsidR="00F1356B" w:rsidRDefault="00F1356B" w:rsidP="004F6D80">
      <w:pPr>
        <w:pStyle w:val="Bezodstpw"/>
        <w:rPr>
          <w:szCs w:val="24"/>
        </w:rPr>
      </w:pPr>
    </w:p>
    <w:p w:rsidR="00F1356B" w:rsidRDefault="00F1356B" w:rsidP="004F6D80">
      <w:pPr>
        <w:pStyle w:val="Bezodstpw"/>
        <w:rPr>
          <w:szCs w:val="24"/>
        </w:rPr>
      </w:pPr>
    </w:p>
    <w:p w:rsidR="00F1356B" w:rsidRDefault="00F1356B" w:rsidP="004F6D80">
      <w:pPr>
        <w:pStyle w:val="Bezodstpw"/>
        <w:rPr>
          <w:szCs w:val="24"/>
        </w:rPr>
      </w:pPr>
    </w:p>
    <w:p w:rsidR="00F1356B" w:rsidRDefault="00F1356B" w:rsidP="004F6D80">
      <w:pPr>
        <w:pStyle w:val="Bezodstpw"/>
        <w:rPr>
          <w:szCs w:val="24"/>
        </w:rPr>
      </w:pPr>
    </w:p>
    <w:p w:rsidR="00F1356B" w:rsidRDefault="00F1356B" w:rsidP="00F1356B">
      <w:pPr>
        <w:pStyle w:val="Nagwek1"/>
      </w:pPr>
      <w:bookmarkStart w:id="9" w:name="_Toc109226528"/>
      <w:r w:rsidRPr="00F1356B">
        <w:t>1.6.3 Wytyczne i deklaracja producenta – odporność elektromagnetyczna 2</w:t>
      </w:r>
      <w:bookmarkEnd w:id="9"/>
    </w:p>
    <w:p w:rsidR="00F1356B" w:rsidRDefault="00F1356B" w:rsidP="00F1356B"/>
    <w:p w:rsidR="00F1356B" w:rsidRDefault="00156B31" w:rsidP="00156B31">
      <w:pPr>
        <w:pStyle w:val="Bezodstpw"/>
      </w:pPr>
      <w:r w:rsidRPr="00156B31">
        <w:t>ACCUNIQ BC720 jest przeznaczony do użytku w opisanym poniżej środowisku elektromagnetycznym. Klient lub użytkownik ACCUNIQ BC720 powinien zapewnić, że jest on używany w takim środowisku.</w:t>
      </w:r>
    </w:p>
    <w:p w:rsidR="00156B31" w:rsidRDefault="00156B31" w:rsidP="00156B31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08"/>
        <w:gridCol w:w="2420"/>
      </w:tblGrid>
      <w:tr w:rsidR="00156B31" w:rsidTr="00156B31">
        <w:tc>
          <w:tcPr>
            <w:tcW w:w="2265" w:type="dxa"/>
          </w:tcPr>
          <w:p w:rsidR="00156B31" w:rsidRDefault="00156B31" w:rsidP="00156B31">
            <w:pPr>
              <w:pStyle w:val="Bezodstpw"/>
            </w:pPr>
            <w:r w:rsidRPr="00156B31">
              <w:t>Test odporności</w:t>
            </w:r>
          </w:p>
        </w:tc>
        <w:tc>
          <w:tcPr>
            <w:tcW w:w="2265" w:type="dxa"/>
          </w:tcPr>
          <w:p w:rsidR="00156B31" w:rsidRDefault="00156B31" w:rsidP="00156B31">
            <w:pPr>
              <w:pStyle w:val="Bezodstpw"/>
            </w:pPr>
            <w:r w:rsidRPr="00156B31">
              <w:t>Poziom testowy IEC 60601</w:t>
            </w:r>
          </w:p>
        </w:tc>
        <w:tc>
          <w:tcPr>
            <w:tcW w:w="2266" w:type="dxa"/>
          </w:tcPr>
          <w:p w:rsidR="00156B31" w:rsidRDefault="00156B31" w:rsidP="00156B31">
            <w:pPr>
              <w:pStyle w:val="Bezodstpw"/>
            </w:pPr>
            <w:r w:rsidRPr="00156B31">
              <w:t>Poziom zgodności</w:t>
            </w:r>
          </w:p>
        </w:tc>
        <w:tc>
          <w:tcPr>
            <w:tcW w:w="2266" w:type="dxa"/>
          </w:tcPr>
          <w:p w:rsidR="00156B31" w:rsidRDefault="00156B31" w:rsidP="00156B31">
            <w:pPr>
              <w:pStyle w:val="Bezodstpw"/>
            </w:pPr>
            <w:r w:rsidRPr="00156B31">
              <w:t>Wytyczne dotyczące środowiska elektromagnetycznego</w:t>
            </w:r>
          </w:p>
        </w:tc>
      </w:tr>
      <w:tr w:rsidR="00156B31" w:rsidTr="00156B31">
        <w:tc>
          <w:tcPr>
            <w:tcW w:w="2265" w:type="dxa"/>
          </w:tcPr>
          <w:p w:rsidR="00156B31" w:rsidRDefault="00156B31" w:rsidP="00156B31">
            <w:pPr>
              <w:pStyle w:val="Bezodstpw"/>
            </w:pPr>
            <w:r>
              <w:t>Przewodzone RF</w:t>
            </w:r>
          </w:p>
          <w:p w:rsidR="00156B31" w:rsidRDefault="00156B31" w:rsidP="00156B31">
            <w:pPr>
              <w:pStyle w:val="Bezodstpw"/>
            </w:pPr>
            <w:r>
              <w:t>IEC 61000-4-6</w:t>
            </w:r>
          </w:p>
          <w:p w:rsidR="00156B31" w:rsidRDefault="00156B31" w:rsidP="00156B31">
            <w:pPr>
              <w:pStyle w:val="Bezodstpw"/>
            </w:pPr>
          </w:p>
          <w:p w:rsidR="00156B31" w:rsidRDefault="00156B31" w:rsidP="00156B31">
            <w:pPr>
              <w:pStyle w:val="Bezodstpw"/>
            </w:pPr>
          </w:p>
          <w:p w:rsidR="00156B31" w:rsidRDefault="00156B31" w:rsidP="00156B31">
            <w:pPr>
              <w:pStyle w:val="Bezodstpw"/>
            </w:pPr>
            <w:r>
              <w:t>Promieniowane RF</w:t>
            </w:r>
          </w:p>
          <w:p w:rsidR="00156B31" w:rsidRDefault="00156B31" w:rsidP="00156B31">
            <w:pPr>
              <w:pStyle w:val="Bezodstpw"/>
            </w:pPr>
            <w:r>
              <w:t>IEC 61000-4-3</w:t>
            </w:r>
          </w:p>
        </w:tc>
        <w:tc>
          <w:tcPr>
            <w:tcW w:w="2265" w:type="dxa"/>
          </w:tcPr>
          <w:p w:rsidR="00156B31" w:rsidRPr="00156B31" w:rsidRDefault="00156B31" w:rsidP="00156B31">
            <w:pPr>
              <w:pStyle w:val="Bezodstpw"/>
              <w:rPr>
                <w:lang w:val="en-GB"/>
              </w:rPr>
            </w:pPr>
            <w:r w:rsidRPr="00156B31">
              <w:rPr>
                <w:lang w:val="en-GB"/>
              </w:rPr>
              <w:t xml:space="preserve">3 </w:t>
            </w:r>
            <w:proofErr w:type="spellStart"/>
            <w:r w:rsidRPr="00156B31">
              <w:rPr>
                <w:lang w:val="en-GB"/>
              </w:rPr>
              <w:t>Vrms</w:t>
            </w:r>
            <w:proofErr w:type="spellEnd"/>
          </w:p>
          <w:p w:rsidR="00156B31" w:rsidRDefault="00156B31" w:rsidP="00156B31">
            <w:pPr>
              <w:pStyle w:val="Bezodstpw"/>
              <w:rPr>
                <w:lang w:val="en-GB"/>
              </w:rPr>
            </w:pPr>
            <w:r w:rsidRPr="00156B31">
              <w:rPr>
                <w:lang w:val="en-GB"/>
              </w:rPr>
              <w:t>150 kHz to 80 MHz</w:t>
            </w:r>
          </w:p>
          <w:p w:rsidR="00156B31" w:rsidRDefault="00156B31" w:rsidP="00156B31">
            <w:pPr>
              <w:pStyle w:val="Bezodstpw"/>
              <w:rPr>
                <w:lang w:val="en-GB"/>
              </w:rPr>
            </w:pPr>
          </w:p>
          <w:p w:rsidR="00156B31" w:rsidRPr="00156B31" w:rsidRDefault="00156B31" w:rsidP="00156B31">
            <w:pPr>
              <w:pStyle w:val="Bezodstpw"/>
              <w:rPr>
                <w:lang w:val="en-GB"/>
              </w:rPr>
            </w:pPr>
          </w:p>
          <w:p w:rsidR="00156B31" w:rsidRPr="00156B31" w:rsidRDefault="00156B31" w:rsidP="00156B31">
            <w:pPr>
              <w:pStyle w:val="Bezodstpw"/>
              <w:rPr>
                <w:lang w:val="en-GB"/>
              </w:rPr>
            </w:pPr>
            <w:r w:rsidRPr="00156B31">
              <w:rPr>
                <w:lang w:val="en-GB"/>
              </w:rPr>
              <w:t>3 V/m</w:t>
            </w:r>
          </w:p>
          <w:p w:rsidR="00156B31" w:rsidRDefault="00156B31" w:rsidP="00156B31">
            <w:pPr>
              <w:pStyle w:val="Bezodstpw"/>
            </w:pPr>
            <w:r>
              <w:t>80 MHz to 2,5 GHz</w:t>
            </w:r>
          </w:p>
        </w:tc>
        <w:tc>
          <w:tcPr>
            <w:tcW w:w="2266" w:type="dxa"/>
          </w:tcPr>
          <w:p w:rsidR="00156B31" w:rsidRDefault="00156B31" w:rsidP="00156B3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Vrms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56B31" w:rsidRDefault="00156B31" w:rsidP="00156B31">
            <w:pPr>
              <w:pStyle w:val="Default"/>
              <w:rPr>
                <w:sz w:val="20"/>
                <w:szCs w:val="20"/>
              </w:rPr>
            </w:pPr>
          </w:p>
          <w:p w:rsidR="00156B31" w:rsidRDefault="00156B31" w:rsidP="00156B31">
            <w:pPr>
              <w:pStyle w:val="Default"/>
              <w:rPr>
                <w:sz w:val="20"/>
                <w:szCs w:val="20"/>
              </w:rPr>
            </w:pPr>
          </w:p>
          <w:p w:rsidR="00156B31" w:rsidRDefault="00156B31" w:rsidP="00156B31">
            <w:pPr>
              <w:pStyle w:val="Default"/>
              <w:rPr>
                <w:sz w:val="20"/>
                <w:szCs w:val="20"/>
              </w:rPr>
            </w:pPr>
          </w:p>
          <w:p w:rsidR="00156B31" w:rsidRDefault="00156B31" w:rsidP="00156B31">
            <w:pPr>
              <w:pStyle w:val="Bezodstpw"/>
            </w:pPr>
            <w:r>
              <w:rPr>
                <w:sz w:val="20"/>
                <w:szCs w:val="20"/>
              </w:rPr>
              <w:t xml:space="preserve">3 V/m </w:t>
            </w:r>
          </w:p>
        </w:tc>
        <w:tc>
          <w:tcPr>
            <w:tcW w:w="2266" w:type="dxa"/>
          </w:tcPr>
          <w:p w:rsidR="00156B31" w:rsidRDefault="00156B31" w:rsidP="00156B31">
            <w:pPr>
              <w:pStyle w:val="Bezodstpw"/>
            </w:pPr>
            <w:r>
              <w:t>Przenośny i mobilny sprzęt do komunikacji radiowej nie powinien być używany bliżej żadnej części ACCUNIQ BC720, w tym kabli, niż zalecana odległość separacji obliczona na podstawie równania właściwego dla częstotliwości nadajnika.</w:t>
            </w:r>
          </w:p>
          <w:p w:rsidR="00156B31" w:rsidRDefault="00156B31" w:rsidP="00156B31">
            <w:pPr>
              <w:pStyle w:val="Bezodstpw"/>
            </w:pPr>
            <w:r>
              <w:t>Zalecana odległość separacji</w:t>
            </w:r>
          </w:p>
          <w:p w:rsidR="00156B31" w:rsidRDefault="00156B31" w:rsidP="00156B31">
            <w:pPr>
              <w:pStyle w:val="Bezodstpw"/>
            </w:pPr>
            <w:r>
              <w:t>d=1,2</w:t>
            </w:r>
          </w:p>
          <w:p w:rsidR="00156B31" w:rsidRDefault="00156B31" w:rsidP="00156B31">
            <w:pPr>
              <w:pStyle w:val="Bezodstpw"/>
            </w:pPr>
            <w:r>
              <w:t>d=1,2</w:t>
            </w:r>
          </w:p>
          <w:p w:rsidR="00156B31" w:rsidRDefault="00156B31" w:rsidP="00156B31">
            <w:pPr>
              <w:pStyle w:val="Bezodstpw"/>
            </w:pPr>
            <w:r>
              <w:t>80 MHz do 900 MHz</w:t>
            </w:r>
          </w:p>
          <w:p w:rsidR="00156B31" w:rsidRDefault="00156B31" w:rsidP="00156B31">
            <w:pPr>
              <w:pStyle w:val="Bezodstpw"/>
            </w:pPr>
            <w:r>
              <w:t>d = 2,3</w:t>
            </w:r>
          </w:p>
          <w:p w:rsidR="00156B31" w:rsidRDefault="00156B31" w:rsidP="00156B31">
            <w:pPr>
              <w:pStyle w:val="Bezodstpw"/>
            </w:pPr>
            <w:r>
              <w:t>900 MHz do 2,5 GHz</w:t>
            </w:r>
          </w:p>
          <w:p w:rsidR="00156B31" w:rsidRDefault="00156B31" w:rsidP="00156B31">
            <w:pPr>
              <w:pStyle w:val="Bezodstpw"/>
            </w:pPr>
            <w:r>
              <w:t>gdzie P to maksymalna znamionowa moc wyjściowa nadajnika w watach (W) według producenta nadajnika, a d to zalecana odległość separacji w metrach (m).</w:t>
            </w:r>
          </w:p>
          <w:p w:rsidR="00156B31" w:rsidRDefault="00156B31" w:rsidP="00156B31">
            <w:pPr>
              <w:pStyle w:val="Bezodstpw"/>
            </w:pPr>
            <w:r>
              <w:t xml:space="preserve">Natężenie pola ze stacjonarnych nadajników RF, określone przez elektromagnetyczne badanie </w:t>
            </w:r>
            <w:proofErr w:type="spellStart"/>
            <w:r>
              <w:t>terenu</w:t>
            </w:r>
            <w:r w:rsidRPr="00156B31">
              <w:rPr>
                <w:szCs w:val="24"/>
                <w:vertAlign w:val="superscript"/>
              </w:rPr>
              <w:t>a</w:t>
            </w:r>
            <w:proofErr w:type="spellEnd"/>
            <w:r>
              <w:t xml:space="preserve">, </w:t>
            </w:r>
            <w:r>
              <w:lastRenderedPageBreak/>
              <w:t>powinno być mniejsze niż poziom zgodności w każdym z nich</w:t>
            </w:r>
          </w:p>
          <w:p w:rsidR="00156B31" w:rsidRDefault="00156B31" w:rsidP="00156B31">
            <w:pPr>
              <w:pStyle w:val="Bezodstpw"/>
            </w:pPr>
            <w:r>
              <w:t xml:space="preserve">zakres </w:t>
            </w:r>
            <w:proofErr w:type="spellStart"/>
            <w:r>
              <w:t>częstotliwości.</w:t>
            </w:r>
            <w:r w:rsidRPr="00156B31">
              <w:rPr>
                <w:szCs w:val="24"/>
                <w:vertAlign w:val="superscript"/>
              </w:rPr>
              <w:t>b</w:t>
            </w:r>
            <w:proofErr w:type="spellEnd"/>
          </w:p>
          <w:p w:rsidR="00156B31" w:rsidRDefault="00156B31" w:rsidP="00156B31">
            <w:pPr>
              <w:pStyle w:val="Bezodstpw"/>
            </w:pPr>
            <w:r>
              <w:t>Zakłócenia mogą wystąpić w pobliżu</w:t>
            </w:r>
          </w:p>
          <w:p w:rsidR="00156B31" w:rsidRDefault="00156B31" w:rsidP="00156B31">
            <w:pPr>
              <w:pStyle w:val="Bezodstpw"/>
            </w:pPr>
            <w:r>
              <w:t>sprzęt oznaczony następującym</w:t>
            </w:r>
          </w:p>
          <w:p w:rsidR="00156B31" w:rsidRDefault="00156B31" w:rsidP="00156B31">
            <w:pPr>
              <w:pStyle w:val="Bezodstpw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175260</wp:posOffset>
                  </wp:positionV>
                  <wp:extent cx="942857" cy="876190"/>
                  <wp:effectExtent l="0" t="0" r="0" b="635"/>
                  <wp:wrapSquare wrapText="bothSides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symbol:</w:t>
            </w:r>
          </w:p>
          <w:p w:rsidR="00156B31" w:rsidRDefault="00156B31" w:rsidP="00156B31">
            <w:pPr>
              <w:pStyle w:val="Bezodstpw"/>
            </w:pPr>
          </w:p>
          <w:p w:rsidR="00156B31" w:rsidRDefault="00156B31" w:rsidP="00156B31">
            <w:pPr>
              <w:pStyle w:val="Bezodstpw"/>
            </w:pPr>
          </w:p>
        </w:tc>
      </w:tr>
    </w:tbl>
    <w:p w:rsidR="00156B31" w:rsidRDefault="00156B31" w:rsidP="00156B31">
      <w:pPr>
        <w:pStyle w:val="Bezodstpw"/>
      </w:pPr>
    </w:p>
    <w:p w:rsidR="00C53B4A" w:rsidRPr="003B715D" w:rsidRDefault="00C53B4A" w:rsidP="003B715D">
      <w:pPr>
        <w:pStyle w:val="Bezodstpw"/>
      </w:pPr>
      <w:r w:rsidRPr="003B715D">
        <w:drawing>
          <wp:anchor distT="0" distB="0" distL="114300" distR="114300" simplePos="0" relativeHeight="251710464" behindDoc="0" locked="0" layoutInCell="1" allowOverlap="1" wp14:anchorId="2A3973C3" wp14:editId="791AD1C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66115" cy="561340"/>
            <wp:effectExtent l="0" t="0" r="635" b="0"/>
            <wp:wrapSquare wrapText="bothSides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5D">
        <w:t>Przy 80 MHz i 900 MHz obowiązuje wyższy zakres częstotliwości.</w:t>
      </w:r>
    </w:p>
    <w:p w:rsidR="00C53B4A" w:rsidRPr="003B715D" w:rsidRDefault="00C53B4A" w:rsidP="003B715D">
      <w:pPr>
        <w:pStyle w:val="Bezodstpw"/>
      </w:pPr>
      <w:r w:rsidRPr="003B715D">
        <w:t>Niniejsze wytyczne mogą nie mieć zastosowania we wszystkich sytuacjach. Propagacja elektromagnetyczna podlega absorpcji i odbiciu od struktur, przedmiotów i ludzi.</w:t>
      </w:r>
    </w:p>
    <w:p w:rsidR="00C53B4A" w:rsidRPr="003B715D" w:rsidRDefault="00C53B4A" w:rsidP="003B715D">
      <w:pPr>
        <w:pStyle w:val="Bezodstpw"/>
      </w:pPr>
      <w:r w:rsidRPr="003B715D">
        <w:t>a) Natężenia pola z nadajników stacjonarnych, takich jak stacje bazowe telefonów radiowych (komórkowych/bezprzewodowych) i naziemnych radiotelefonów przenośnych, radia amatorskiego, nadawców radiowych AM i FM oraz nadawców telewizyjnych nie można teoretycznie przewidzieć precyzyjnie. Aby ocenić środowisko elektromagnetyczne z powodu stałego RF nadajników, należy rozważyć elektromagnetyczne badanie terenu. Jeśli zmierzone natężenie pola w miejscu, w którym używany jest ACCUNIQ BC720 przekracza odpowiedni poziom zgodności RF, należy obserwować ACCUNIQ BC720 w celu sprawdzenia prawidłowego działania. W przypadku zaobserwowania nieprawidłowego działania mogą być konieczne dodatkowe środki, takie jak zmiana orientacji lub lokalizacji ACCUNIQ BC720.</w:t>
      </w:r>
    </w:p>
    <w:p w:rsidR="00C53B4A" w:rsidRPr="003B715D" w:rsidRDefault="00C53B4A" w:rsidP="003B715D">
      <w:pPr>
        <w:pStyle w:val="Bezodstpw"/>
      </w:pPr>
      <w:r w:rsidRPr="003B715D">
        <w:t>b) W zakresie częstotliwości od 150 kHz do 80 MHz natężenie pola powinno być mniejsze niż 3 V/m.</w:t>
      </w:r>
    </w:p>
    <w:p w:rsidR="00C53B4A" w:rsidRDefault="00C53B4A" w:rsidP="00C53B4A">
      <w:pPr>
        <w:pStyle w:val="Bezodstpw"/>
        <w:rPr>
          <w:rFonts w:cstheme="majorHAnsi"/>
          <w:szCs w:val="24"/>
        </w:rPr>
      </w:pPr>
    </w:p>
    <w:p w:rsidR="00C53B4A" w:rsidRDefault="00C53B4A" w:rsidP="00C53B4A">
      <w:pPr>
        <w:pStyle w:val="Bezodstpw"/>
        <w:rPr>
          <w:rFonts w:cstheme="majorHAnsi"/>
          <w:szCs w:val="24"/>
        </w:rPr>
      </w:pPr>
    </w:p>
    <w:p w:rsidR="00C53B4A" w:rsidRDefault="00C53B4A" w:rsidP="00C53B4A">
      <w:pPr>
        <w:pStyle w:val="Bezodstpw"/>
        <w:rPr>
          <w:rFonts w:cstheme="majorHAnsi"/>
          <w:szCs w:val="24"/>
        </w:rPr>
      </w:pPr>
    </w:p>
    <w:p w:rsidR="00C53B4A" w:rsidRDefault="00C53B4A" w:rsidP="00C53B4A">
      <w:pPr>
        <w:pStyle w:val="Bezodstpw"/>
        <w:rPr>
          <w:rFonts w:cstheme="majorHAnsi"/>
          <w:szCs w:val="24"/>
        </w:rPr>
      </w:pPr>
    </w:p>
    <w:p w:rsidR="00C53B4A" w:rsidRDefault="00C53B4A" w:rsidP="00C53B4A">
      <w:pPr>
        <w:pStyle w:val="Bezodstpw"/>
        <w:rPr>
          <w:rFonts w:cstheme="majorHAnsi"/>
          <w:szCs w:val="24"/>
        </w:rPr>
      </w:pPr>
    </w:p>
    <w:p w:rsidR="00C53B4A" w:rsidRPr="00C53B4A" w:rsidRDefault="00C53B4A" w:rsidP="00C53B4A">
      <w:pPr>
        <w:pStyle w:val="Bezodstpw"/>
        <w:rPr>
          <w:rFonts w:cstheme="majorHAnsi"/>
          <w:szCs w:val="24"/>
        </w:rPr>
      </w:pPr>
    </w:p>
    <w:p w:rsidR="00156B31" w:rsidRDefault="00C53B4A" w:rsidP="00C53B4A">
      <w:pPr>
        <w:pStyle w:val="Nagwek1"/>
      </w:pPr>
      <w:bookmarkStart w:id="10" w:name="_Toc109226529"/>
      <w:r w:rsidRPr="00C53B4A">
        <w:t>1.6.4</w:t>
      </w:r>
      <w:r>
        <w:t xml:space="preserve"> </w:t>
      </w:r>
      <w:r w:rsidRPr="00C53B4A">
        <w:t>Zalecane odległości separacji między przenośnym i mobilnym sprzętem do komunikacji radiowej a ACCUNIQ BC720</w:t>
      </w:r>
      <w:bookmarkEnd w:id="10"/>
    </w:p>
    <w:p w:rsidR="00C53B4A" w:rsidRDefault="00C53B4A" w:rsidP="00C53B4A"/>
    <w:p w:rsidR="00C53B4A" w:rsidRPr="00C53B4A" w:rsidRDefault="00C53B4A" w:rsidP="00C53B4A">
      <w:pPr>
        <w:pStyle w:val="Bezodstpw"/>
      </w:pPr>
      <w:r w:rsidRPr="00C53B4A">
        <w:t>ACCUNIQ BC720 jest przeznaczony do użytku w środowisku elektromagnetycznym, w którym wypromieniowane zakłócenia RF są kontrolowane. Klient lub użytkownik ACCUNIQ BC720 może pomóc w zapobieganiu</w:t>
      </w:r>
    </w:p>
    <w:p w:rsidR="00C53B4A" w:rsidRDefault="00C53B4A" w:rsidP="00C53B4A">
      <w:pPr>
        <w:pStyle w:val="Bezodstpw"/>
      </w:pPr>
      <w:r w:rsidRPr="00C53B4A">
        <w:lastRenderedPageBreak/>
        <w:t>zakłócenia elektromagnetyczne poprzez zachowanie minimalnej odległości między przenośnymi i mobilnymi urządzeniami komunikacyjnymi RF (nadajnikami) a ACCUNIQ BC720 zgodnie z zaleceniami poniżej, zgodnie z maksymalną mocą wyjściową sprzętu komunikacyjnego.</w:t>
      </w:r>
    </w:p>
    <w:p w:rsidR="00C53B4A" w:rsidRDefault="00C53B4A" w:rsidP="00C53B4A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F13405" w:rsidTr="00F13405">
        <w:tc>
          <w:tcPr>
            <w:tcW w:w="2405" w:type="dxa"/>
            <w:vMerge w:val="restart"/>
          </w:tcPr>
          <w:p w:rsidR="00F13405" w:rsidRDefault="00F13405" w:rsidP="00C53B4A">
            <w:pPr>
              <w:pStyle w:val="Bezodstpw"/>
            </w:pPr>
            <w:r w:rsidRPr="003C0708">
              <w:t>Znamionowa maksymalna moc wyjściowa nadajnika W</w:t>
            </w:r>
          </w:p>
        </w:tc>
        <w:tc>
          <w:tcPr>
            <w:tcW w:w="6657" w:type="dxa"/>
            <w:gridSpan w:val="3"/>
          </w:tcPr>
          <w:p w:rsidR="00F13405" w:rsidRDefault="00F13405" w:rsidP="00C53B4A">
            <w:pPr>
              <w:pStyle w:val="Bezodstpw"/>
            </w:pPr>
            <w:r w:rsidRPr="003C0708">
              <w:t>Odległość separacji w zależności od częstotliwości nadajnika m</w:t>
            </w:r>
          </w:p>
        </w:tc>
      </w:tr>
      <w:tr w:rsidR="00F13405" w:rsidTr="00F13405">
        <w:tc>
          <w:tcPr>
            <w:tcW w:w="2405" w:type="dxa"/>
            <w:vMerge/>
          </w:tcPr>
          <w:p w:rsidR="00F13405" w:rsidRDefault="00F13405" w:rsidP="00C53B4A">
            <w:pPr>
              <w:pStyle w:val="Bezodstpw"/>
            </w:pPr>
          </w:p>
        </w:tc>
        <w:tc>
          <w:tcPr>
            <w:tcW w:w="212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09"/>
            </w:tblGrid>
            <w:tr w:rsidR="00F13405" w:rsidRPr="003C0708">
              <w:tblPrEx>
                <w:tblCellMar>
                  <w:top w:w="0" w:type="dxa"/>
                  <w:bottom w:w="0" w:type="dxa"/>
                </w:tblCellMar>
              </w:tblPrEx>
              <w:trPr>
                <w:trHeight w:val="348"/>
              </w:trPr>
              <w:tc>
                <w:tcPr>
                  <w:tcW w:w="0" w:type="auto"/>
                </w:tcPr>
                <w:p w:rsidR="00F13405" w:rsidRPr="003C0708" w:rsidRDefault="00F13405" w:rsidP="003C07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C07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150 kHz to 80 MHz </w:t>
                  </w:r>
                </w:p>
                <w:p w:rsidR="00F13405" w:rsidRPr="003C0708" w:rsidRDefault="00F13405" w:rsidP="003C07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Theme="minorEastAsia" w:hAnsi="Arial" w:cs="Arial"/>
                      <w:color w:val="000000"/>
                      <w:sz w:val="20"/>
                      <w:szCs w:val="20"/>
                    </w:rPr>
                  </w:pPr>
                  <w:r w:rsidRPr="003C0708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 =</w:t>
                  </w:r>
                  <w:r w:rsidRPr="003C07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1.2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√P</w:t>
                  </w:r>
                </w:p>
              </w:tc>
            </w:tr>
          </w:tbl>
          <w:p w:rsidR="00F13405" w:rsidRDefault="00F13405" w:rsidP="00C53B4A">
            <w:pPr>
              <w:pStyle w:val="Bezodstpw"/>
            </w:pPr>
          </w:p>
        </w:tc>
        <w:tc>
          <w:tcPr>
            <w:tcW w:w="226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4"/>
            </w:tblGrid>
            <w:tr w:rsidR="00F13405" w:rsidRPr="003C0708" w:rsidTr="00B05267">
              <w:tblPrEx>
                <w:tblCellMar>
                  <w:top w:w="0" w:type="dxa"/>
                  <w:bottom w:w="0" w:type="dxa"/>
                </w:tblCellMar>
              </w:tblPrEx>
              <w:trPr>
                <w:trHeight w:val="348"/>
              </w:trPr>
              <w:tc>
                <w:tcPr>
                  <w:tcW w:w="0" w:type="auto"/>
                </w:tcPr>
                <w:p w:rsidR="00F13405" w:rsidRPr="003C0708" w:rsidRDefault="00F13405" w:rsidP="003C07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C07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80 MHz to 900 MHz </w:t>
                  </w:r>
                </w:p>
                <w:p w:rsidR="00F13405" w:rsidRPr="003C0708" w:rsidRDefault="00F13405" w:rsidP="003C07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C0708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 =</w:t>
                  </w:r>
                  <w:r w:rsidRPr="003C070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1.2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√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</w:t>
                  </w:r>
                </w:p>
              </w:tc>
            </w:tr>
          </w:tbl>
          <w:p w:rsidR="00F13405" w:rsidRDefault="00F13405" w:rsidP="00C53B4A">
            <w:pPr>
              <w:pStyle w:val="Bezodstpw"/>
            </w:pPr>
          </w:p>
        </w:tc>
        <w:tc>
          <w:tcPr>
            <w:tcW w:w="2266" w:type="dxa"/>
          </w:tcPr>
          <w:p w:rsidR="00F13405" w:rsidRPr="003C0708" w:rsidRDefault="00F13405" w:rsidP="003C0708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0708">
              <w:rPr>
                <w:rFonts w:ascii="Arial" w:hAnsi="Arial" w:cs="Arial"/>
                <w:color w:val="000000"/>
                <w:sz w:val="20"/>
                <w:szCs w:val="20"/>
              </w:rPr>
              <w:t xml:space="preserve">900 MHz to 2,5 GHz </w:t>
            </w:r>
          </w:p>
          <w:p w:rsidR="00F13405" w:rsidRDefault="00F13405" w:rsidP="003C0708">
            <w:pPr>
              <w:pStyle w:val="Bezodstpw"/>
            </w:pPr>
            <w:r w:rsidRPr="003C0708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 =</w:t>
            </w:r>
            <w:r w:rsidRPr="003C0708">
              <w:rPr>
                <w:rFonts w:ascii="Arial" w:hAnsi="Arial" w:cs="Arial"/>
                <w:color w:val="000000"/>
                <w:sz w:val="20"/>
                <w:szCs w:val="20"/>
              </w:rPr>
              <w:t xml:space="preserve">1.2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</w:tr>
      <w:tr w:rsidR="003C0708" w:rsidTr="00F13405">
        <w:tc>
          <w:tcPr>
            <w:tcW w:w="2405" w:type="dxa"/>
          </w:tcPr>
          <w:p w:rsidR="003C0708" w:rsidRDefault="00F13405" w:rsidP="00C53B4A">
            <w:pPr>
              <w:pStyle w:val="Bezodstpw"/>
            </w:pPr>
            <w:r>
              <w:t>0,01</w:t>
            </w:r>
          </w:p>
        </w:tc>
        <w:tc>
          <w:tcPr>
            <w:tcW w:w="2125" w:type="dxa"/>
          </w:tcPr>
          <w:p w:rsidR="003C0708" w:rsidRDefault="00F13405" w:rsidP="00C53B4A">
            <w:pPr>
              <w:pStyle w:val="Bezodstpw"/>
            </w:pPr>
            <w:r>
              <w:t>0,12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0,12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0,23</w:t>
            </w:r>
          </w:p>
        </w:tc>
      </w:tr>
      <w:tr w:rsidR="003C0708" w:rsidTr="00F13405">
        <w:tc>
          <w:tcPr>
            <w:tcW w:w="2405" w:type="dxa"/>
          </w:tcPr>
          <w:p w:rsidR="003C0708" w:rsidRDefault="00F13405" w:rsidP="00C53B4A">
            <w:pPr>
              <w:pStyle w:val="Bezodstpw"/>
            </w:pPr>
            <w:r>
              <w:t>0,1</w:t>
            </w:r>
          </w:p>
        </w:tc>
        <w:tc>
          <w:tcPr>
            <w:tcW w:w="2125" w:type="dxa"/>
          </w:tcPr>
          <w:p w:rsidR="003C0708" w:rsidRDefault="00F13405" w:rsidP="00C53B4A">
            <w:pPr>
              <w:pStyle w:val="Bezodstpw"/>
            </w:pPr>
            <w:r>
              <w:t>0,38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0,38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0,73</w:t>
            </w:r>
          </w:p>
        </w:tc>
      </w:tr>
      <w:tr w:rsidR="003C0708" w:rsidTr="00F13405">
        <w:tc>
          <w:tcPr>
            <w:tcW w:w="2405" w:type="dxa"/>
          </w:tcPr>
          <w:p w:rsidR="003C0708" w:rsidRDefault="00F13405" w:rsidP="00C53B4A">
            <w:pPr>
              <w:pStyle w:val="Bezodstpw"/>
            </w:pPr>
            <w:r>
              <w:t>1</w:t>
            </w:r>
          </w:p>
        </w:tc>
        <w:tc>
          <w:tcPr>
            <w:tcW w:w="2125" w:type="dxa"/>
          </w:tcPr>
          <w:p w:rsidR="003C0708" w:rsidRDefault="00F13405" w:rsidP="00C53B4A">
            <w:pPr>
              <w:pStyle w:val="Bezodstpw"/>
            </w:pPr>
            <w:r>
              <w:t>102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102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2,3</w:t>
            </w:r>
          </w:p>
        </w:tc>
      </w:tr>
      <w:tr w:rsidR="003C0708" w:rsidTr="00F13405">
        <w:tc>
          <w:tcPr>
            <w:tcW w:w="2405" w:type="dxa"/>
          </w:tcPr>
          <w:p w:rsidR="003C0708" w:rsidRDefault="00F13405" w:rsidP="00C53B4A">
            <w:pPr>
              <w:pStyle w:val="Bezodstpw"/>
            </w:pPr>
            <w:r>
              <w:t>10</w:t>
            </w:r>
          </w:p>
        </w:tc>
        <w:tc>
          <w:tcPr>
            <w:tcW w:w="2125" w:type="dxa"/>
          </w:tcPr>
          <w:p w:rsidR="003C0708" w:rsidRDefault="00F13405" w:rsidP="00C53B4A">
            <w:pPr>
              <w:pStyle w:val="Bezodstpw"/>
            </w:pPr>
            <w:r>
              <w:t>3,8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3,8</w:t>
            </w:r>
          </w:p>
        </w:tc>
        <w:tc>
          <w:tcPr>
            <w:tcW w:w="2266" w:type="dxa"/>
          </w:tcPr>
          <w:p w:rsidR="003C0708" w:rsidRDefault="00F13405" w:rsidP="00C53B4A">
            <w:pPr>
              <w:pStyle w:val="Bezodstpw"/>
            </w:pPr>
            <w:r>
              <w:t>7,3</w:t>
            </w:r>
          </w:p>
        </w:tc>
      </w:tr>
      <w:tr w:rsidR="00F13405" w:rsidTr="00F13405">
        <w:tc>
          <w:tcPr>
            <w:tcW w:w="2405" w:type="dxa"/>
          </w:tcPr>
          <w:p w:rsidR="00F13405" w:rsidRDefault="00F13405" w:rsidP="00C53B4A">
            <w:pPr>
              <w:pStyle w:val="Bezodstpw"/>
            </w:pPr>
            <w:r>
              <w:t>100</w:t>
            </w:r>
          </w:p>
        </w:tc>
        <w:tc>
          <w:tcPr>
            <w:tcW w:w="2125" w:type="dxa"/>
          </w:tcPr>
          <w:p w:rsidR="00F13405" w:rsidRDefault="00F13405" w:rsidP="00C53B4A">
            <w:pPr>
              <w:pStyle w:val="Bezodstpw"/>
            </w:pPr>
            <w:r>
              <w:t>12</w:t>
            </w:r>
          </w:p>
        </w:tc>
        <w:tc>
          <w:tcPr>
            <w:tcW w:w="2266" w:type="dxa"/>
          </w:tcPr>
          <w:p w:rsidR="00F13405" w:rsidRDefault="00F13405" w:rsidP="00C53B4A">
            <w:pPr>
              <w:pStyle w:val="Bezodstpw"/>
            </w:pPr>
            <w:r>
              <w:t>12</w:t>
            </w:r>
          </w:p>
        </w:tc>
        <w:tc>
          <w:tcPr>
            <w:tcW w:w="2266" w:type="dxa"/>
          </w:tcPr>
          <w:p w:rsidR="00F13405" w:rsidRDefault="00F13405" w:rsidP="00C53B4A">
            <w:pPr>
              <w:pStyle w:val="Bezodstpw"/>
            </w:pPr>
            <w:r>
              <w:t>23</w:t>
            </w:r>
          </w:p>
        </w:tc>
      </w:tr>
      <w:tr w:rsidR="00F13405" w:rsidTr="005F52F1">
        <w:tc>
          <w:tcPr>
            <w:tcW w:w="9062" w:type="dxa"/>
            <w:gridSpan w:val="4"/>
          </w:tcPr>
          <w:p w:rsidR="00F13405" w:rsidRDefault="00F13405" w:rsidP="00C53B4A">
            <w:pPr>
              <w:pStyle w:val="Bezodstpw"/>
            </w:pPr>
            <w:r w:rsidRPr="00F13405">
              <w:t>W przypadku nadajników o maksymalnej mocy wyjściowej niewymienionej powyżej zalecaną odległość d w metrach (m) można oszacować za pomocą równania odpowiedniego dla częstotliwości nadajnika, gdzie P jest maksymalną znamionową mocą wyjściową nadajnika w watach ( W) według producenta nadajnika.</w:t>
            </w:r>
          </w:p>
        </w:tc>
      </w:tr>
    </w:tbl>
    <w:p w:rsidR="00C53B4A" w:rsidRDefault="00C53B4A" w:rsidP="00C53B4A">
      <w:pPr>
        <w:pStyle w:val="Bezodstpw"/>
      </w:pPr>
    </w:p>
    <w:p w:rsidR="00F13405" w:rsidRDefault="00F13405" w:rsidP="00F13405">
      <w:pPr>
        <w:pStyle w:val="Bezodstpw"/>
        <w:numPr>
          <w:ilvl w:val="0"/>
          <w:numId w:val="2"/>
        </w:numPr>
      </w:pPr>
      <w:r w:rsidRPr="00D354CB">
        <w:rPr>
          <w:noProof/>
          <w:lang w:eastAsia="pl-PL"/>
        </w:rPr>
        <w:drawing>
          <wp:anchor distT="0" distB="0" distL="114300" distR="114300" simplePos="0" relativeHeight="251712512" behindDoc="0" locked="0" layoutInCell="1" allowOverlap="1" wp14:anchorId="789CF4F5" wp14:editId="386E466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66115" cy="561340"/>
            <wp:effectExtent l="0" t="0" r="635" b="0"/>
            <wp:wrapSquare wrapText="bothSides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405">
        <w:t>Przy 80 MHz i 900 MHz obowiązuje odległość dla wyższego zakresu częstotliwości.</w:t>
      </w:r>
    </w:p>
    <w:p w:rsidR="00F13405" w:rsidRDefault="00F13405" w:rsidP="00F13405">
      <w:pPr>
        <w:pStyle w:val="Bezodstpw"/>
        <w:numPr>
          <w:ilvl w:val="0"/>
          <w:numId w:val="2"/>
        </w:numPr>
      </w:pPr>
      <w:r w:rsidRPr="00F13405">
        <w:t>Niniejsze wytyczne mogą nie mieć zastosowania we wszystkich sytuacjach. Na propagację elektromagnetyczną wpływa absorpcja i odbicie od konstrukcji, przedmiotów i ludzi.</w:t>
      </w: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Bezodstpw"/>
      </w:pPr>
    </w:p>
    <w:p w:rsidR="00794AEF" w:rsidRDefault="00794AEF" w:rsidP="00794AEF">
      <w:pPr>
        <w:pStyle w:val="Nagwek1"/>
      </w:pPr>
      <w:bookmarkStart w:id="11" w:name="_Toc109226530"/>
      <w:r>
        <w:lastRenderedPageBreak/>
        <w:t>2. O SKŁAD</w:t>
      </w:r>
      <w:r>
        <w:t>ZIE</w:t>
      </w:r>
      <w:r>
        <w:t xml:space="preserve"> CIAŁA</w:t>
      </w:r>
      <w:bookmarkEnd w:id="11"/>
    </w:p>
    <w:p w:rsidR="00794AEF" w:rsidRDefault="00794AEF" w:rsidP="00794AEF">
      <w:pPr>
        <w:pStyle w:val="Nagwek1"/>
      </w:pPr>
      <w:bookmarkStart w:id="12" w:name="_Toc109226531"/>
      <w:r w:rsidRPr="00794AEF">
        <w:t>2.1 Skład ciała</w:t>
      </w:r>
      <w:bookmarkEnd w:id="12"/>
    </w:p>
    <w:p w:rsidR="003B715D" w:rsidRPr="005802DD" w:rsidRDefault="003B715D" w:rsidP="003B715D">
      <w:pPr>
        <w:pStyle w:val="Bezodstpw"/>
        <w:rPr>
          <w:rFonts w:cstheme="majorHAnsi"/>
          <w:szCs w:val="24"/>
        </w:rPr>
      </w:pPr>
      <w:r w:rsidRPr="005802DD">
        <w:rPr>
          <w:rFonts w:cstheme="majorHAnsi"/>
          <w:szCs w:val="24"/>
        </w:rPr>
        <w:t xml:space="preserve">Ludzkie ciało składa się z tkanki tłuszczowej i beztłuszczowej masy ciała. Beztłuszczowa masa ciała oznacza takie składniki jak: woda, masa mięśniowa, kości itp. Woda jest podzielona na wodę wewnątrzkomórkową i pozakomórkową, a relacje między nimi są kontrolowane w określonym zakresie. Tkanka tłuszczowa znajduje się pod skórą oraz między organami w jamie brzusznej. Gdy energia z pożywienia jest niewystarczająca, tkanka tłuszczowa ulega hydrolizie w celu dostarczenia energii dla fizjologicznego funkcjonowania organizmu, jednakże zbyt duża zawartość tkanki tłuszczowej może prowadzić do powstawania wielu chorób oraz zwiększa zapadalność na choroby cywilizacyjne. </w:t>
      </w:r>
    </w:p>
    <w:p w:rsidR="003B715D" w:rsidRPr="005802DD" w:rsidRDefault="003B715D" w:rsidP="003B715D">
      <w:pPr>
        <w:pStyle w:val="Bezodstpw"/>
        <w:rPr>
          <w:rFonts w:cstheme="majorHAnsi"/>
          <w:szCs w:val="24"/>
        </w:rPr>
      </w:pPr>
      <w:r w:rsidRPr="005802DD">
        <w:rPr>
          <w:rFonts w:cstheme="majorHAnsi"/>
          <w:szCs w:val="24"/>
        </w:rPr>
        <w:t>Zdrowi ludzie utrzymują równowagę oraz odpowiednie proporcje między poszczególnymi komponentami w ciele w przeciwieństwie do osób chorych. Podczas gdy zachwiana jest równowaga, mogą pojawiać się takie choroby jak otyłość, niedożywienie, osteoporoza itd.</w:t>
      </w:r>
    </w:p>
    <w:p w:rsidR="003B715D" w:rsidRDefault="003B715D" w:rsidP="003B715D">
      <w:pPr>
        <w:pStyle w:val="Bezodstpw"/>
      </w:pPr>
    </w:p>
    <w:p w:rsidR="005802DD" w:rsidRPr="005802DD" w:rsidRDefault="005802DD" w:rsidP="005802DD">
      <w:pPr>
        <w:pStyle w:val="Nagwek1"/>
      </w:pPr>
      <w:bookmarkStart w:id="13" w:name="_Toc109206230"/>
      <w:bookmarkStart w:id="14" w:name="_Toc109226532"/>
      <w:r w:rsidRPr="005802DD">
        <w:t>2.</w:t>
      </w:r>
      <w:r w:rsidRPr="005802DD">
        <w:t>2</w:t>
      </w:r>
      <w:r w:rsidRPr="005802DD">
        <w:t xml:space="preserve"> Otyłość</w:t>
      </w:r>
      <w:bookmarkEnd w:id="13"/>
      <w:bookmarkEnd w:id="14"/>
    </w:p>
    <w:p w:rsidR="005802DD" w:rsidRPr="005802DD" w:rsidRDefault="005802DD" w:rsidP="005802DD">
      <w:pPr>
        <w:pStyle w:val="Bezodstpw"/>
        <w:rPr>
          <w:rFonts w:cstheme="majorHAnsi"/>
          <w:szCs w:val="24"/>
        </w:rPr>
      </w:pPr>
      <w:r w:rsidRPr="005802DD">
        <w:rPr>
          <w:rFonts w:cstheme="majorHAnsi"/>
          <w:szCs w:val="24"/>
        </w:rPr>
        <w:t>Do oceny otyłości mogą być stosowane różne metody, jednakże kluczowym czynnikiem służącym do określenia stopnia otyłości jest zawartości tkanki tłuszczowej w ciele. Ogólnie rzecz biorąc, otyłość jest definiowana jako stan nie tylko nadmiernej masy ciała w porównaniu z wysokością ciała, ale jako nadmierna zawartość tkanki tłuszczowej w stosunku do masy ciała (widoczna lub ukryta otyłość).</w:t>
      </w:r>
    </w:p>
    <w:p w:rsidR="005802DD" w:rsidRPr="005802DD" w:rsidRDefault="005802DD" w:rsidP="005802DD">
      <w:pPr>
        <w:pStyle w:val="Bezodstpw"/>
        <w:rPr>
          <w:rFonts w:cstheme="majorHAnsi"/>
          <w:szCs w:val="24"/>
        </w:rPr>
      </w:pPr>
      <w:bookmarkStart w:id="15" w:name="_Toc109206231"/>
      <w:r w:rsidRPr="005802DD">
        <w:rPr>
          <w:rFonts w:cstheme="majorHAnsi"/>
          <w:szCs w:val="24"/>
        </w:rPr>
        <w:t>2.</w:t>
      </w:r>
      <w:r w:rsidRPr="005802DD">
        <w:rPr>
          <w:rFonts w:cstheme="majorHAnsi"/>
          <w:szCs w:val="24"/>
        </w:rPr>
        <w:t>3. Cel analizy składu ciała</w:t>
      </w:r>
      <w:bookmarkEnd w:id="15"/>
    </w:p>
    <w:p w:rsidR="005802DD" w:rsidRPr="005802DD" w:rsidRDefault="005802DD" w:rsidP="005802DD">
      <w:pPr>
        <w:pStyle w:val="Bezodstpw"/>
        <w:rPr>
          <w:rFonts w:cstheme="majorHAnsi"/>
          <w:szCs w:val="24"/>
        </w:rPr>
      </w:pPr>
      <w:r w:rsidRPr="005802DD">
        <w:rPr>
          <w:rFonts w:cstheme="majorHAnsi"/>
          <w:szCs w:val="24"/>
        </w:rPr>
        <w:t>Analiza składu ciała jest doskonałą metodą umożliwiającą diagnostykę wielu problemów zdrowotnych. Pozwala profesjonalistom ocenić stopień otyłości oraz wykryć zaburzenia równowagi w składzie ciała jeszcze u zdrowych pacjentów, co umożliwia wprowadzenie wczesnych działań profilaktycznych.</w:t>
      </w:r>
    </w:p>
    <w:p w:rsidR="005802DD" w:rsidRPr="005802DD" w:rsidRDefault="005802DD" w:rsidP="005802DD">
      <w:pPr>
        <w:pStyle w:val="Bezodstpw"/>
        <w:rPr>
          <w:rFonts w:cstheme="majorHAnsi"/>
          <w:szCs w:val="24"/>
        </w:rPr>
      </w:pPr>
    </w:p>
    <w:p w:rsidR="005802DD" w:rsidRPr="005802DD" w:rsidRDefault="005802DD" w:rsidP="005802DD">
      <w:pPr>
        <w:pStyle w:val="Nagwek1"/>
      </w:pPr>
      <w:bookmarkStart w:id="16" w:name="_Toc109206232"/>
      <w:bookmarkStart w:id="17" w:name="_Toc109226533"/>
      <w:r w:rsidRPr="005802DD">
        <w:t>2.</w:t>
      </w:r>
      <w:r w:rsidRPr="005802DD">
        <w:t>4. Wskaźnik talia biodro</w:t>
      </w:r>
      <w:bookmarkEnd w:id="16"/>
      <w:bookmarkEnd w:id="17"/>
    </w:p>
    <w:p w:rsidR="005802DD" w:rsidRPr="005802DD" w:rsidRDefault="005802DD" w:rsidP="005802DD">
      <w:pPr>
        <w:pStyle w:val="Bezodstpw"/>
        <w:rPr>
          <w:rFonts w:cstheme="majorHAnsi"/>
          <w:szCs w:val="24"/>
        </w:rPr>
      </w:pPr>
      <w:r w:rsidRPr="005802DD">
        <w:rPr>
          <w:rFonts w:cstheme="majorHAnsi"/>
          <w:szCs w:val="24"/>
        </w:rPr>
        <w:t>Stosunek obwodu talii do bioder (WHR) przedstawia rozkład tkanki tłuszczowej w talii oraz biodrach. Jest to prosta, ale bardzo przydatna metoda do oceny rozmieszczenia tkanki tłuszczowej. Tkanka tłuszczowa może mieć tendencję do gromadzenia się w biodrach- typ sylwetki ‘gruszka’, oraz w brzuchu- typ sylwetki ‘jabłko’. Typ jabłko występuje wtedy, gdy obwód talii jest większy niż bioder. Takie rozłożenie tkanki tłuszczowej zwiększa ryzyko powstawania chorób układu krążenia, cukrzycy itp.</w:t>
      </w:r>
    </w:p>
    <w:p w:rsidR="005802DD" w:rsidRDefault="005802DD" w:rsidP="005802DD">
      <w:pPr>
        <w:autoSpaceDE w:val="0"/>
        <w:autoSpaceDN w:val="0"/>
        <w:adjustRightInd w:val="0"/>
        <w:spacing w:after="0" w:line="240" w:lineRule="auto"/>
      </w:pPr>
    </w:p>
    <w:p w:rsidR="005802DD" w:rsidRPr="005802DD" w:rsidRDefault="005802DD" w:rsidP="005802DD">
      <w:pPr>
        <w:pStyle w:val="Nagwek1"/>
      </w:pPr>
      <w:bookmarkStart w:id="18" w:name="_Toc109206233"/>
      <w:bookmarkStart w:id="19" w:name="_Toc109226534"/>
      <w:r w:rsidRPr="005802DD">
        <w:t>2.</w:t>
      </w:r>
      <w:r w:rsidRPr="005802DD">
        <w:t>5. Otyłość brzuszna</w:t>
      </w:r>
      <w:bookmarkEnd w:id="18"/>
      <w:bookmarkEnd w:id="19"/>
    </w:p>
    <w:p w:rsidR="005802DD" w:rsidRPr="005802DD" w:rsidRDefault="005802DD" w:rsidP="005802DD">
      <w:pPr>
        <w:pStyle w:val="Bezodstpw"/>
        <w:rPr>
          <w:rFonts w:cstheme="majorHAnsi"/>
        </w:rPr>
      </w:pPr>
      <w:r w:rsidRPr="005802DD">
        <w:rPr>
          <w:rFonts w:cstheme="majorHAnsi"/>
        </w:rPr>
        <w:t xml:space="preserve">Tkanka tłuszczowa w organizmie jest podzielona na podskórną oraz trzewną tkankę tłuszczową. Otyłość brzuszna jest uważana za krytyczny czynnik ryzyka powstawania zespołu </w:t>
      </w:r>
      <w:proofErr w:type="spellStart"/>
      <w:r w:rsidRPr="005802DD">
        <w:rPr>
          <w:rFonts w:cstheme="majorHAnsi"/>
        </w:rPr>
        <w:t>polimetabolicznego</w:t>
      </w:r>
      <w:proofErr w:type="spellEnd"/>
      <w:r w:rsidRPr="005802DD">
        <w:rPr>
          <w:rFonts w:cstheme="majorHAnsi"/>
        </w:rPr>
        <w:t xml:space="preserve">. Z tkanki tłuszczowej trzewnej aktywowana jest lipaza lipoproteinowa, która rozkłada tłuszcze zawarte w tej tkance. Tkanka ta, z łatwością przechodzi przez naczynia do wątroby powodując jej stłuszczenie. Wzrasta również stężenie lipidów we krwi oraz podnosi się ryzyko </w:t>
      </w:r>
      <w:proofErr w:type="spellStart"/>
      <w:r w:rsidRPr="005802DD">
        <w:rPr>
          <w:rFonts w:cstheme="majorHAnsi"/>
        </w:rPr>
        <w:t>hiperinsulinemii</w:t>
      </w:r>
      <w:proofErr w:type="spellEnd"/>
      <w:r w:rsidRPr="005802DD">
        <w:rPr>
          <w:rFonts w:cstheme="majorHAnsi"/>
        </w:rPr>
        <w:t>, nadciśnienia tętniczego oraz chorób układu krążenia. Wisceralna tkanka tłuszczowa obejmuje 10 - 20% tkanki tłuszczowej w ciele. Wisceralną otyłość można ocenić biorąc pod uwagę wskaźniki opisane poniżej:</w:t>
      </w:r>
    </w:p>
    <w:p w:rsidR="005802DD" w:rsidRPr="005802DD" w:rsidRDefault="005802DD" w:rsidP="005802DD">
      <w:pPr>
        <w:pStyle w:val="Bezodstpw"/>
        <w:rPr>
          <w:rFonts w:cstheme="majorHAnsi"/>
        </w:rPr>
      </w:pPr>
      <w:r w:rsidRPr="005802DD">
        <w:rPr>
          <w:rFonts w:cstheme="majorHAnsi"/>
        </w:rPr>
        <w:t>- przekrój tkanki tłuszczowej w obszarze między L4 ~ L5 wynosi 100cm</w:t>
      </w:r>
      <w:r w:rsidRPr="005802DD">
        <w:rPr>
          <w:rFonts w:cstheme="majorHAnsi"/>
          <w:vertAlign w:val="superscript"/>
        </w:rPr>
        <w:t>2</w:t>
      </w:r>
      <w:r w:rsidRPr="005802DD">
        <w:rPr>
          <w:rFonts w:cstheme="majorHAnsi"/>
        </w:rPr>
        <w:t xml:space="preserve"> i więcej</w:t>
      </w:r>
    </w:p>
    <w:p w:rsidR="005802DD" w:rsidRPr="005802DD" w:rsidRDefault="005802DD" w:rsidP="005802DD">
      <w:pPr>
        <w:pStyle w:val="Bezodstpw"/>
        <w:rPr>
          <w:rFonts w:cstheme="majorHAnsi"/>
        </w:rPr>
      </w:pPr>
      <w:r w:rsidRPr="005802DD">
        <w:rPr>
          <w:rFonts w:cstheme="majorHAnsi"/>
        </w:rPr>
        <w:lastRenderedPageBreak/>
        <w:t>- stosunek wisceralnej tkanki tłuszczowej do podskórnej wynosi 0,4 i więcej</w:t>
      </w:r>
    </w:p>
    <w:p w:rsidR="005802DD" w:rsidRPr="005802DD" w:rsidRDefault="005802DD" w:rsidP="005802DD">
      <w:pPr>
        <w:pStyle w:val="Bezodstpw"/>
        <w:rPr>
          <w:rFonts w:cstheme="majorHAnsi"/>
        </w:rPr>
      </w:pPr>
      <w:r w:rsidRPr="005802DD">
        <w:rPr>
          <w:rFonts w:cstheme="majorHAnsi"/>
        </w:rPr>
        <w:t>- wskaźnik talia biodro (W.H.R.) wynosi ponad 0,9 (mężczyzna)/ 0,85 (kobieta)</w:t>
      </w:r>
    </w:p>
    <w:p w:rsidR="005802DD" w:rsidRPr="005802DD" w:rsidRDefault="005802DD" w:rsidP="005802DD">
      <w:pPr>
        <w:pStyle w:val="Bezodstpw"/>
      </w:pPr>
      <w:r w:rsidRPr="005802DD">
        <w:t>- obwód talii wynosi ponad 102cm (mężczyzna)/ 88cm (kobieta)</w:t>
      </w:r>
    </w:p>
    <w:p w:rsidR="005802DD" w:rsidRPr="00D354CB" w:rsidRDefault="005802DD" w:rsidP="005802DD">
      <w:pPr>
        <w:pStyle w:val="Bezodstpw"/>
      </w:pPr>
      <w:r w:rsidRPr="005802DD">
        <w:t>Zawartość wisceralnej tkanki tłuszczowej wzrasta po 30 roku życia u mężczyzn oraz u przechodzących menopauzę kobiet. Występuje częściej u mężczyzn niż u kobiet oraz u osób starszych. Ponieważ szybkość spalania wisceralnej tkanki tłuszczowej jest wyższa niż podskórnej, może być z łatwością zredukowana poprzez ćwiczenia oraz odpowiednią dietę.</w:t>
      </w:r>
    </w:p>
    <w:p w:rsidR="005802DD" w:rsidRDefault="005802DD" w:rsidP="005802DD">
      <w:pPr>
        <w:autoSpaceDE w:val="0"/>
        <w:autoSpaceDN w:val="0"/>
        <w:adjustRightInd w:val="0"/>
        <w:spacing w:after="0" w:line="240" w:lineRule="auto"/>
      </w:pPr>
    </w:p>
    <w:p w:rsidR="00B400C3" w:rsidRPr="00B400C3" w:rsidRDefault="00B400C3" w:rsidP="00B400C3">
      <w:pPr>
        <w:pStyle w:val="Nagwek1"/>
      </w:pPr>
      <w:bookmarkStart w:id="20" w:name="_Toc109206234"/>
      <w:bookmarkStart w:id="21" w:name="_Toc109226535"/>
      <w:r>
        <w:t>2.</w:t>
      </w:r>
      <w:r w:rsidRPr="00B400C3">
        <w:t>6 Analiza segmentowa</w:t>
      </w:r>
      <w:bookmarkEnd w:id="20"/>
      <w:bookmarkEnd w:id="21"/>
      <w:r w:rsidRPr="00B400C3">
        <w:t xml:space="preserve"> </w:t>
      </w:r>
    </w:p>
    <w:p w:rsidR="00B400C3" w:rsidRPr="00B400C3" w:rsidRDefault="00B400C3" w:rsidP="00B400C3">
      <w:pPr>
        <w:pStyle w:val="Bezodstpw"/>
        <w:rPr>
          <w:rFonts w:cstheme="majorHAnsi"/>
        </w:rPr>
      </w:pPr>
      <w:r w:rsidRPr="00B400C3">
        <w:rPr>
          <w:rFonts w:cstheme="majorHAnsi"/>
        </w:rPr>
        <w:t>Analizator umożliwia analizę w pięciu partiach ciała: tułów, prawa ręka, lewa ręka, lewa noga i prawa noga. Funkcja ta, może być wykorzystywana jako narzędzie do oceny rezultatów ćwiczeń podczas leczenia rehabilitacyjnego.</w:t>
      </w:r>
    </w:p>
    <w:p w:rsidR="00B400C3" w:rsidRPr="00B400C3" w:rsidRDefault="00B400C3" w:rsidP="00B400C3">
      <w:pPr>
        <w:pStyle w:val="Bezodstpw"/>
        <w:rPr>
          <w:rFonts w:cstheme="majorHAnsi"/>
        </w:rPr>
      </w:pPr>
    </w:p>
    <w:p w:rsidR="00B400C3" w:rsidRPr="00B400C3" w:rsidRDefault="00B400C3" w:rsidP="00B400C3">
      <w:pPr>
        <w:pStyle w:val="Nagwek1"/>
      </w:pPr>
      <w:bookmarkStart w:id="22" w:name="_Toc109206235"/>
      <w:bookmarkStart w:id="23" w:name="_Toc109226536"/>
      <w:r>
        <w:t>2.7</w:t>
      </w:r>
      <w:r w:rsidRPr="00B400C3">
        <w:t xml:space="preserve"> Wiek metaboliczny</w:t>
      </w:r>
      <w:bookmarkEnd w:id="22"/>
      <w:bookmarkEnd w:id="23"/>
    </w:p>
    <w:p w:rsidR="00B400C3" w:rsidRPr="00B400C3" w:rsidRDefault="00B400C3" w:rsidP="00B400C3">
      <w:pPr>
        <w:pStyle w:val="Bezodstpw"/>
        <w:rPr>
          <w:rFonts w:cstheme="majorHAnsi"/>
        </w:rPr>
      </w:pPr>
      <w:r w:rsidRPr="00B400C3">
        <w:rPr>
          <w:rFonts w:cstheme="majorHAnsi"/>
        </w:rPr>
        <w:t>Jest to wartość szacunkowa. Pod uwagę bierze się wiek fizyczny badanego z uwzględnieniem wyniku analizy składu ciała, płci i wieku biologicznego. Oblicza się poprzez porównanie optymalnego składu ciała w zależności od płci i wieku biologicznego osoby badanej z faktycznym analizowanym składem ciała. Może służyć do oceny zdrowia i rozwój ciała badanego.</w:t>
      </w:r>
    </w:p>
    <w:p w:rsidR="00B400C3" w:rsidRDefault="00B400C3" w:rsidP="005802DD">
      <w:pPr>
        <w:autoSpaceDE w:val="0"/>
        <w:autoSpaceDN w:val="0"/>
        <w:adjustRightInd w:val="0"/>
        <w:spacing w:after="0" w:line="240" w:lineRule="auto"/>
      </w:pPr>
    </w:p>
    <w:p w:rsidR="00B400C3" w:rsidRPr="00B400C3" w:rsidRDefault="00B400C3" w:rsidP="00B400C3">
      <w:pPr>
        <w:pStyle w:val="Nagwek1"/>
      </w:pPr>
      <w:bookmarkStart w:id="24" w:name="_Toc109226537"/>
      <w:r w:rsidRPr="00B400C3">
        <w:t>2.8 Impedancja</w:t>
      </w:r>
      <w:bookmarkEnd w:id="24"/>
    </w:p>
    <w:p w:rsidR="00B400C3" w:rsidRDefault="00B400C3" w:rsidP="00B400C3">
      <w:pPr>
        <w:pStyle w:val="Bezodstpw"/>
      </w:pPr>
      <w:r w:rsidRPr="00B400C3">
        <w:t>Impedancja wskazuje segmentową impedancję pięciu części ciała (lewej i prawej ręki, lewej i prawej nogi oraz tułowia) odpowiadających każdej częstotliwości (1~1000 kHz).</w:t>
      </w:r>
    </w:p>
    <w:p w:rsidR="00993583" w:rsidRDefault="00993583" w:rsidP="00B400C3">
      <w:pPr>
        <w:pStyle w:val="Bezodstpw"/>
      </w:pPr>
    </w:p>
    <w:p w:rsidR="00993583" w:rsidRDefault="00993583" w:rsidP="00FC4D23">
      <w:pPr>
        <w:pStyle w:val="Nagwek1"/>
        <w:numPr>
          <w:ilvl w:val="0"/>
          <w:numId w:val="2"/>
        </w:numPr>
      </w:pPr>
      <w:bookmarkStart w:id="25" w:name="_Toc109226538"/>
      <w:r>
        <w:t>FUNKCJE POSZCZEG</w:t>
      </w:r>
      <w:r w:rsidR="00FC4D23">
        <w:t>ÓL</w:t>
      </w:r>
      <w:r>
        <w:t>NYCH ELEMENTÓW</w:t>
      </w:r>
      <w:bookmarkEnd w:id="25"/>
    </w:p>
    <w:p w:rsidR="00993583" w:rsidRDefault="00993583" w:rsidP="00993583">
      <w:pPr>
        <w:pStyle w:val="Bezodstpw"/>
      </w:pPr>
    </w:p>
    <w:p w:rsidR="00993583" w:rsidRDefault="00993583" w:rsidP="00993583">
      <w:pPr>
        <w:pStyle w:val="Nagwek1"/>
        <w:numPr>
          <w:ilvl w:val="1"/>
          <w:numId w:val="2"/>
        </w:numPr>
      </w:pPr>
      <w:bookmarkStart w:id="26" w:name="_Toc109226539"/>
      <w:bookmarkStart w:id="27" w:name="_GoBack"/>
      <w:bookmarkEnd w:id="27"/>
      <w:r w:rsidRPr="00993583">
        <w:lastRenderedPageBreak/>
        <w:t>Podstawowe części.</w:t>
      </w:r>
      <w:bookmarkEnd w:id="26"/>
    </w:p>
    <w:p w:rsidR="00993583" w:rsidRDefault="00F25367" w:rsidP="00993583">
      <w:r>
        <w:rPr>
          <w:noProof/>
          <w:lang w:eastAsia="pl-PL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3013075</wp:posOffset>
            </wp:positionV>
            <wp:extent cx="5760720" cy="4441190"/>
            <wp:effectExtent l="0" t="0" r="0" b="0"/>
            <wp:wrapSquare wrapText="bothSides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3583" w:rsidTr="00993583">
        <w:tc>
          <w:tcPr>
            <w:tcW w:w="3020" w:type="dxa"/>
          </w:tcPr>
          <w:p w:rsidR="00993583" w:rsidRDefault="00993583" w:rsidP="00993583">
            <w:r>
              <w:t>Nazwa</w:t>
            </w:r>
          </w:p>
        </w:tc>
        <w:tc>
          <w:tcPr>
            <w:tcW w:w="3021" w:type="dxa"/>
          </w:tcPr>
          <w:p w:rsidR="00993583" w:rsidRDefault="00993583" w:rsidP="00993583">
            <w:r>
              <w:t>Specyfikacja</w:t>
            </w:r>
          </w:p>
        </w:tc>
        <w:tc>
          <w:tcPr>
            <w:tcW w:w="3021" w:type="dxa"/>
          </w:tcPr>
          <w:p w:rsidR="00993583" w:rsidRDefault="00993583" w:rsidP="00993583">
            <w:r>
              <w:t>Zawartość</w:t>
            </w:r>
          </w:p>
        </w:tc>
      </w:tr>
      <w:tr w:rsidR="00993583" w:rsidTr="00993583">
        <w:tc>
          <w:tcPr>
            <w:tcW w:w="3020" w:type="dxa"/>
          </w:tcPr>
          <w:p w:rsidR="00993583" w:rsidRDefault="00993583" w:rsidP="00993583">
            <w:r>
              <w:t>Jednostka główna</w:t>
            </w:r>
          </w:p>
        </w:tc>
        <w:tc>
          <w:tcPr>
            <w:tcW w:w="3021" w:type="dxa"/>
          </w:tcPr>
          <w:p w:rsidR="00993583" w:rsidRDefault="00993583" w:rsidP="00993583"/>
        </w:tc>
        <w:tc>
          <w:tcPr>
            <w:tcW w:w="3021" w:type="dxa"/>
          </w:tcPr>
          <w:p w:rsidR="00993583" w:rsidRDefault="00993583" w:rsidP="00993583">
            <w:r>
              <w:t>1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993583" w:rsidP="00993583">
            <w:r>
              <w:t>Podręcznik użytkownika</w:t>
            </w:r>
          </w:p>
        </w:tc>
        <w:tc>
          <w:tcPr>
            <w:tcW w:w="3021" w:type="dxa"/>
          </w:tcPr>
          <w:p w:rsidR="00993583" w:rsidRDefault="00993583" w:rsidP="00993583">
            <w:r>
              <w:t xml:space="preserve">CD / </w:t>
            </w:r>
            <w:r w:rsidR="00661E37">
              <w:t>Pendrive</w:t>
            </w:r>
          </w:p>
        </w:tc>
        <w:tc>
          <w:tcPr>
            <w:tcW w:w="3021" w:type="dxa"/>
          </w:tcPr>
          <w:p w:rsidR="00993583" w:rsidRDefault="00993583" w:rsidP="00993583">
            <w:r>
              <w:t>1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993583" w:rsidP="00993583">
            <w:r>
              <w:t>Zasilacz</w:t>
            </w:r>
          </w:p>
        </w:tc>
        <w:tc>
          <w:tcPr>
            <w:tcW w:w="3021" w:type="dxa"/>
          </w:tcPr>
          <w:p w:rsidR="00993583" w:rsidRDefault="00993583" w:rsidP="00993583">
            <w:r>
              <w:t>DC 12V, 5A</w:t>
            </w:r>
          </w:p>
        </w:tc>
        <w:tc>
          <w:tcPr>
            <w:tcW w:w="3021" w:type="dxa"/>
          </w:tcPr>
          <w:p w:rsidR="00993583" w:rsidRDefault="00993583" w:rsidP="00993583">
            <w:r>
              <w:t>1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993583" w:rsidP="00993583">
            <w:r>
              <w:t>Kabel USB</w:t>
            </w:r>
          </w:p>
        </w:tc>
        <w:tc>
          <w:tcPr>
            <w:tcW w:w="3021" w:type="dxa"/>
          </w:tcPr>
          <w:p w:rsidR="00993583" w:rsidRDefault="00993583" w:rsidP="00993583">
            <w:r>
              <w:t>3m</w:t>
            </w:r>
          </w:p>
        </w:tc>
        <w:tc>
          <w:tcPr>
            <w:tcW w:w="3021" w:type="dxa"/>
          </w:tcPr>
          <w:p w:rsidR="00993583" w:rsidRDefault="00993583" w:rsidP="00993583">
            <w:r>
              <w:t>1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993583" w:rsidP="00993583">
            <w:r>
              <w:t xml:space="preserve">ACCUNIQ </w:t>
            </w:r>
            <w:r w:rsidR="00661E37">
              <w:t>Manager – oprogramowanie</w:t>
            </w:r>
          </w:p>
        </w:tc>
        <w:tc>
          <w:tcPr>
            <w:tcW w:w="3021" w:type="dxa"/>
          </w:tcPr>
          <w:p w:rsidR="00993583" w:rsidRDefault="00661E37" w:rsidP="00993583">
            <w:r>
              <w:t>CD / Pendrive</w:t>
            </w:r>
          </w:p>
        </w:tc>
        <w:tc>
          <w:tcPr>
            <w:tcW w:w="3021" w:type="dxa"/>
          </w:tcPr>
          <w:p w:rsidR="00993583" w:rsidRDefault="00661E37" w:rsidP="00993583">
            <w:r>
              <w:t>1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661E37" w:rsidP="00661E37">
            <w:pPr>
              <w:ind w:firstLine="708"/>
            </w:pPr>
            <w:r>
              <w:t>Śruby</w:t>
            </w:r>
          </w:p>
        </w:tc>
        <w:tc>
          <w:tcPr>
            <w:tcW w:w="3021" w:type="dxa"/>
          </w:tcPr>
          <w:p w:rsidR="00993583" w:rsidRDefault="00661E37" w:rsidP="00993583">
            <w:r>
              <w:t>6 x 20mm</w:t>
            </w:r>
          </w:p>
        </w:tc>
        <w:tc>
          <w:tcPr>
            <w:tcW w:w="3021" w:type="dxa"/>
          </w:tcPr>
          <w:p w:rsidR="00993583" w:rsidRDefault="00661E37" w:rsidP="00993583">
            <w:r>
              <w:t>2 szt.</w:t>
            </w:r>
          </w:p>
        </w:tc>
      </w:tr>
      <w:tr w:rsidR="00993583" w:rsidTr="00993583">
        <w:tc>
          <w:tcPr>
            <w:tcW w:w="3020" w:type="dxa"/>
          </w:tcPr>
          <w:p w:rsidR="00993583" w:rsidRDefault="00661E37" w:rsidP="00993583">
            <w:r>
              <w:t>Osłona kolumny</w:t>
            </w:r>
          </w:p>
        </w:tc>
        <w:tc>
          <w:tcPr>
            <w:tcW w:w="3021" w:type="dxa"/>
          </w:tcPr>
          <w:p w:rsidR="00993583" w:rsidRDefault="00993583" w:rsidP="00993583"/>
        </w:tc>
        <w:tc>
          <w:tcPr>
            <w:tcW w:w="3021" w:type="dxa"/>
          </w:tcPr>
          <w:p w:rsidR="00993583" w:rsidRDefault="00661E37" w:rsidP="00993583">
            <w:r>
              <w:t>1 szt.</w:t>
            </w:r>
          </w:p>
        </w:tc>
      </w:tr>
      <w:tr w:rsidR="003E57D7" w:rsidTr="00993583">
        <w:tc>
          <w:tcPr>
            <w:tcW w:w="3020" w:type="dxa"/>
          </w:tcPr>
          <w:p w:rsidR="003E57D7" w:rsidRDefault="003E57D7" w:rsidP="00F25367">
            <w:r>
              <w:t xml:space="preserve">Klucz </w:t>
            </w:r>
            <w:proofErr w:type="spellStart"/>
            <w:r>
              <w:t>imbusowy</w:t>
            </w:r>
            <w:proofErr w:type="spellEnd"/>
          </w:p>
        </w:tc>
        <w:tc>
          <w:tcPr>
            <w:tcW w:w="3021" w:type="dxa"/>
          </w:tcPr>
          <w:p w:rsidR="003E57D7" w:rsidRDefault="003E57D7" w:rsidP="00993583">
            <w:r>
              <w:t>5 mm</w:t>
            </w:r>
          </w:p>
        </w:tc>
        <w:tc>
          <w:tcPr>
            <w:tcW w:w="3021" w:type="dxa"/>
          </w:tcPr>
          <w:p w:rsidR="003E57D7" w:rsidRDefault="003E57D7" w:rsidP="00993583">
            <w:r>
              <w:t>1 szt.</w:t>
            </w:r>
          </w:p>
        </w:tc>
      </w:tr>
    </w:tbl>
    <w:p w:rsidR="00F25367" w:rsidRPr="00F25367" w:rsidRDefault="00F25367" w:rsidP="00993583">
      <w:pPr>
        <w:rPr>
          <w:rFonts w:cstheme="majorHAnsi"/>
          <w:sz w:val="24"/>
          <w:szCs w:val="24"/>
        </w:rPr>
      </w:pPr>
      <w:r w:rsidRPr="00F25367">
        <w:rPr>
          <w:rFonts w:cstheme="majorHAnsi"/>
          <w:sz w:val="24"/>
          <w:szCs w:val="24"/>
        </w:rPr>
        <w:t>*Model lub specyfikację akcesoriów można zmienić w zależności od podaży i popytu rynkowego.</w:t>
      </w:r>
    </w:p>
    <w:p w:rsidR="00993583" w:rsidRDefault="00993583" w:rsidP="00993583"/>
    <w:p w:rsidR="007D19E5" w:rsidRPr="00D5609D" w:rsidRDefault="007D19E5" w:rsidP="007D19E5">
      <w:pPr>
        <w:pStyle w:val="Nagwek1"/>
      </w:pPr>
      <w:bookmarkStart w:id="28" w:name="_Toc109226540"/>
      <w:r w:rsidRPr="00D5609D">
        <w:t>3.2 OPCJE</w:t>
      </w:r>
      <w:bookmarkEnd w:id="28"/>
    </w:p>
    <w:p w:rsidR="007D19E5" w:rsidRPr="00D5609D" w:rsidRDefault="007D19E5" w:rsidP="007D19E5">
      <w:pPr>
        <w:pStyle w:val="Bezodstpw"/>
      </w:pPr>
    </w:p>
    <w:p w:rsidR="00F25367" w:rsidRPr="00D5609D" w:rsidRDefault="007D19E5" w:rsidP="007D19E5">
      <w:pPr>
        <w:pStyle w:val="Nagwek1"/>
      </w:pPr>
      <w:bookmarkStart w:id="29" w:name="_Toc109226541"/>
      <w:r w:rsidRPr="00D5609D">
        <w:lastRenderedPageBreak/>
        <w:t xml:space="preserve">3.2.1 UHM. </w:t>
      </w:r>
      <w:r w:rsidR="00AF415D" w:rsidRPr="00D5609D">
        <w:t>Wzrostomierz ultradźwiękowy</w:t>
      </w:r>
      <w:bookmarkEnd w:id="29"/>
    </w:p>
    <w:p w:rsidR="00993583" w:rsidRPr="00D5609D" w:rsidRDefault="004A7F91" w:rsidP="00993583">
      <w:pPr>
        <w:pStyle w:val="Bezodstpw"/>
        <w:ind w:left="720"/>
      </w:pPr>
      <w:r>
        <w:rPr>
          <w:noProof/>
          <w:lang w:eastAsia="pl-P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736215" cy="6638925"/>
            <wp:effectExtent l="0" t="0" r="6985" b="9525"/>
            <wp:wrapSquare wrapText="bothSides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09D" w:rsidRPr="00D5609D" w:rsidRDefault="00D5609D" w:rsidP="00D5609D">
      <w:pPr>
        <w:pStyle w:val="Bezodstpw"/>
      </w:pPr>
      <w:r>
        <w:t>J</w:t>
      </w:r>
      <w:r w:rsidRPr="00D5609D">
        <w:t>est to przyrząd do dokładniejszego i szybszego pomiaru wzrostu użytkowników. Wykorzystuje metodę określania dystansu za pomocą czujnika ultradźwiękowego. Łączy w sobie technologię sztucznej inteligencji i odbitą charakterystykę Ultradźwiękowej Stacji Pomiaru Wysokości.</w:t>
      </w:r>
    </w:p>
    <w:p w:rsidR="00D5609D" w:rsidRDefault="00D5609D" w:rsidP="00D5609D">
      <w:pPr>
        <w:pStyle w:val="Bezodstpw"/>
      </w:pPr>
      <w:r w:rsidRPr="00D5609D">
        <w:t xml:space="preserve">&lt;Dobra zaleta używania SM103 jako opcji&gt; </w:t>
      </w:r>
    </w:p>
    <w:p w:rsidR="00D5609D" w:rsidRDefault="00D5609D" w:rsidP="00D5609D">
      <w:pPr>
        <w:pStyle w:val="Bezodstpw"/>
      </w:pPr>
      <w:r>
        <w:t xml:space="preserve">1. </w:t>
      </w:r>
      <w:r w:rsidRPr="00D5609D">
        <w:t xml:space="preserve">Automatycznie mierzy wysokość. </w:t>
      </w:r>
    </w:p>
    <w:p w:rsidR="00D5609D" w:rsidRDefault="00D5609D" w:rsidP="00D5609D">
      <w:pPr>
        <w:pStyle w:val="Bezodstpw"/>
      </w:pPr>
      <w:r>
        <w:t xml:space="preserve">2. </w:t>
      </w:r>
      <w:r w:rsidRPr="00D5609D">
        <w:t xml:space="preserve">Szybki pomiar </w:t>
      </w:r>
    </w:p>
    <w:p w:rsidR="00D5609D" w:rsidRDefault="00D5609D" w:rsidP="00D5609D">
      <w:pPr>
        <w:pStyle w:val="Bezodstpw"/>
      </w:pPr>
      <w:r>
        <w:t xml:space="preserve">3. </w:t>
      </w:r>
      <w:r w:rsidRPr="00D5609D">
        <w:t xml:space="preserve">Dokładny pomiar </w:t>
      </w:r>
    </w:p>
    <w:p w:rsidR="00D5609D" w:rsidRPr="00D5609D" w:rsidRDefault="00D5609D" w:rsidP="00D5609D">
      <w:pPr>
        <w:pStyle w:val="Bezodstpw"/>
      </w:pPr>
      <w:r>
        <w:t>4.</w:t>
      </w:r>
      <w:r w:rsidRPr="00D5609D">
        <w:t>Wyświetlacz dołączony do kolumny prowadzi użytkownika do prawidłowego pomiaru wysokości.</w:t>
      </w:r>
    </w:p>
    <w:p w:rsidR="00D5609D" w:rsidRDefault="00D5609D" w:rsidP="00D5609D">
      <w:pPr>
        <w:pStyle w:val="Bezodstpw"/>
      </w:pPr>
      <w:r w:rsidRPr="00D5609D">
        <w:t xml:space="preserve">&lt;W przypadku korzystania z SM103&gt; </w:t>
      </w:r>
      <w:r>
        <w:t>1.</w:t>
      </w:r>
      <w:r w:rsidRPr="00D5609D">
        <w:t xml:space="preserve">Zainstaluj go w miejscu o stabilnej temperaturze. </w:t>
      </w:r>
    </w:p>
    <w:p w:rsidR="00D5609D" w:rsidRDefault="00D5609D" w:rsidP="00D5609D">
      <w:pPr>
        <w:pStyle w:val="Bezodstpw"/>
      </w:pPr>
      <w:r>
        <w:t xml:space="preserve">2. </w:t>
      </w:r>
      <w:r w:rsidRPr="00D5609D">
        <w:t xml:space="preserve">Nie instaluj go w miejscu zwróconym w stronę nagrzewnicy i klimatyzatora. </w:t>
      </w:r>
    </w:p>
    <w:p w:rsidR="00D5609D" w:rsidRDefault="00D5609D" w:rsidP="00D5609D">
      <w:pPr>
        <w:pStyle w:val="Bezodstpw"/>
      </w:pPr>
      <w:r>
        <w:t xml:space="preserve">3. </w:t>
      </w:r>
      <w:r w:rsidRPr="00D5609D">
        <w:t xml:space="preserve">Nie umieszczaj naklejek ani obcych przedmiotów na korpusie SM103. </w:t>
      </w:r>
    </w:p>
    <w:p w:rsidR="00D5609D" w:rsidRDefault="00D5609D" w:rsidP="00D5609D">
      <w:pPr>
        <w:pStyle w:val="Bezodstpw"/>
      </w:pPr>
      <w:r>
        <w:t xml:space="preserve">4. </w:t>
      </w:r>
      <w:r w:rsidRPr="00D5609D">
        <w:t>Nic nie powinno znajdować się w promieniu 60 cm</w:t>
      </w:r>
      <w:r w:rsidR="004A7F91">
        <w:t>.</w:t>
      </w: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D5609D">
      <w:pPr>
        <w:pStyle w:val="Bezodstpw"/>
      </w:pPr>
    </w:p>
    <w:p w:rsidR="004A7F91" w:rsidRDefault="004A7F91" w:rsidP="004A7F91">
      <w:pPr>
        <w:pStyle w:val="Bezodstpw"/>
      </w:pPr>
      <w:r w:rsidRPr="00D354CB">
        <w:rPr>
          <w:noProof/>
          <w:lang w:eastAsia="pl-PL"/>
        </w:rPr>
        <w:drawing>
          <wp:anchor distT="0" distB="0" distL="114300" distR="114300" simplePos="0" relativeHeight="251716608" behindDoc="1" locked="0" layoutInCell="1" allowOverlap="1" wp14:anchorId="40893BF2" wp14:editId="6BCD8ED9">
            <wp:simplePos x="0" y="0"/>
            <wp:positionH relativeFrom="margin">
              <wp:posOffset>0</wp:posOffset>
            </wp:positionH>
            <wp:positionV relativeFrom="paragraph">
              <wp:posOffset>93345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7F91">
        <w:t>Wysokość mierzona rano jest nawet średnio 1~2cm wyższa niż wieczorem, ponieważ chrząstka kręgosłupa jest maksymalnie dociskana wieczorem pod własnym ciężarem.</w:t>
      </w:r>
    </w:p>
    <w:p w:rsidR="004A7F91" w:rsidRDefault="004A7F91" w:rsidP="004A7F91">
      <w:pPr>
        <w:pStyle w:val="Bezodstpw"/>
      </w:pPr>
    </w:p>
    <w:p w:rsidR="004A7F91" w:rsidRPr="004A7F91" w:rsidRDefault="004A7F91" w:rsidP="004A7F91">
      <w:pPr>
        <w:pStyle w:val="Bezodstpw"/>
      </w:pPr>
      <w:r w:rsidRPr="004A7F91">
        <w:t>*</w:t>
      </w:r>
      <w:r>
        <w:t xml:space="preserve"> </w:t>
      </w:r>
      <w:r w:rsidRPr="004A7F91">
        <w:t>Model lub specyfikację akcesoriów można zmienić w zależności od podaży i popytu rynkowego.</w:t>
      </w:r>
    </w:p>
    <w:p w:rsidR="009B7291" w:rsidRPr="009B7291" w:rsidRDefault="009B7291" w:rsidP="009B7291">
      <w:pPr>
        <w:pStyle w:val="Nagwek1"/>
      </w:pPr>
      <w:bookmarkStart w:id="30" w:name="_Toc109226542"/>
      <w:r w:rsidRPr="009B7291">
        <w:lastRenderedPageBreak/>
        <w:t>3.2.2 Arkusz wyników dla części segmentowych i dzieci</w:t>
      </w:r>
      <w:bookmarkEnd w:id="30"/>
    </w:p>
    <w:p w:rsidR="004A7F91" w:rsidRDefault="009B7291" w:rsidP="009B7291">
      <w:pPr>
        <w:pStyle w:val="Bezodstpw"/>
      </w:pPr>
      <w:r>
        <w:rPr>
          <w:noProof/>
          <w:lang w:eastAsia="pl-PL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1400000" cy="1152381"/>
            <wp:effectExtent l="0" t="0" r="0" b="0"/>
            <wp:wrapSquare wrapText="bothSides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7291">
        <w:t>Pokazuje wyniki segmentowe i krzywą wzrostu dzieci, aby użytkownicy mogli łatwo zrozumieć stan 5 części ciała i stan wzrostu dzieci.</w:t>
      </w:r>
    </w:p>
    <w:p w:rsidR="009B7291" w:rsidRDefault="009B7291" w:rsidP="009B7291">
      <w:pPr>
        <w:pStyle w:val="Bezodstpw"/>
      </w:pPr>
    </w:p>
    <w:p w:rsidR="009B7291" w:rsidRDefault="009B7291" w:rsidP="009B7291">
      <w:pPr>
        <w:pStyle w:val="Bezodstpw"/>
      </w:pPr>
    </w:p>
    <w:p w:rsidR="009B7291" w:rsidRDefault="009B7291" w:rsidP="009B7291">
      <w:pPr>
        <w:pStyle w:val="Bezodstpw"/>
      </w:pPr>
    </w:p>
    <w:p w:rsidR="009B7291" w:rsidRDefault="009B7291" w:rsidP="009B7291">
      <w:pPr>
        <w:pStyle w:val="Bezodstpw"/>
      </w:pPr>
    </w:p>
    <w:p w:rsidR="004C0AE6" w:rsidRDefault="004C0AE6" w:rsidP="004C0AE6">
      <w:pPr>
        <w:pStyle w:val="Nagwek1"/>
      </w:pPr>
      <w:bookmarkStart w:id="31" w:name="_Toc109226543"/>
      <w:r>
        <w:t>3.2.3 Automatyczny ciśnieniomierz</w:t>
      </w:r>
      <w:bookmarkEnd w:id="31"/>
    </w:p>
    <w:p w:rsidR="009B7291" w:rsidRDefault="004C0AE6" w:rsidP="004C0AE6">
      <w:pPr>
        <w:pStyle w:val="Bezodstpw"/>
      </w:pPr>
      <w:r>
        <w:rPr>
          <w:noProof/>
          <w:lang w:eastAsia="pl-PL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914286" cy="1561905"/>
            <wp:effectExtent l="0" t="0" r="0" b="635"/>
            <wp:wrapSquare wrapText="bothSides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Jeśli automatyczny ciśnieniomierz SELVAS dla szpitala jest podłączony do tego urządzenia, mierniczy może z łatwością sprawdzić swoje ciśnienie krwi. Zwłaszcza pacjent z nadciśnieniem może być w stanie lepiej kontrolować swoje ciśnienie krwi poprzez kontrolę wagi.</w:t>
      </w:r>
    </w:p>
    <w:p w:rsidR="004C0AE6" w:rsidRDefault="004C0AE6" w:rsidP="004C0AE6">
      <w:pPr>
        <w:pStyle w:val="Bezodstpw"/>
      </w:pPr>
    </w:p>
    <w:p w:rsidR="004C0AE6" w:rsidRDefault="004C0AE6" w:rsidP="004C0AE6">
      <w:pPr>
        <w:pStyle w:val="Bezodstpw"/>
      </w:pPr>
    </w:p>
    <w:p w:rsidR="004C0AE6" w:rsidRDefault="004C0AE6" w:rsidP="004C0AE6">
      <w:pPr>
        <w:pStyle w:val="Bezodstpw"/>
      </w:pPr>
    </w:p>
    <w:p w:rsidR="004C0AE6" w:rsidRDefault="004C0AE6" w:rsidP="004C0AE6">
      <w:pPr>
        <w:pStyle w:val="Bezodstpw"/>
      </w:pPr>
    </w:p>
    <w:p w:rsidR="004C0AE6" w:rsidRDefault="004C0AE6" w:rsidP="004C0AE6">
      <w:pPr>
        <w:pStyle w:val="Nagwek1"/>
      </w:pPr>
      <w:bookmarkStart w:id="32" w:name="_Toc109226544"/>
      <w:r>
        <w:t>3.2.4 Klucz Wi-Fi</w:t>
      </w:r>
      <w:bookmarkEnd w:id="32"/>
    </w:p>
    <w:p w:rsidR="004C0AE6" w:rsidRPr="009B7291" w:rsidRDefault="004C0AE6" w:rsidP="004C0AE6">
      <w:pPr>
        <w:pStyle w:val="Bezodstpw"/>
        <w:ind w:left="708"/>
      </w:pPr>
      <w:r>
        <w:rPr>
          <w:noProof/>
          <w:lang w:eastAsia="pl-P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52070</wp:posOffset>
            </wp:positionV>
            <wp:extent cx="1180952" cy="1238095"/>
            <wp:effectExtent l="0" t="0" r="635" b="635"/>
            <wp:wrapSquare wrapText="bothSides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Klucz </w:t>
      </w:r>
      <w:proofErr w:type="spellStart"/>
      <w:r>
        <w:t>WiFi</w:t>
      </w:r>
      <w:proofErr w:type="spellEnd"/>
      <w:r>
        <w:t xml:space="preserve"> to kieszonkowe urządzenie, które łączy się z Twoim urządzeniem i umożliwia dostęp do Internetu.</w:t>
      </w:r>
    </w:p>
    <w:sectPr w:rsidR="004C0AE6" w:rsidRPr="009B7291">
      <w:head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21" w:rsidRDefault="00C61F21" w:rsidP="003502AA">
      <w:pPr>
        <w:spacing w:after="0" w:line="240" w:lineRule="auto"/>
      </w:pPr>
      <w:r>
        <w:separator/>
      </w:r>
    </w:p>
  </w:endnote>
  <w:endnote w:type="continuationSeparator" w:id="0">
    <w:p w:rsidR="00C61F21" w:rsidRDefault="00C61F21" w:rsidP="0035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21" w:rsidRDefault="00C61F21" w:rsidP="003502AA">
      <w:pPr>
        <w:spacing w:after="0" w:line="240" w:lineRule="auto"/>
      </w:pPr>
      <w:r>
        <w:separator/>
      </w:r>
    </w:p>
  </w:footnote>
  <w:footnote w:type="continuationSeparator" w:id="0">
    <w:p w:rsidR="00C61F21" w:rsidRDefault="00C61F21" w:rsidP="00350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AA" w:rsidRDefault="003502AA" w:rsidP="003502AA"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DB7FFB6" wp14:editId="46D9CC66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3000000" cy="609524"/>
          <wp:effectExtent l="0" t="0" r="0" b="635"/>
          <wp:wrapSquare wrapText="bothSides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000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502AA" w:rsidRDefault="003502AA" w:rsidP="003502AA">
    <w:pPr>
      <w:pBdr>
        <w:bottom w:val="single" w:sz="6" w:space="1" w:color="auto"/>
      </w:pBdr>
    </w:pPr>
    <w:r>
      <w:t>BC720 POLSKA WERSJA INSTRUKCJI OBSŁUGI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7298"/>
    <w:multiLevelType w:val="hybridMultilevel"/>
    <w:tmpl w:val="1222FE5E"/>
    <w:lvl w:ilvl="0" w:tplc="4A203D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2DC"/>
    <w:multiLevelType w:val="hybridMultilevel"/>
    <w:tmpl w:val="14FED14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40FA"/>
    <w:multiLevelType w:val="multilevel"/>
    <w:tmpl w:val="60866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2137A6"/>
    <w:multiLevelType w:val="hybridMultilevel"/>
    <w:tmpl w:val="39D85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0011E"/>
    <w:multiLevelType w:val="multilevel"/>
    <w:tmpl w:val="60866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7611C3"/>
    <w:multiLevelType w:val="hybridMultilevel"/>
    <w:tmpl w:val="40FA116E"/>
    <w:lvl w:ilvl="0" w:tplc="0A3862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09"/>
    <w:rsid w:val="00156B31"/>
    <w:rsid w:val="001B1748"/>
    <w:rsid w:val="001C62B9"/>
    <w:rsid w:val="002363DF"/>
    <w:rsid w:val="003502AA"/>
    <w:rsid w:val="003B715D"/>
    <w:rsid w:val="003C0708"/>
    <w:rsid w:val="003E57D7"/>
    <w:rsid w:val="00494522"/>
    <w:rsid w:val="004A7F91"/>
    <w:rsid w:val="004C0AE6"/>
    <w:rsid w:val="004F1211"/>
    <w:rsid w:val="004F6D80"/>
    <w:rsid w:val="005802DD"/>
    <w:rsid w:val="00661E37"/>
    <w:rsid w:val="00794AEF"/>
    <w:rsid w:val="007A06BD"/>
    <w:rsid w:val="007D19E5"/>
    <w:rsid w:val="007D2BE0"/>
    <w:rsid w:val="0084246C"/>
    <w:rsid w:val="00912C78"/>
    <w:rsid w:val="00993583"/>
    <w:rsid w:val="009B7291"/>
    <w:rsid w:val="00A670BA"/>
    <w:rsid w:val="00AF415D"/>
    <w:rsid w:val="00B400C3"/>
    <w:rsid w:val="00B9717C"/>
    <w:rsid w:val="00C152E1"/>
    <w:rsid w:val="00C4444D"/>
    <w:rsid w:val="00C4705B"/>
    <w:rsid w:val="00C53B4A"/>
    <w:rsid w:val="00C61F21"/>
    <w:rsid w:val="00D5609D"/>
    <w:rsid w:val="00D7207F"/>
    <w:rsid w:val="00D7666C"/>
    <w:rsid w:val="00E521A3"/>
    <w:rsid w:val="00F13405"/>
    <w:rsid w:val="00F1356B"/>
    <w:rsid w:val="00F25367"/>
    <w:rsid w:val="00F96EA1"/>
    <w:rsid w:val="00FC4D23"/>
    <w:rsid w:val="00FE2B7F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8D72A-0A5E-495A-AA44-58831EF1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400C3"/>
    <w:pPr>
      <w:spacing w:after="160"/>
    </w:pPr>
    <w:rPr>
      <w:rFonts w:asciiTheme="majorHAnsi" w:hAnsiTheme="majorHAns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2C7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C7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50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02AA"/>
  </w:style>
  <w:style w:type="paragraph" w:styleId="Stopka">
    <w:name w:val="footer"/>
    <w:basedOn w:val="Normalny"/>
    <w:link w:val="StopkaZnak"/>
    <w:uiPriority w:val="99"/>
    <w:unhideWhenUsed/>
    <w:rsid w:val="00350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02AA"/>
  </w:style>
  <w:style w:type="paragraph" w:customStyle="1" w:styleId="Default">
    <w:name w:val="Default"/>
    <w:rsid w:val="003502AA"/>
    <w:pPr>
      <w:autoSpaceDE w:val="0"/>
      <w:autoSpaceDN w:val="0"/>
      <w:adjustRightInd w:val="0"/>
      <w:spacing w:line="240" w:lineRule="auto"/>
    </w:pPr>
    <w:rPr>
      <w:rFonts w:ascii="Malgun Gothic" w:eastAsia="Malgun Gothic" w:cs="Malgun Gothic"/>
      <w:color w:val="000000"/>
      <w:sz w:val="24"/>
      <w:szCs w:val="24"/>
    </w:rPr>
  </w:style>
  <w:style w:type="paragraph" w:styleId="Bezodstpw">
    <w:name w:val="No Spacing"/>
    <w:uiPriority w:val="1"/>
    <w:qFormat/>
    <w:rsid w:val="00B400C3"/>
    <w:pPr>
      <w:spacing w:line="240" w:lineRule="auto"/>
    </w:pPr>
    <w:rPr>
      <w:rFonts w:asciiTheme="majorHAnsi" w:hAnsiTheme="majorHAnsi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912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2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2C78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12C7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12C78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912C78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12C78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table" w:styleId="Tabela-Siatka">
    <w:name w:val="Table Grid"/>
    <w:basedOn w:val="Standardowy"/>
    <w:uiPriority w:val="39"/>
    <w:rsid w:val="002363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C0708"/>
    <w:rPr>
      <w:color w:val="808080"/>
    </w:rPr>
  </w:style>
  <w:style w:type="paragraph" w:styleId="Akapitzlist">
    <w:name w:val="List Paragraph"/>
    <w:basedOn w:val="Normalny"/>
    <w:uiPriority w:val="34"/>
    <w:qFormat/>
    <w:rsid w:val="0099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2"/>
    <w:rsid w:val="000002F1"/>
    <w:rsid w:val="007C1322"/>
    <w:rsid w:val="00E82503"/>
    <w:rsid w:val="00E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F84625B0A3E4F17B1F6A67F41DAD3EA">
    <w:name w:val="BF84625B0A3E4F17B1F6A67F41DAD3EA"/>
    <w:rsid w:val="007C1322"/>
  </w:style>
  <w:style w:type="paragraph" w:customStyle="1" w:styleId="A89EDC2206DB491C8F9DA2F1637ABB65">
    <w:name w:val="A89EDC2206DB491C8F9DA2F1637ABB65"/>
    <w:rsid w:val="007C1322"/>
  </w:style>
  <w:style w:type="paragraph" w:customStyle="1" w:styleId="87F02153C3E74860B6062A2FDD67D449">
    <w:name w:val="87F02153C3E74860B6062A2FDD67D449"/>
    <w:rsid w:val="007C1322"/>
  </w:style>
  <w:style w:type="character" w:styleId="Tekstzastpczy">
    <w:name w:val="Placeholder Text"/>
    <w:basedOn w:val="Domylnaczcionkaakapitu"/>
    <w:uiPriority w:val="99"/>
    <w:semiHidden/>
    <w:rsid w:val="00EA1E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C74A-6F38-48CA-852F-E2EA3E28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3804</Words>
  <Characters>22828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27</cp:revision>
  <dcterms:created xsi:type="dcterms:W3CDTF">2022-07-19T13:10:00Z</dcterms:created>
  <dcterms:modified xsi:type="dcterms:W3CDTF">2022-07-20T14:22:00Z</dcterms:modified>
</cp:coreProperties>
</file>