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b/>
          <w:bCs/>
          <w:color w:val="1F3864"/>
          <w:sz w:val="60"/>
          <w:szCs w:val="60"/>
        </w:rPr>
        <w:t xml:space="preserve">SVAKARMA</w:t>
      </w:r>
    </w:p>
    <w:p>
      <w:pPr>
        <w:pStyle w:val="Title"/>
      </w:pPr>
      <w:r>
        <w:t xml:space="preserve">Remediation Roadmap</w:t>
      </w:r>
    </w:p>
    <w:p>
      <w:pPr>
        <w:spacing w:after="80"/>
      </w:pPr>
      <w:r>
        <w:rPr>
          <w:i/>
          <w:iCs/>
          <w:color w:val="595959"/>
          <w:sz w:val="26"/>
          <w:szCs w:val="26"/>
        </w:rPr>
        <w:t xml:space="preserve">From mid-stage MVP to production-ready, fundable product</w:t>
      </w:r>
    </w:p>
    <w:p>
      <w:pPr>
        <w:pBdr>
          <w:bottom w:val="single" w:color="2E75B6" w:sz="6" w:space="6"/>
        </w:pBdr>
        <w:spacing w:before="400"/>
      </w:pPr>
    </w:p>
    <w:p>
      <w:pPr>
        <w:spacing w:before="200"/>
      </w:pPr>
      <w:r>
        <w:rPr>
          <w:sz w:val="22"/>
          <w:szCs w:val="22"/>
        </w:rPr>
        <w:t xml:space="preserve">Prepared for: Svakarma engineering &amp; leadership</w:t>
      </w:r>
    </w:p>
    <w:p>
      <w:r>
        <w:rPr>
          <w:sz w:val="22"/>
          <w:szCs w:val="22"/>
        </w:rPr>
        <w:t xml:space="preserve">Date: June 11, 2026</w:t>
      </w:r>
    </w:p>
    <w:p>
      <w:r>
        <w:rPr>
          <w:sz w:val="22"/>
          <w:szCs w:val="22"/>
        </w:rPr>
        <w:t xml:space="preserve">Scope: Sequenced fix plan derived from the Developer &amp; Business Review + a direct audit of the codebase</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How to read this roadmap</w:t>
      </w:r>
    </w:p>
    <w:p>
      <w:pPr>
        <w:spacing w:after="120"/>
      </w:pPr>
      <w:r>
        <w:t xml:space="preserve">This document turns “fix everything” into an ordered plan. Every item here maps to a concrete gap we confirmed in the code, not just the review narrative. The work splits into five phases that run on two tracks in parallel: an engineering track (Phases 0–3) and a business track (Phase 4) that the founders drive at the same time.</w:t>
      </w:r>
    </w:p>
    <w:p>
      <w:pPr>
        <w:spacing w:after="120"/>
      </w:pPr>
      <w:r>
        <w:t xml:space="preserve">The companion spreadsheet, Svakarma_Remediation_Backlog.xlsx, holds all 34 items as filterable tickets with acceptance criteria, dependencies, and the exact file or finding each one addresses. Use this document to understand sequence and rationale; use the spreadsheet to assign and track work.</w:t>
      </w:r>
    </w:p>
    <w:p>
      <w:pPr>
        <w:spacing w:after="120"/>
      </w:pPr>
      <w:r>
        <w:rPr>
          <w:b/>
          <w:bCs/>
        </w:rPr>
        <w:t xml:space="preserve">Priority key: </w:t>
      </w:r>
      <w:r>
        <w:rPr>
          <w:b/>
          <w:bCs/>
          <w:color w:val="C00000"/>
        </w:rPr>
        <w:t xml:space="preserve">P0 </w:t>
      </w:r>
      <w:r>
        <w:t xml:space="preserve">blocker / security or launch-critical  •  </w:t>
      </w:r>
      <w:r>
        <w:rPr>
          <w:b/>
          <w:bCs/>
          <w:color w:val="ED7D31"/>
        </w:rPr>
        <w:t xml:space="preserve">P1 </w:t>
      </w:r>
      <w:r>
        <w:t xml:space="preserve">needed for a real production MVP  •  </w:t>
      </w:r>
      <w:r>
        <w:rPr>
          <w:b/>
          <w:bCs/>
          <w:color w:val="BF8F00"/>
        </w:rPr>
        <w:t xml:space="preserve">P2 </w:t>
      </w:r>
      <w:r>
        <w:t xml:space="preserve">quality &amp; scale prep  •  </w:t>
      </w:r>
      <w:r>
        <w:rPr>
          <w:b/>
          <w:bCs/>
          <w:color w:val="548235"/>
        </w:rPr>
        <w:t xml:space="preserve">P3 </w:t>
      </w:r>
      <w:r>
        <w:t xml:space="preserve">post-PMF nice-to-have.</w:t>
      </w:r>
    </w:p>
    <w:p>
      <w:pPr>
        <w:pStyle w:val="Heading2"/>
      </w:pPr>
      <w:r>
        <w:t xml:space="preserve">The honest bottom line</w:t>
      </w:r>
    </w:p>
    <w:p>
      <w:pPr>
        <w:spacing w:after="120"/>
      </w:pPr>
      <w:r>
        <w:t xml:space="preserve">The architecture is sound and the schema is genuinely good. What blocks launch is not rewriting — it is (1) a handful of real security holes, (2) replacing mocked integrations (OTP, CIBIL, payments) with live services, and (3) the single biggest unknown, which is not technical at all: who provides the loan capital. Engineering can reach a production-ready MVP in roughly 8–12 weeks with 2–3 engineers. The business cannot launch lending — at any code quality — until the capital partner and the regulatory posture are settled. Those two run first, in parallel, starting now.</w:t>
      </w:r>
    </w:p>
    <w:p>
      <w:pPr>
        <w:pStyle w:val="Heading2"/>
      </w:pPr>
      <w:r>
        <w:t xml:space="preserve">Effort &amp; timeline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4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b/>
                <w:bCs/>
                <w:color w:val="FFFFFF"/>
                <w:sz w:val="18"/>
                <w:szCs w:val="18"/>
              </w:rPr>
              <w:t xml:space="preserve">Phase</w:t>
            </w:r>
          </w:p>
        </w:tc>
        <w:tc>
          <w:tcPr>
            <w:tcW w:type="dxa" w:w="19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b/>
                <w:bCs/>
                <w:color w:val="FFFFFF"/>
                <w:sz w:val="18"/>
                <w:szCs w:val="18"/>
              </w:rPr>
              <w:t xml:space="preserve">Window</w:t>
            </w:r>
          </w:p>
        </w:tc>
        <w:tc>
          <w:tcPr>
            <w:tcW w:type="dxa" w:w="446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b/>
                <w:bCs/>
                <w:color w:val="FFFFFF"/>
                <w:sz w:val="18"/>
                <w:szCs w:val="18"/>
              </w:rPr>
              <w:t xml:space="preserve">Effort &amp; contents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000000"/>
                <w:sz w:val="18"/>
                <w:szCs w:val="18"/>
              </w:rPr>
              <w:t xml:space="preserve">Phase 0 — Security hardening</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b w:val="false"/>
                <w:bCs w:val="false"/>
                <w:color w:val="000000"/>
                <w:sz w:val="18"/>
                <w:szCs w:val="18"/>
              </w:rPr>
              <w:t xml:space="preserve">~1 week</w:t>
            </w:r>
          </w:p>
        </w:tc>
        <w:tc>
          <w:tcPr>
            <w:tcW w:type="dxa" w:w="44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000000"/>
                <w:sz w:val="18"/>
                <w:szCs w:val="18"/>
              </w:rPr>
              <w:t xml:space="preserve">10 eng-days — 7 P0 fixes, no external accounts</w:t>
            </w:r>
          </w:p>
        </w:tc>
      </w:tr>
      <w:tr>
        <w:tc>
          <w:tcPr>
            <w:tcW w:type="dxa" w:w="30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b/>
                <w:bCs/>
                <w:color w:val="000000"/>
                <w:sz w:val="18"/>
                <w:szCs w:val="18"/>
              </w:rPr>
              <w:t xml:space="preserve">Phase 1 — Core integrations</w:t>
            </w:r>
          </w:p>
        </w:tc>
        <w:tc>
          <w:tcPr>
            <w:tcW w:type="dxa" w:w="19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pPr>
              <w:jc w:val="center"/>
            </w:pPr>
            <w:r>
              <w:rPr>
                <w:b w:val="false"/>
                <w:bCs w:val="false"/>
                <w:color w:val="000000"/>
                <w:sz w:val="18"/>
                <w:szCs w:val="18"/>
              </w:rPr>
              <w:t xml:space="preserve">Weeks 2–5</w:t>
            </w:r>
          </w:p>
        </w:tc>
        <w:tc>
          <w:tcPr>
            <w:tcW w:type="dxa" w:w="446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b w:val="false"/>
                <w:bCs w:val="false"/>
                <w:color w:val="000000"/>
                <w:sz w:val="18"/>
                <w:szCs w:val="18"/>
              </w:rPr>
              <w:t xml:space="preserve">30 eng-days — OTP, CIBIL, payments, storage, underwriting</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000000"/>
                <w:sz w:val="18"/>
                <w:szCs w:val="18"/>
              </w:rPr>
              <w:t xml:space="preserve">Phase 2 — Code quality &amp; data</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b w:val="false"/>
                <w:bCs w:val="false"/>
                <w:color w:val="000000"/>
                <w:sz w:val="18"/>
                <w:szCs w:val="18"/>
              </w:rPr>
              <w:t xml:space="preserve">Weeks 2–5</w:t>
            </w:r>
          </w:p>
        </w:tc>
        <w:tc>
          <w:tcPr>
            <w:tcW w:type="dxa" w:w="44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000000"/>
                <w:sz w:val="18"/>
                <w:szCs w:val="18"/>
              </w:rPr>
              <w:t xml:space="preserve">16.5 eng-days — runs parallel to Phase 1</w:t>
            </w:r>
          </w:p>
        </w:tc>
      </w:tr>
      <w:tr>
        <w:tc>
          <w:tcPr>
            <w:tcW w:type="dxa" w:w="30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b/>
                <w:bCs/>
                <w:color w:val="000000"/>
                <w:sz w:val="18"/>
                <w:szCs w:val="18"/>
              </w:rPr>
              <w:t xml:space="preserve">Phase 3 — Testing &amp; DevOps</w:t>
            </w:r>
          </w:p>
        </w:tc>
        <w:tc>
          <w:tcPr>
            <w:tcW w:type="dxa" w:w="19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pPr>
              <w:jc w:val="center"/>
            </w:pPr>
            <w:r>
              <w:rPr>
                <w:b w:val="false"/>
                <w:bCs w:val="false"/>
                <w:color w:val="000000"/>
                <w:sz w:val="18"/>
                <w:szCs w:val="18"/>
              </w:rPr>
              <w:t xml:space="preserve">Weeks 3–6</w:t>
            </w:r>
          </w:p>
        </w:tc>
        <w:tc>
          <w:tcPr>
            <w:tcW w:type="dxa" w:w="446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b w:val="false"/>
                <w:bCs w:val="false"/>
                <w:color w:val="000000"/>
                <w:sz w:val="18"/>
                <w:szCs w:val="18"/>
              </w:rPr>
              <w:t xml:space="preserve">17 eng-days — tests, Docker, CI/CD, monitoring</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000000"/>
                <w:sz w:val="18"/>
                <w:szCs w:val="18"/>
              </w:rPr>
              <w:t xml:space="preserve">Phase 4 — Business (founder-led)</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b w:val="false"/>
                <w:bCs w:val="false"/>
                <w:color w:val="000000"/>
                <w:sz w:val="18"/>
                <w:szCs w:val="18"/>
              </w:rPr>
              <w:t xml:space="preserve">From Week 1, parallel</w:t>
            </w:r>
          </w:p>
        </w:tc>
        <w:tc>
          <w:tcPr>
            <w:tcW w:type="dxa" w:w="44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000000"/>
                <w:sz w:val="18"/>
                <w:szCs w:val="18"/>
              </w:rPr>
              <w:t xml:space="preserve">Capital partner &amp; legal are P0, longest lead time</w:t>
            </w:r>
          </w:p>
        </w:tc>
      </w:tr>
    </w:tbl>
    <w:p>
      <w:pPr>
        <w:spacing w:after="120"/>
      </w:pPr>
      <w:r>
        <w:t xml:space="preserve"/>
      </w:r>
    </w:p>
    <w:p>
      <w:r>
        <w:br w:type="page"/>
      </w:r>
    </w:p>
    <w:p>
      <w:pPr>
        <w:pStyle w:val="Heading1"/>
      </w:pPr>
      <w:r>
        <w:t xml:space="preserve">Phase 0 — Security hardening (Week 1)</w:t>
      </w:r>
    </w:p>
    <w:p>
      <w:pPr>
        <w:spacing w:after="120"/>
      </w:pPr>
      <w:r>
        <w:rPr>
          <w:i/>
          <w:iCs/>
          <w:color w:val="595959"/>
        </w:rPr>
        <w:t xml:space="preserve">These are fixes we can ship immediately with no external accounts. They close holes that exist in the code today and they are cheap. Do them first; nothing else should go to a real user until they are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900"/>
        <w:gridCol w:w="1100"/>
        <w:gridCol w:w="22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b/>
                <w:bCs/>
                <w:color w:val="FFFFFF"/>
                <w:sz w:val="18"/>
                <w:szCs w:val="18"/>
              </w:rPr>
              <w:t xml:space="preserve">ID</w:t>
            </w:r>
          </w:p>
        </w:tc>
        <w:tc>
          <w:tcPr>
            <w:tcW w:type="dxa" w:w="42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b/>
                <w:bCs/>
                <w:color w:val="FFFFFF"/>
                <w:sz w:val="18"/>
                <w:szCs w:val="18"/>
              </w:rPr>
              <w:t xml:space="preserve">Fix</w:t>
            </w:r>
          </w:p>
        </w:tc>
        <w:tc>
          <w:tcPr>
            <w:tcW w:type="dxa" w:w="9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b/>
                <w:bCs/>
                <w:color w:val="FFFFFF"/>
                <w:sz w:val="18"/>
                <w:szCs w:val="18"/>
              </w:rPr>
              <w:t xml:space="preserve">Pri</w:t>
            </w:r>
          </w:p>
        </w:tc>
        <w:tc>
          <w:tcPr>
            <w:tcW w:type="dxa" w:w="11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b/>
                <w:bCs/>
                <w:color w:val="FFFFFF"/>
                <w:sz w:val="18"/>
                <w:szCs w:val="18"/>
              </w:rPr>
              <w:t xml:space="preserve">Days</w:t>
            </w:r>
          </w:p>
        </w:tc>
        <w:tc>
          <w:tcPr>
            <w:tcW w:type="dxa" w:w="226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b/>
                <w:bCs/>
                <w:color w:val="FFFFFF"/>
                <w:sz w:val="18"/>
                <w:szCs w:val="18"/>
              </w:rPr>
              <w:t xml:space="preserve">Owner</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000000"/>
                <w:sz w:val="18"/>
                <w:szCs w:val="18"/>
              </w:rPr>
              <w:t xml:space="preserve">SEC-1</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000000"/>
                <w:sz w:val="18"/>
                <w:szCs w:val="18"/>
              </w:rPr>
              <w:t xml:space="preserve">Remove hardcoded JWT fallback secret; collapse the two duplicate auth middlewares into one</w:t>
            </w:r>
          </w:p>
        </w:tc>
        <w:tc>
          <w:tcPr>
            <w:tcW w:type="dxa" w:w="900"/>
            <w:tcBorders>
              <w:top w:val="single" w:color="CCCCCC" w:sz="1"/>
              <w:left w:val="single" w:color="CCCCCC" w:sz="1"/>
              <w:bottom w:val="single" w:color="CCCCCC" w:sz="1"/>
              <w:right w:val="single" w:color="CCCCCC" w:sz="1"/>
            </w:tcBorders>
            <w:shd w:fill="C00000" w:val="clear"/>
            <w:tcMar>
              <w:top w:type="dxa" w:w="60"/>
              <w:left w:type="dxa" w:w="120"/>
              <w:bottom w:type="dxa" w:w="60"/>
              <w:right w:type="dxa" w:w="120"/>
            </w:tcMar>
          </w:tcPr>
          <w:p>
            <w:pPr>
              <w:jc w:val="center"/>
            </w:pPr>
            <w:r>
              <w:rPr>
                <w:b/>
                <w:bCs/>
                <w:color w:val="FFFFFF"/>
                <w:sz w:val="18"/>
                <w:szCs w:val="18"/>
              </w:rPr>
              <w:t xml:space="preserve">P0</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b w:val="false"/>
                <w:bCs w:val="false"/>
                <w:color w:val="000000"/>
                <w:sz w:val="18"/>
                <w:szCs w:val="18"/>
              </w:rPr>
              <w:t xml:space="preserve">2</w:t>
            </w:r>
          </w:p>
        </w:tc>
        <w:tc>
          <w:tcPr>
            <w:tcW w:type="dxa" w:w="2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000000"/>
                <w:sz w:val="18"/>
                <w:szCs w:val="18"/>
              </w:rPr>
              <w:t xml:space="preserve">Backend Eng</w:t>
            </w:r>
          </w:p>
        </w:tc>
      </w:tr>
      <w:tr>
        <w:tc>
          <w:tcPr>
            <w:tcW w:type="dxa" w:w="9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b/>
                <w:bCs/>
                <w:color w:val="000000"/>
                <w:sz w:val="18"/>
                <w:szCs w:val="18"/>
              </w:rPr>
              <w:t xml:space="preserve">SEC-2</w:t>
            </w:r>
          </w:p>
        </w:tc>
        <w:tc>
          <w:tcPr>
            <w:tcW w:type="dxa" w:w="42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b w:val="false"/>
                <w:bCs w:val="false"/>
                <w:color w:val="000000"/>
                <w:sz w:val="18"/>
                <w:szCs w:val="18"/>
              </w:rPr>
              <w:t xml:space="preserve">Add rate limiting on /auth/send-otp, verify-otp, and a global API limiter</w:t>
            </w:r>
          </w:p>
        </w:tc>
        <w:tc>
          <w:tcPr>
            <w:tcW w:type="dxa" w:w="900"/>
            <w:tcBorders>
              <w:top w:val="single" w:color="CCCCCC" w:sz="1"/>
              <w:left w:val="single" w:color="CCCCCC" w:sz="1"/>
              <w:bottom w:val="single" w:color="CCCCCC" w:sz="1"/>
              <w:right w:val="single" w:color="CCCCCC" w:sz="1"/>
            </w:tcBorders>
            <w:shd w:fill="C00000" w:val="clear"/>
            <w:tcMar>
              <w:top w:type="dxa" w:w="60"/>
              <w:left w:type="dxa" w:w="120"/>
              <w:bottom w:type="dxa" w:w="60"/>
              <w:right w:type="dxa" w:w="120"/>
            </w:tcMar>
          </w:tcPr>
          <w:p>
            <w:pPr>
              <w:jc w:val="center"/>
            </w:pPr>
            <w:r>
              <w:rPr>
                <w:b/>
                <w:bCs/>
                <w:color w:val="FFFFFF"/>
                <w:sz w:val="18"/>
                <w:szCs w:val="18"/>
              </w:rPr>
              <w:t xml:space="preserve">P0</w:t>
            </w:r>
          </w:p>
        </w:tc>
        <w:tc>
          <w:tcPr>
            <w:tcW w:type="dxa" w:w="11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pPr>
              <w:jc w:val="center"/>
            </w:pPr>
            <w:r>
              <w:rPr>
                <w:b w:val="false"/>
                <w:bCs w:val="false"/>
                <w:color w:val="000000"/>
                <w:sz w:val="18"/>
                <w:szCs w:val="18"/>
              </w:rPr>
              <w:t xml:space="preserve">1</w:t>
            </w:r>
          </w:p>
        </w:tc>
        <w:tc>
          <w:tcPr>
            <w:tcW w:type="dxa" w:w="226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b w:val="false"/>
                <w:bCs w:val="false"/>
                <w:color w:val="000000"/>
                <w:sz w:val="18"/>
                <w:szCs w:val="18"/>
              </w:rPr>
              <w:t xml:space="preserve">Backend Eng</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000000"/>
                <w:sz w:val="18"/>
                <w:szCs w:val="18"/>
              </w:rPr>
              <w:t xml:space="preserve">SEC-3</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000000"/>
                <w:sz w:val="18"/>
                <w:szCs w:val="18"/>
              </w:rPr>
              <w:t xml:space="preserve">Build a Zod request-validation middleware and apply it to every write endpoint</w:t>
            </w:r>
          </w:p>
        </w:tc>
        <w:tc>
          <w:tcPr>
            <w:tcW w:type="dxa" w:w="900"/>
            <w:tcBorders>
              <w:top w:val="single" w:color="CCCCCC" w:sz="1"/>
              <w:left w:val="single" w:color="CCCCCC" w:sz="1"/>
              <w:bottom w:val="single" w:color="CCCCCC" w:sz="1"/>
              <w:right w:val="single" w:color="CCCCCC" w:sz="1"/>
            </w:tcBorders>
            <w:shd w:fill="C00000" w:val="clear"/>
            <w:tcMar>
              <w:top w:type="dxa" w:w="60"/>
              <w:left w:type="dxa" w:w="120"/>
              <w:bottom w:type="dxa" w:w="60"/>
              <w:right w:type="dxa" w:w="120"/>
            </w:tcMar>
          </w:tcPr>
          <w:p>
            <w:pPr>
              <w:jc w:val="center"/>
            </w:pPr>
            <w:r>
              <w:rPr>
                <w:b/>
                <w:bCs/>
                <w:color w:val="FFFFFF"/>
                <w:sz w:val="18"/>
                <w:szCs w:val="18"/>
              </w:rPr>
              <w:t xml:space="preserve">P0</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b w:val="false"/>
                <w:bCs w:val="false"/>
                <w:color w:val="000000"/>
                <w:sz w:val="18"/>
                <w:szCs w:val="18"/>
              </w:rPr>
              <w:t xml:space="preserve">3</w:t>
            </w:r>
          </w:p>
        </w:tc>
        <w:tc>
          <w:tcPr>
            <w:tcW w:type="dxa" w:w="2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000000"/>
                <w:sz w:val="18"/>
                <w:szCs w:val="18"/>
              </w:rPr>
              <w:t xml:space="preserve">Backend Eng</w:t>
            </w:r>
          </w:p>
        </w:tc>
      </w:tr>
      <w:tr>
        <w:tc>
          <w:tcPr>
            <w:tcW w:type="dxa" w:w="9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b/>
                <w:bCs/>
                <w:color w:val="000000"/>
                <w:sz w:val="18"/>
                <w:szCs w:val="18"/>
              </w:rPr>
              <w:t xml:space="preserve">SEC-4</w:t>
            </w:r>
          </w:p>
        </w:tc>
        <w:tc>
          <w:tcPr>
            <w:tcW w:type="dxa" w:w="42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b w:val="false"/>
                <w:bCs w:val="false"/>
                <w:color w:val="000000"/>
                <w:sz w:val="18"/>
                <w:szCs w:val="18"/>
              </w:rPr>
              <w:t xml:space="preserve">Stop returning/logging the OTP; gate the ‘123456’ demo shortcut behind non-prod</w:t>
            </w:r>
          </w:p>
        </w:tc>
        <w:tc>
          <w:tcPr>
            <w:tcW w:type="dxa" w:w="900"/>
            <w:tcBorders>
              <w:top w:val="single" w:color="CCCCCC" w:sz="1"/>
              <w:left w:val="single" w:color="CCCCCC" w:sz="1"/>
              <w:bottom w:val="single" w:color="CCCCCC" w:sz="1"/>
              <w:right w:val="single" w:color="CCCCCC" w:sz="1"/>
            </w:tcBorders>
            <w:shd w:fill="C00000" w:val="clear"/>
            <w:tcMar>
              <w:top w:type="dxa" w:w="60"/>
              <w:left w:type="dxa" w:w="120"/>
              <w:bottom w:type="dxa" w:w="60"/>
              <w:right w:type="dxa" w:w="120"/>
            </w:tcMar>
          </w:tcPr>
          <w:p>
            <w:pPr>
              <w:jc w:val="center"/>
            </w:pPr>
            <w:r>
              <w:rPr>
                <w:b/>
                <w:bCs/>
                <w:color w:val="FFFFFF"/>
                <w:sz w:val="18"/>
                <w:szCs w:val="18"/>
              </w:rPr>
              <w:t xml:space="preserve">P0</w:t>
            </w:r>
          </w:p>
        </w:tc>
        <w:tc>
          <w:tcPr>
            <w:tcW w:type="dxa" w:w="11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pPr>
              <w:jc w:val="center"/>
            </w:pPr>
            <w:r>
              <w:rPr>
                <w:b w:val="false"/>
                <w:bCs w:val="false"/>
                <w:color w:val="000000"/>
                <w:sz w:val="18"/>
                <w:szCs w:val="18"/>
              </w:rPr>
              <w:t xml:space="preserve">1</w:t>
            </w:r>
          </w:p>
        </w:tc>
        <w:tc>
          <w:tcPr>
            <w:tcW w:type="dxa" w:w="226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b w:val="false"/>
                <w:bCs w:val="false"/>
                <w:color w:val="000000"/>
                <w:sz w:val="18"/>
                <w:szCs w:val="18"/>
              </w:rPr>
              <w:t xml:space="preserve">Backend Eng</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000000"/>
                <w:sz w:val="18"/>
                <w:szCs w:val="18"/>
              </w:rPr>
              <w:t xml:space="preserve">SEC-5</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000000"/>
                <w:sz w:val="18"/>
                <w:szCs w:val="18"/>
              </w:rPr>
              <w:t xml:space="preserve">Restrict CORS to known origins; review Helmet/CSP</w:t>
            </w:r>
          </w:p>
        </w:tc>
        <w:tc>
          <w:tcPr>
            <w:tcW w:type="dxa" w:w="900"/>
            <w:tcBorders>
              <w:top w:val="single" w:color="CCCCCC" w:sz="1"/>
              <w:left w:val="single" w:color="CCCCCC" w:sz="1"/>
              <w:bottom w:val="single" w:color="CCCCCC" w:sz="1"/>
              <w:right w:val="single" w:color="CCCCCC" w:sz="1"/>
            </w:tcBorders>
            <w:shd w:fill="C00000" w:val="clear"/>
            <w:tcMar>
              <w:top w:type="dxa" w:w="60"/>
              <w:left w:type="dxa" w:w="120"/>
              <w:bottom w:type="dxa" w:w="60"/>
              <w:right w:type="dxa" w:w="120"/>
            </w:tcMar>
          </w:tcPr>
          <w:p>
            <w:pPr>
              <w:jc w:val="center"/>
            </w:pPr>
            <w:r>
              <w:rPr>
                <w:b/>
                <w:bCs/>
                <w:color w:val="FFFFFF"/>
                <w:sz w:val="18"/>
                <w:szCs w:val="18"/>
              </w:rPr>
              <w:t xml:space="preserve">P0</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b w:val="false"/>
                <w:bCs w:val="false"/>
                <w:color w:val="000000"/>
                <w:sz w:val="18"/>
                <w:szCs w:val="18"/>
              </w:rPr>
              <w:t xml:space="preserve">1</w:t>
            </w:r>
          </w:p>
        </w:tc>
        <w:tc>
          <w:tcPr>
            <w:tcW w:type="dxa" w:w="2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000000"/>
                <w:sz w:val="18"/>
                <w:szCs w:val="18"/>
              </w:rPr>
              <w:t xml:space="preserve">Backend Eng</w:t>
            </w:r>
          </w:p>
        </w:tc>
      </w:tr>
      <w:tr>
        <w:tc>
          <w:tcPr>
            <w:tcW w:type="dxa" w:w="9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b/>
                <w:bCs/>
                <w:color w:val="000000"/>
                <w:sz w:val="18"/>
                <w:szCs w:val="18"/>
              </w:rPr>
              <w:t xml:space="preserve">SEC-6</w:t>
            </w:r>
          </w:p>
        </w:tc>
        <w:tc>
          <w:tcPr>
            <w:tcW w:type="dxa" w:w="42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b w:val="false"/>
                <w:bCs w:val="false"/>
                <w:color w:val="000000"/>
                <w:sz w:val="18"/>
                <w:szCs w:val="18"/>
              </w:rPr>
              <w:t xml:space="preserve">Move the mobile token from AsyncStorage to expo-secure-store</w:t>
            </w:r>
          </w:p>
        </w:tc>
        <w:tc>
          <w:tcPr>
            <w:tcW w:type="dxa" w:w="900"/>
            <w:tcBorders>
              <w:top w:val="single" w:color="CCCCCC" w:sz="1"/>
              <w:left w:val="single" w:color="CCCCCC" w:sz="1"/>
              <w:bottom w:val="single" w:color="CCCCCC" w:sz="1"/>
              <w:right w:val="single" w:color="CCCCCC" w:sz="1"/>
            </w:tcBorders>
            <w:shd w:fill="C00000" w:val="clear"/>
            <w:tcMar>
              <w:top w:type="dxa" w:w="60"/>
              <w:left w:type="dxa" w:w="120"/>
              <w:bottom w:type="dxa" w:w="60"/>
              <w:right w:type="dxa" w:w="120"/>
            </w:tcMar>
          </w:tcPr>
          <w:p>
            <w:pPr>
              <w:jc w:val="center"/>
            </w:pPr>
            <w:r>
              <w:rPr>
                <w:b/>
                <w:bCs/>
                <w:color w:val="FFFFFF"/>
                <w:sz w:val="18"/>
                <w:szCs w:val="18"/>
              </w:rPr>
              <w:t xml:space="preserve">P0</w:t>
            </w:r>
          </w:p>
        </w:tc>
        <w:tc>
          <w:tcPr>
            <w:tcW w:type="dxa" w:w="11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pPr>
              <w:jc w:val="center"/>
            </w:pPr>
            <w:r>
              <w:rPr>
                <w:b w:val="false"/>
                <w:bCs w:val="false"/>
                <w:color w:val="000000"/>
                <w:sz w:val="18"/>
                <w:szCs w:val="18"/>
              </w:rPr>
              <w:t xml:space="preserve">1</w:t>
            </w:r>
          </w:p>
        </w:tc>
        <w:tc>
          <w:tcPr>
            <w:tcW w:type="dxa" w:w="226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b w:val="false"/>
                <w:bCs w:val="false"/>
                <w:color w:val="000000"/>
                <w:sz w:val="18"/>
                <w:szCs w:val="18"/>
              </w:rPr>
              <w:t xml:space="preserve">Mobile Eng</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000000"/>
                <w:sz w:val="18"/>
                <w:szCs w:val="18"/>
              </w:rPr>
              <w:t xml:space="preserve">SEC-7</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000000"/>
                <w:sz w:val="18"/>
                <w:szCs w:val="18"/>
              </w:rPr>
              <w:t xml:space="preserve">Externalize the mobile API base URL per environment; enforce HTTPS</w:t>
            </w:r>
          </w:p>
        </w:tc>
        <w:tc>
          <w:tcPr>
            <w:tcW w:type="dxa" w:w="900"/>
            <w:tcBorders>
              <w:top w:val="single" w:color="CCCCCC" w:sz="1"/>
              <w:left w:val="single" w:color="CCCCCC" w:sz="1"/>
              <w:bottom w:val="single" w:color="CCCCCC" w:sz="1"/>
              <w:right w:val="single" w:color="CCCCCC" w:sz="1"/>
            </w:tcBorders>
            <w:shd w:fill="C00000" w:val="clear"/>
            <w:tcMar>
              <w:top w:type="dxa" w:w="60"/>
              <w:left w:type="dxa" w:w="120"/>
              <w:bottom w:type="dxa" w:w="60"/>
              <w:right w:type="dxa" w:w="120"/>
            </w:tcMar>
          </w:tcPr>
          <w:p>
            <w:pPr>
              <w:jc w:val="center"/>
            </w:pPr>
            <w:r>
              <w:rPr>
                <w:b/>
                <w:bCs/>
                <w:color w:val="FFFFFF"/>
                <w:sz w:val="18"/>
                <w:szCs w:val="18"/>
              </w:rPr>
              <w:t xml:space="preserve">P0</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b w:val="false"/>
                <w:bCs w:val="false"/>
                <w:color w:val="000000"/>
                <w:sz w:val="18"/>
                <w:szCs w:val="18"/>
              </w:rPr>
              <w:t xml:space="preserve">1</w:t>
            </w:r>
          </w:p>
        </w:tc>
        <w:tc>
          <w:tcPr>
            <w:tcW w:type="dxa" w:w="2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000000"/>
                <w:sz w:val="18"/>
                <w:szCs w:val="18"/>
              </w:rPr>
              <w:t xml:space="preserve">Mobile Eng</w:t>
            </w:r>
          </w:p>
        </w:tc>
      </w:tr>
    </w:tbl>
    <w:p>
      <w:pPr>
        <w:pStyle w:val="Heading3"/>
      </w:pPr>
      <w:r>
        <w:t xml:space="preserve">Why these, specifically</w:t>
      </w:r>
    </w:p>
    <w:p>
      <w:pPr>
        <w:pStyle w:val="ListParagraph"/>
        <w:numPr>
          <w:ilvl w:val="0"/>
          <w:numId w:val="2"/>
        </w:numPr>
        <w:spacing w:after="60"/>
      </w:pPr>
      <w:r>
        <w:t xml:space="preserve">shared/middleware/auth.middleware.ts ships a literal fallback JWT secret (“svakarma_super_secret_key_2026_dev_prod”) and duplicates middleware/auth.ts. Anyone reading the repo can forge tokens. Delete the duplicate, require JWT_SECRET from env, and fail to boot without it.</w:t>
      </w:r>
    </w:p>
    <w:p>
      <w:pPr>
        <w:pStyle w:val="ListParagraph"/>
        <w:numPr>
          <w:ilvl w:val="0"/>
          <w:numId w:val="2"/>
        </w:numPr>
        <w:spacing w:after="60"/>
      </w:pPr>
      <w:r>
        <w:t xml:space="preserve">There is no rate limiting anywhere, so /auth/send-otp can be hammered — SMS-bomb and OTP brute-force. express-rate-limit is a few lines and must land before the real SMS provider (INT-1) goes live, or it becomes a cost and abuse problem.</w:t>
      </w:r>
    </w:p>
    <w:p>
      <w:pPr>
        <w:pStyle w:val="ListParagraph"/>
        <w:numPr>
          <w:ilvl w:val="0"/>
          <w:numId w:val="2"/>
        </w:numPr>
        <w:spacing w:after="60"/>
      </w:pPr>
      <w:r>
        <w:t xml:space="preserve">zod is installed but only used in config/env.ts. Controllers read req.body unchecked. One validateRequest(schema) middleware applied across auth/loans/profile/documents removes a whole class of bugs and injection risk.</w:t>
      </w:r>
    </w:p>
    <w:p>
      <w:pPr>
        <w:pStyle w:val="ListParagraph"/>
        <w:numPr>
          <w:ilvl w:val="0"/>
          <w:numId w:val="2"/>
        </w:numPr>
        <w:spacing w:after="60"/>
      </w:pPr>
      <w:r>
        <w:t xml:space="preserve">auth.service.ts prints the OTP to the console and returns ‘123456’ for specific phone numbers. That shortcut is fine for a demo but must never run in production.</w:t>
      </w:r>
    </w:p>
    <w:p>
      <w:r>
        <w:br w:type="page"/>
      </w:r>
    </w:p>
    <w:p>
      <w:pPr>
        <w:pStyle w:val="Heading1"/>
      </w:pPr>
      <w:r>
        <w:t xml:space="preserve">Phase 1 — Core integrations (Weeks 2–5)</w:t>
      </w:r>
    </w:p>
    <w:p>
      <w:pPr>
        <w:spacing w:after="120"/>
      </w:pPr>
      <w:r>
        <w:rPr>
          <w:i/>
          <w:iCs/>
          <w:color w:val="595959"/>
        </w:rPr>
        <w:t xml:space="preserve">This is where the product becomes real. Each item replaces a mock or stub with a live service and needs an account/API key from the business, so kick off vendor selection in Week 1. These are the heaviest engineering items and several gate the beta.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900"/>
        <w:gridCol w:w="1100"/>
        <w:gridCol w:w="22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b/>
                <w:bCs/>
                <w:color w:val="FFFFFF"/>
                <w:sz w:val="18"/>
                <w:szCs w:val="18"/>
              </w:rPr>
              <w:t xml:space="preserve">ID</w:t>
            </w:r>
          </w:p>
        </w:tc>
        <w:tc>
          <w:tcPr>
            <w:tcW w:type="dxa" w:w="42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b/>
                <w:bCs/>
                <w:color w:val="FFFFFF"/>
                <w:sz w:val="18"/>
                <w:szCs w:val="18"/>
              </w:rPr>
              <w:t xml:space="preserve">Fix</w:t>
            </w:r>
          </w:p>
        </w:tc>
        <w:tc>
          <w:tcPr>
            <w:tcW w:type="dxa" w:w="9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b/>
                <w:bCs/>
                <w:color w:val="FFFFFF"/>
                <w:sz w:val="18"/>
                <w:szCs w:val="18"/>
              </w:rPr>
              <w:t xml:space="preserve">Pri</w:t>
            </w:r>
          </w:p>
        </w:tc>
        <w:tc>
          <w:tcPr>
            <w:tcW w:type="dxa" w:w="11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b/>
                <w:bCs/>
                <w:color w:val="FFFFFF"/>
                <w:sz w:val="18"/>
                <w:szCs w:val="18"/>
              </w:rPr>
              <w:t xml:space="preserve">Days</w:t>
            </w:r>
          </w:p>
        </w:tc>
        <w:tc>
          <w:tcPr>
            <w:tcW w:type="dxa" w:w="226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b/>
                <w:bCs/>
                <w:color w:val="FFFFFF"/>
                <w:sz w:val="18"/>
                <w:szCs w:val="18"/>
              </w:rPr>
              <w:t xml:space="preserve">Owner</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000000"/>
                <w:sz w:val="18"/>
                <w:szCs w:val="18"/>
              </w:rPr>
              <w:t xml:space="preserve">INT-1</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000000"/>
                <w:sz w:val="18"/>
                <w:szCs w:val="18"/>
              </w:rPr>
              <w:t xml:space="preserve">Real SMS/OTP provider (MSG91 / Twilio / AWS SNS) with resend cooldown + lockout</w:t>
            </w:r>
          </w:p>
        </w:tc>
        <w:tc>
          <w:tcPr>
            <w:tcW w:type="dxa" w:w="900"/>
            <w:tcBorders>
              <w:top w:val="single" w:color="CCCCCC" w:sz="1"/>
              <w:left w:val="single" w:color="CCCCCC" w:sz="1"/>
              <w:bottom w:val="single" w:color="CCCCCC" w:sz="1"/>
              <w:right w:val="single" w:color="CCCCCC" w:sz="1"/>
            </w:tcBorders>
            <w:shd w:fill="C00000" w:val="clear"/>
            <w:tcMar>
              <w:top w:type="dxa" w:w="60"/>
              <w:left w:type="dxa" w:w="120"/>
              <w:bottom w:type="dxa" w:w="60"/>
              <w:right w:type="dxa" w:w="120"/>
            </w:tcMar>
          </w:tcPr>
          <w:p>
            <w:pPr>
              <w:jc w:val="center"/>
            </w:pPr>
            <w:r>
              <w:rPr>
                <w:b/>
                <w:bCs/>
                <w:color w:val="FFFFFF"/>
                <w:sz w:val="18"/>
                <w:szCs w:val="18"/>
              </w:rPr>
              <w:t xml:space="preserve">P0</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b w:val="false"/>
                <w:bCs w:val="false"/>
                <w:color w:val="000000"/>
                <w:sz w:val="18"/>
                <w:szCs w:val="18"/>
              </w:rPr>
              <w:t xml:space="preserve">4</w:t>
            </w:r>
          </w:p>
        </w:tc>
        <w:tc>
          <w:tcPr>
            <w:tcW w:type="dxa" w:w="2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000000"/>
                <w:sz w:val="18"/>
                <w:szCs w:val="18"/>
              </w:rPr>
              <w:t xml:space="preserve">Backend Eng</w:t>
            </w:r>
          </w:p>
        </w:tc>
      </w:tr>
      <w:tr>
        <w:tc>
          <w:tcPr>
            <w:tcW w:type="dxa" w:w="9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b/>
                <w:bCs/>
                <w:color w:val="000000"/>
                <w:sz w:val="18"/>
                <w:szCs w:val="18"/>
              </w:rPr>
              <w:t xml:space="preserve">INT-2</w:t>
            </w:r>
          </w:p>
        </w:tc>
        <w:tc>
          <w:tcPr>
            <w:tcW w:type="dxa" w:w="42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b w:val="false"/>
                <w:bCs w:val="false"/>
                <w:color w:val="000000"/>
                <w:sz w:val="18"/>
                <w:szCs w:val="18"/>
              </w:rPr>
              <w:t xml:space="preserve">Real credit-bureau (CIBIL) integration with consent capture &amp; caching</w:t>
            </w:r>
          </w:p>
        </w:tc>
        <w:tc>
          <w:tcPr>
            <w:tcW w:type="dxa" w:w="900"/>
            <w:tcBorders>
              <w:top w:val="single" w:color="CCCCCC" w:sz="1"/>
              <w:left w:val="single" w:color="CCCCCC" w:sz="1"/>
              <w:bottom w:val="single" w:color="CCCCCC" w:sz="1"/>
              <w:right w:val="single" w:color="CCCCCC" w:sz="1"/>
            </w:tcBorders>
            <w:shd w:fill="C00000" w:val="clear"/>
            <w:tcMar>
              <w:top w:type="dxa" w:w="60"/>
              <w:left w:type="dxa" w:w="120"/>
              <w:bottom w:type="dxa" w:w="60"/>
              <w:right w:type="dxa" w:w="120"/>
            </w:tcMar>
          </w:tcPr>
          <w:p>
            <w:pPr>
              <w:jc w:val="center"/>
            </w:pPr>
            <w:r>
              <w:rPr>
                <w:b/>
                <w:bCs/>
                <w:color w:val="FFFFFF"/>
                <w:sz w:val="18"/>
                <w:szCs w:val="18"/>
              </w:rPr>
              <w:t xml:space="preserve">P0</w:t>
            </w:r>
          </w:p>
        </w:tc>
        <w:tc>
          <w:tcPr>
            <w:tcW w:type="dxa" w:w="11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pPr>
              <w:jc w:val="center"/>
            </w:pPr>
            <w:r>
              <w:rPr>
                <w:b w:val="false"/>
                <w:bCs w:val="false"/>
                <w:color w:val="000000"/>
                <w:sz w:val="18"/>
                <w:szCs w:val="18"/>
              </w:rPr>
              <w:t xml:space="preserve">5</w:t>
            </w:r>
          </w:p>
        </w:tc>
        <w:tc>
          <w:tcPr>
            <w:tcW w:type="dxa" w:w="226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b w:val="false"/>
                <w:bCs w:val="false"/>
                <w:color w:val="000000"/>
                <w:sz w:val="18"/>
                <w:szCs w:val="18"/>
              </w:rPr>
              <w:t xml:space="preserve">Backend Eng</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000000"/>
                <w:sz w:val="18"/>
                <w:szCs w:val="18"/>
              </w:rPr>
              <w:t xml:space="preserve">INT-3</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000000"/>
                <w:sz w:val="18"/>
                <w:szCs w:val="18"/>
              </w:rPr>
              <w:t xml:space="preserve">Razorpay payments: orders, verified webhooks, eNACH mandate, reconciliation</w:t>
            </w:r>
          </w:p>
        </w:tc>
        <w:tc>
          <w:tcPr>
            <w:tcW w:type="dxa" w:w="900"/>
            <w:tcBorders>
              <w:top w:val="single" w:color="CCCCCC" w:sz="1"/>
              <w:left w:val="single" w:color="CCCCCC" w:sz="1"/>
              <w:bottom w:val="single" w:color="CCCCCC" w:sz="1"/>
              <w:right w:val="single" w:color="CCCCCC" w:sz="1"/>
            </w:tcBorders>
            <w:shd w:fill="C00000" w:val="clear"/>
            <w:tcMar>
              <w:top w:type="dxa" w:w="60"/>
              <w:left w:type="dxa" w:w="120"/>
              <w:bottom w:type="dxa" w:w="60"/>
              <w:right w:type="dxa" w:w="120"/>
            </w:tcMar>
          </w:tcPr>
          <w:p>
            <w:pPr>
              <w:jc w:val="center"/>
            </w:pPr>
            <w:r>
              <w:rPr>
                <w:b/>
                <w:bCs/>
                <w:color w:val="FFFFFF"/>
                <w:sz w:val="18"/>
                <w:szCs w:val="18"/>
              </w:rPr>
              <w:t xml:space="preserve">P0</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b w:val="false"/>
                <w:bCs w:val="false"/>
                <w:color w:val="000000"/>
                <w:sz w:val="18"/>
                <w:szCs w:val="18"/>
              </w:rPr>
              <w:t xml:space="preserve">6</w:t>
            </w:r>
          </w:p>
        </w:tc>
        <w:tc>
          <w:tcPr>
            <w:tcW w:type="dxa" w:w="2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000000"/>
                <w:sz w:val="18"/>
                <w:szCs w:val="18"/>
              </w:rPr>
              <w:t xml:space="preserve">Backend Eng</w:t>
            </w:r>
          </w:p>
        </w:tc>
      </w:tr>
      <w:tr>
        <w:tc>
          <w:tcPr>
            <w:tcW w:type="dxa" w:w="9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b/>
                <w:bCs/>
                <w:color w:val="000000"/>
                <w:sz w:val="18"/>
                <w:szCs w:val="18"/>
              </w:rPr>
              <w:t xml:space="preserve">INT-4</w:t>
            </w:r>
          </w:p>
        </w:tc>
        <w:tc>
          <w:tcPr>
            <w:tcW w:type="dxa" w:w="42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b w:val="false"/>
                <w:bCs w:val="false"/>
                <w:color w:val="000000"/>
                <w:sz w:val="18"/>
                <w:szCs w:val="18"/>
              </w:rPr>
              <w:t xml:space="preserve">Cloud document storage (S3/GCS) with signed URLs; retire local /uploads</w:t>
            </w:r>
          </w:p>
        </w:tc>
        <w:tc>
          <w:tcPr>
            <w:tcW w:type="dxa" w:w="900"/>
            <w:tcBorders>
              <w:top w:val="single" w:color="CCCCCC" w:sz="1"/>
              <w:left w:val="single" w:color="CCCCCC" w:sz="1"/>
              <w:bottom w:val="single" w:color="CCCCCC" w:sz="1"/>
              <w:right w:val="single" w:color="CCCCCC" w:sz="1"/>
            </w:tcBorders>
            <w:shd w:fill="ED7D31" w:val="clear"/>
            <w:tcMar>
              <w:top w:type="dxa" w:w="60"/>
              <w:left w:type="dxa" w:w="120"/>
              <w:bottom w:type="dxa" w:w="60"/>
              <w:right w:type="dxa" w:w="120"/>
            </w:tcMar>
          </w:tcPr>
          <w:p>
            <w:pPr>
              <w:jc w:val="center"/>
            </w:pPr>
            <w:r>
              <w:rPr>
                <w:b/>
                <w:bCs/>
                <w:color w:val="FFFFFF"/>
                <w:sz w:val="18"/>
                <w:szCs w:val="18"/>
              </w:rPr>
              <w:t xml:space="preserve">P1</w:t>
            </w:r>
          </w:p>
        </w:tc>
        <w:tc>
          <w:tcPr>
            <w:tcW w:type="dxa" w:w="11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pPr>
              <w:jc w:val="center"/>
            </w:pPr>
            <w:r>
              <w:rPr>
                <w:b w:val="false"/>
                <w:bCs w:val="false"/>
                <w:color w:val="000000"/>
                <w:sz w:val="18"/>
                <w:szCs w:val="18"/>
              </w:rPr>
              <w:t xml:space="preserve">3</w:t>
            </w:r>
          </w:p>
        </w:tc>
        <w:tc>
          <w:tcPr>
            <w:tcW w:type="dxa" w:w="226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b w:val="false"/>
                <w:bCs w:val="false"/>
                <w:color w:val="000000"/>
                <w:sz w:val="18"/>
                <w:szCs w:val="18"/>
              </w:rPr>
              <w:t xml:space="preserve">Backend Eng</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000000"/>
                <w:sz w:val="18"/>
                <w:szCs w:val="18"/>
              </w:rPr>
              <w:t xml:space="preserve">INT-5</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000000"/>
                <w:sz w:val="18"/>
                <w:szCs w:val="18"/>
              </w:rPr>
              <w:t xml:space="preserve">Notification service (SMS/email/push) for loan status &amp; EMI reminders</w:t>
            </w:r>
          </w:p>
        </w:tc>
        <w:tc>
          <w:tcPr>
            <w:tcW w:type="dxa" w:w="900"/>
            <w:tcBorders>
              <w:top w:val="single" w:color="CCCCCC" w:sz="1"/>
              <w:left w:val="single" w:color="CCCCCC" w:sz="1"/>
              <w:bottom w:val="single" w:color="CCCCCC" w:sz="1"/>
              <w:right w:val="single" w:color="CCCCCC" w:sz="1"/>
            </w:tcBorders>
            <w:shd w:fill="ED7D31" w:val="clear"/>
            <w:tcMar>
              <w:top w:type="dxa" w:w="60"/>
              <w:left w:type="dxa" w:w="120"/>
              <w:bottom w:type="dxa" w:w="60"/>
              <w:right w:type="dxa" w:w="120"/>
            </w:tcMar>
          </w:tcPr>
          <w:p>
            <w:pPr>
              <w:jc w:val="center"/>
            </w:pPr>
            <w:r>
              <w:rPr>
                <w:b/>
                <w:bCs/>
                <w:color w:val="FFFFFF"/>
                <w:sz w:val="18"/>
                <w:szCs w:val="18"/>
              </w:rPr>
              <w:t xml:space="preserve">P1</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b w:val="false"/>
                <w:bCs w:val="false"/>
                <w:color w:val="000000"/>
                <w:sz w:val="18"/>
                <w:szCs w:val="18"/>
              </w:rPr>
              <w:t xml:space="preserve">3</w:t>
            </w:r>
          </w:p>
        </w:tc>
        <w:tc>
          <w:tcPr>
            <w:tcW w:type="dxa" w:w="2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000000"/>
                <w:sz w:val="18"/>
                <w:szCs w:val="18"/>
              </w:rPr>
              <w:t xml:space="preserve">Backend Eng</w:t>
            </w:r>
          </w:p>
        </w:tc>
      </w:tr>
      <w:tr>
        <w:tc>
          <w:tcPr>
            <w:tcW w:type="dxa" w:w="9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b/>
                <w:bCs/>
                <w:color w:val="000000"/>
                <w:sz w:val="18"/>
                <w:szCs w:val="18"/>
              </w:rPr>
              <w:t xml:space="preserve">INT-6</w:t>
            </w:r>
          </w:p>
        </w:tc>
        <w:tc>
          <w:tcPr>
            <w:tcW w:type="dxa" w:w="42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b w:val="false"/>
                <w:bCs w:val="false"/>
                <w:color w:val="000000"/>
                <w:sz w:val="18"/>
                <w:szCs w:val="18"/>
              </w:rPr>
              <w:t xml:space="preserve">Loan underwriting rules + document-verification workflow</w:t>
            </w:r>
          </w:p>
        </w:tc>
        <w:tc>
          <w:tcPr>
            <w:tcW w:type="dxa" w:w="900"/>
            <w:tcBorders>
              <w:top w:val="single" w:color="CCCCCC" w:sz="1"/>
              <w:left w:val="single" w:color="CCCCCC" w:sz="1"/>
              <w:bottom w:val="single" w:color="CCCCCC" w:sz="1"/>
              <w:right w:val="single" w:color="CCCCCC" w:sz="1"/>
            </w:tcBorders>
            <w:shd w:fill="ED7D31" w:val="clear"/>
            <w:tcMar>
              <w:top w:type="dxa" w:w="60"/>
              <w:left w:type="dxa" w:w="120"/>
              <w:bottom w:type="dxa" w:w="60"/>
              <w:right w:type="dxa" w:w="120"/>
            </w:tcMar>
          </w:tcPr>
          <w:p>
            <w:pPr>
              <w:jc w:val="center"/>
            </w:pPr>
            <w:r>
              <w:rPr>
                <w:b/>
                <w:bCs/>
                <w:color w:val="FFFFFF"/>
                <w:sz w:val="18"/>
                <w:szCs w:val="18"/>
              </w:rPr>
              <w:t xml:space="preserve">P1</w:t>
            </w:r>
          </w:p>
        </w:tc>
        <w:tc>
          <w:tcPr>
            <w:tcW w:type="dxa" w:w="11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pPr>
              <w:jc w:val="center"/>
            </w:pPr>
            <w:r>
              <w:rPr>
                <w:b w:val="false"/>
                <w:bCs w:val="false"/>
                <w:color w:val="000000"/>
                <w:sz w:val="18"/>
                <w:szCs w:val="18"/>
              </w:rPr>
              <w:t xml:space="preserve">6</w:t>
            </w:r>
          </w:p>
        </w:tc>
        <w:tc>
          <w:tcPr>
            <w:tcW w:type="dxa" w:w="226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b w:val="false"/>
                <w:bCs w:val="false"/>
                <w:color w:val="000000"/>
                <w:sz w:val="18"/>
                <w:szCs w:val="18"/>
              </w:rPr>
              <w:t xml:space="preserve">Backend + Product</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000000"/>
                <w:sz w:val="18"/>
                <w:szCs w:val="18"/>
              </w:rPr>
              <w:t xml:space="preserve">INT-7</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000000"/>
                <w:sz w:val="18"/>
                <w:szCs w:val="18"/>
              </w:rPr>
              <w:t xml:space="preserve">e-signature / loan agreement (Digio / Leegality)</w:t>
            </w:r>
          </w:p>
        </w:tc>
        <w:tc>
          <w:tcPr>
            <w:tcW w:type="dxa" w:w="900"/>
            <w:tcBorders>
              <w:top w:val="single" w:color="CCCCCC" w:sz="1"/>
              <w:left w:val="single" w:color="CCCCCC" w:sz="1"/>
              <w:bottom w:val="single" w:color="CCCCCC" w:sz="1"/>
              <w:right w:val="single" w:color="CCCCCC" w:sz="1"/>
            </w:tcBorders>
            <w:shd w:fill="ED7D31" w:val="clear"/>
            <w:tcMar>
              <w:top w:type="dxa" w:w="60"/>
              <w:left w:type="dxa" w:w="120"/>
              <w:bottom w:type="dxa" w:w="60"/>
              <w:right w:type="dxa" w:w="120"/>
            </w:tcMar>
          </w:tcPr>
          <w:p>
            <w:pPr>
              <w:jc w:val="center"/>
            </w:pPr>
            <w:r>
              <w:rPr>
                <w:b/>
                <w:bCs/>
                <w:color w:val="FFFFFF"/>
                <w:sz w:val="18"/>
                <w:szCs w:val="18"/>
              </w:rPr>
              <w:t xml:space="preserve">P1</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b w:val="false"/>
                <w:bCs w:val="false"/>
                <w:color w:val="000000"/>
                <w:sz w:val="18"/>
                <w:szCs w:val="18"/>
              </w:rPr>
              <w:t xml:space="preserve">3</w:t>
            </w:r>
          </w:p>
        </w:tc>
        <w:tc>
          <w:tcPr>
            <w:tcW w:type="dxa" w:w="2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000000"/>
                <w:sz w:val="18"/>
                <w:szCs w:val="18"/>
              </w:rPr>
              <w:t xml:space="preserve">Backend Eng</w:t>
            </w:r>
          </w:p>
        </w:tc>
      </w:tr>
    </w:tbl>
    <w:p>
      <w:pPr>
        <w:pStyle w:val="Heading3"/>
      </w:pPr>
      <w:r>
        <w:t xml:space="preserve">Notes that matter</w:t>
      </w:r>
    </w:p>
    <w:p>
      <w:pPr>
        <w:pStyle w:val="ListParagraph"/>
        <w:numPr>
          <w:ilvl w:val="0"/>
          <w:numId w:val="2"/>
        </w:numPr>
        <w:spacing w:after="60"/>
      </w:pPr>
      <w:r>
        <w:t xml:space="preserve">cibil.service.ts currently fabricates and stores synthetic scores when generate=true. Real lending decisions cannot ride on that. The live integration also has to capture borrower consent and handle PII under the DPDP Act — coordinate with BIZ-2.</w:t>
      </w:r>
    </w:p>
    <w:p>
      <w:pPr>
        <w:pStyle w:val="ListParagraph"/>
        <w:numPr>
          <w:ilvl w:val="0"/>
          <w:numId w:val="2"/>
        </w:numPr>
        <w:spacing w:after="60"/>
      </w:pPr>
      <w:r>
        <w:t xml:space="preserve">The repayment schedule has no locking mechanism, so concurrent payment writes can corrupt it. Build INT-3 with idempotent, signature-verified webhooks and a row lock on the schedule during writes.</w:t>
      </w:r>
    </w:p>
    <w:p>
      <w:pPr>
        <w:pStyle w:val="ListParagraph"/>
        <w:numPr>
          <w:ilvl w:val="0"/>
          <w:numId w:val="2"/>
        </w:numPr>
        <w:spacing w:after="60"/>
      </w:pPr>
      <w:r>
        <w:t xml:space="preserve">Documents are written to backend/uploads and served via express.static — that neither scales nor is access-controlled. Move to object storage with short-lived signed URLs (INT-4).</w:t>
      </w:r>
    </w:p>
    <w:p>
      <w:pPr>
        <w:pStyle w:val="ListParagraph"/>
        <w:numPr>
          <w:ilvl w:val="0"/>
          <w:numId w:val="2"/>
        </w:numPr>
        <w:spacing w:after="60"/>
      </w:pPr>
      <w:r>
        <w:t xml:space="preserve">INT-6 (underwriting) is where the product’s real logic lives and where Product must define eligibility, limits, and pricing. It depends on the bureau integration (INT-2) being live.</w:t>
      </w:r>
    </w:p>
    <w:p>
      <w:r>
        <w:br w:type="page"/>
      </w:r>
    </w:p>
    <w:p>
      <w:pPr>
        <w:pStyle w:val="Heading1"/>
      </w:pPr>
      <w:r>
        <w:t xml:space="preserve">Phase 2 — Code quality &amp; data model (Weeks 2–5, parallel)</w:t>
      </w:r>
    </w:p>
    <w:p>
      <w:pPr>
        <w:spacing w:after="120"/>
      </w:pPr>
      <w:r>
        <w:rPr>
          <w:i/>
          <w:iCs/>
          <w:color w:val="595959"/>
        </w:rPr>
        <w:t xml:space="preserve">These run alongside Phase 1 — different files, mostly different people. They pay down the debt the review flagged and make the integration work safer.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900"/>
        <w:gridCol w:w="1100"/>
        <w:gridCol w:w="22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b/>
                <w:bCs/>
                <w:color w:val="FFFFFF"/>
                <w:sz w:val="18"/>
                <w:szCs w:val="18"/>
              </w:rPr>
              <w:t xml:space="preserve">ID</w:t>
            </w:r>
          </w:p>
        </w:tc>
        <w:tc>
          <w:tcPr>
            <w:tcW w:type="dxa" w:w="42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b/>
                <w:bCs/>
                <w:color w:val="FFFFFF"/>
                <w:sz w:val="18"/>
                <w:szCs w:val="18"/>
              </w:rPr>
              <w:t xml:space="preserve">Fix</w:t>
            </w:r>
          </w:p>
        </w:tc>
        <w:tc>
          <w:tcPr>
            <w:tcW w:type="dxa" w:w="9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b/>
                <w:bCs/>
                <w:color w:val="FFFFFF"/>
                <w:sz w:val="18"/>
                <w:szCs w:val="18"/>
              </w:rPr>
              <w:t xml:space="preserve">Pri</w:t>
            </w:r>
          </w:p>
        </w:tc>
        <w:tc>
          <w:tcPr>
            <w:tcW w:type="dxa" w:w="11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b/>
                <w:bCs/>
                <w:color w:val="FFFFFF"/>
                <w:sz w:val="18"/>
                <w:szCs w:val="18"/>
              </w:rPr>
              <w:t xml:space="preserve">Days</w:t>
            </w:r>
          </w:p>
        </w:tc>
        <w:tc>
          <w:tcPr>
            <w:tcW w:type="dxa" w:w="226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b/>
                <w:bCs/>
                <w:color w:val="FFFFFF"/>
                <w:sz w:val="18"/>
                <w:szCs w:val="18"/>
              </w:rPr>
              <w:t xml:space="preserve">Owner</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000000"/>
                <w:sz w:val="18"/>
                <w:szCs w:val="18"/>
              </w:rPr>
              <w:t xml:space="preserve">CODE-1</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000000"/>
                <w:sz w:val="18"/>
                <w:szCs w:val="18"/>
              </w:rPr>
              <w:t xml:space="preserve">Delete the dead duplicate referral module (modules/referrals/)</w:t>
            </w:r>
          </w:p>
        </w:tc>
        <w:tc>
          <w:tcPr>
            <w:tcW w:type="dxa" w:w="900"/>
            <w:tcBorders>
              <w:top w:val="single" w:color="CCCCCC" w:sz="1"/>
              <w:left w:val="single" w:color="CCCCCC" w:sz="1"/>
              <w:bottom w:val="single" w:color="CCCCCC" w:sz="1"/>
              <w:right w:val="single" w:color="CCCCCC" w:sz="1"/>
            </w:tcBorders>
            <w:shd w:fill="BF8F00" w:val="clear"/>
            <w:tcMar>
              <w:top w:type="dxa" w:w="60"/>
              <w:left w:type="dxa" w:w="120"/>
              <w:bottom w:type="dxa" w:w="60"/>
              <w:right w:type="dxa" w:w="120"/>
            </w:tcMar>
          </w:tcPr>
          <w:p>
            <w:pPr>
              <w:jc w:val="center"/>
            </w:pPr>
            <w:r>
              <w:rPr>
                <w:b/>
                <w:bCs/>
                <w:color w:val="FFFFFF"/>
                <w:sz w:val="18"/>
                <w:szCs w:val="18"/>
              </w:rPr>
              <w:t xml:space="preserve">P2</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b w:val="false"/>
                <w:bCs w:val="false"/>
                <w:color w:val="000000"/>
                <w:sz w:val="18"/>
                <w:szCs w:val="18"/>
              </w:rPr>
              <w:t xml:space="preserve">0.5</w:t>
            </w:r>
          </w:p>
        </w:tc>
        <w:tc>
          <w:tcPr>
            <w:tcW w:type="dxa" w:w="2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000000"/>
                <w:sz w:val="18"/>
                <w:szCs w:val="18"/>
              </w:rPr>
              <w:t xml:space="preserve">Backend Eng</w:t>
            </w:r>
          </w:p>
        </w:tc>
      </w:tr>
      <w:tr>
        <w:tc>
          <w:tcPr>
            <w:tcW w:type="dxa" w:w="9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b/>
                <w:bCs/>
                <w:color w:val="000000"/>
                <w:sz w:val="18"/>
                <w:szCs w:val="18"/>
              </w:rPr>
              <w:t xml:space="preserve">CODE-2</w:t>
            </w:r>
          </w:p>
        </w:tc>
        <w:tc>
          <w:tcPr>
            <w:tcW w:type="dxa" w:w="42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b w:val="false"/>
                <w:bCs w:val="false"/>
                <w:color w:val="000000"/>
                <w:sz w:val="18"/>
                <w:szCs w:val="18"/>
              </w:rPr>
              <w:t xml:space="preserve">Consolidate the legacy ‘customers’ table into the new User model</w:t>
            </w:r>
          </w:p>
        </w:tc>
        <w:tc>
          <w:tcPr>
            <w:tcW w:type="dxa" w:w="900"/>
            <w:tcBorders>
              <w:top w:val="single" w:color="CCCCCC" w:sz="1"/>
              <w:left w:val="single" w:color="CCCCCC" w:sz="1"/>
              <w:bottom w:val="single" w:color="CCCCCC" w:sz="1"/>
              <w:right w:val="single" w:color="CCCCCC" w:sz="1"/>
            </w:tcBorders>
            <w:shd w:fill="ED7D31" w:val="clear"/>
            <w:tcMar>
              <w:top w:type="dxa" w:w="60"/>
              <w:left w:type="dxa" w:w="120"/>
              <w:bottom w:type="dxa" w:w="60"/>
              <w:right w:type="dxa" w:w="120"/>
            </w:tcMar>
          </w:tcPr>
          <w:p>
            <w:pPr>
              <w:jc w:val="center"/>
            </w:pPr>
            <w:r>
              <w:rPr>
                <w:b/>
                <w:bCs/>
                <w:color w:val="FFFFFF"/>
                <w:sz w:val="18"/>
                <w:szCs w:val="18"/>
              </w:rPr>
              <w:t xml:space="preserve">P1</w:t>
            </w:r>
          </w:p>
        </w:tc>
        <w:tc>
          <w:tcPr>
            <w:tcW w:type="dxa" w:w="11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pPr>
              <w:jc w:val="center"/>
            </w:pPr>
            <w:r>
              <w:rPr>
                <w:b w:val="false"/>
                <w:bCs w:val="false"/>
                <w:color w:val="000000"/>
                <w:sz w:val="18"/>
                <w:szCs w:val="18"/>
              </w:rPr>
              <w:t xml:space="preserve">4</w:t>
            </w:r>
          </w:p>
        </w:tc>
        <w:tc>
          <w:tcPr>
            <w:tcW w:type="dxa" w:w="226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b w:val="false"/>
                <w:bCs w:val="false"/>
                <w:color w:val="000000"/>
                <w:sz w:val="18"/>
                <w:szCs w:val="18"/>
              </w:rPr>
              <w:t xml:space="preserve">Backend Eng</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000000"/>
                <w:sz w:val="18"/>
                <w:szCs w:val="18"/>
              </w:rPr>
              <w:t xml:space="preserve">CODE-3</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000000"/>
                <w:sz w:val="18"/>
                <w:szCs w:val="18"/>
              </w:rPr>
              <w:t xml:space="preserve">Add PAN/GST uniqueness constraints + the missing loan-status index</w:t>
            </w:r>
          </w:p>
        </w:tc>
        <w:tc>
          <w:tcPr>
            <w:tcW w:type="dxa" w:w="900"/>
            <w:tcBorders>
              <w:top w:val="single" w:color="CCCCCC" w:sz="1"/>
              <w:left w:val="single" w:color="CCCCCC" w:sz="1"/>
              <w:bottom w:val="single" w:color="CCCCCC" w:sz="1"/>
              <w:right w:val="single" w:color="CCCCCC" w:sz="1"/>
            </w:tcBorders>
            <w:shd w:fill="BF8F00" w:val="clear"/>
            <w:tcMar>
              <w:top w:type="dxa" w:w="60"/>
              <w:left w:type="dxa" w:w="120"/>
              <w:bottom w:type="dxa" w:w="60"/>
              <w:right w:type="dxa" w:w="120"/>
            </w:tcMar>
          </w:tcPr>
          <w:p>
            <w:pPr>
              <w:jc w:val="center"/>
            </w:pPr>
            <w:r>
              <w:rPr>
                <w:b/>
                <w:bCs/>
                <w:color w:val="FFFFFF"/>
                <w:sz w:val="18"/>
                <w:szCs w:val="18"/>
              </w:rPr>
              <w:t xml:space="preserve">P2</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b w:val="false"/>
                <w:bCs w:val="false"/>
                <w:color w:val="000000"/>
                <w:sz w:val="18"/>
                <w:szCs w:val="18"/>
              </w:rPr>
              <w:t xml:space="preserve">1</w:t>
            </w:r>
          </w:p>
        </w:tc>
        <w:tc>
          <w:tcPr>
            <w:tcW w:type="dxa" w:w="2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000000"/>
                <w:sz w:val="18"/>
                <w:szCs w:val="18"/>
              </w:rPr>
              <w:t xml:space="preserve">Backend Eng</w:t>
            </w:r>
          </w:p>
        </w:tc>
      </w:tr>
      <w:tr>
        <w:tc>
          <w:tcPr>
            <w:tcW w:type="dxa" w:w="9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b/>
                <w:bCs/>
                <w:color w:val="000000"/>
                <w:sz w:val="18"/>
                <w:szCs w:val="18"/>
              </w:rPr>
              <w:t xml:space="preserve">CODE-4</w:t>
            </w:r>
          </w:p>
        </w:tc>
        <w:tc>
          <w:tcPr>
            <w:tcW w:type="dxa" w:w="42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b w:val="false"/>
                <w:bCs w:val="false"/>
                <w:color w:val="000000"/>
                <w:sz w:val="18"/>
                <w:szCs w:val="18"/>
              </w:rPr>
              <w:t xml:space="preserve">Global auth/loan state (Zustand or Context) with persistence</w:t>
            </w:r>
          </w:p>
        </w:tc>
        <w:tc>
          <w:tcPr>
            <w:tcW w:type="dxa" w:w="900"/>
            <w:tcBorders>
              <w:top w:val="single" w:color="CCCCCC" w:sz="1"/>
              <w:left w:val="single" w:color="CCCCCC" w:sz="1"/>
              <w:bottom w:val="single" w:color="CCCCCC" w:sz="1"/>
              <w:right w:val="single" w:color="CCCCCC" w:sz="1"/>
            </w:tcBorders>
            <w:shd w:fill="ED7D31" w:val="clear"/>
            <w:tcMar>
              <w:top w:type="dxa" w:w="60"/>
              <w:left w:type="dxa" w:w="120"/>
              <w:bottom w:type="dxa" w:w="60"/>
              <w:right w:type="dxa" w:w="120"/>
            </w:tcMar>
          </w:tcPr>
          <w:p>
            <w:pPr>
              <w:jc w:val="center"/>
            </w:pPr>
            <w:r>
              <w:rPr>
                <w:b/>
                <w:bCs/>
                <w:color w:val="FFFFFF"/>
                <w:sz w:val="18"/>
                <w:szCs w:val="18"/>
              </w:rPr>
              <w:t xml:space="preserve">P1</w:t>
            </w:r>
          </w:p>
        </w:tc>
        <w:tc>
          <w:tcPr>
            <w:tcW w:type="dxa" w:w="11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pPr>
              <w:jc w:val="center"/>
            </w:pPr>
            <w:r>
              <w:rPr>
                <w:b w:val="false"/>
                <w:bCs w:val="false"/>
                <w:color w:val="000000"/>
                <w:sz w:val="18"/>
                <w:szCs w:val="18"/>
              </w:rPr>
              <w:t xml:space="preserve">4</w:t>
            </w:r>
          </w:p>
        </w:tc>
        <w:tc>
          <w:tcPr>
            <w:tcW w:type="dxa" w:w="226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b w:val="false"/>
                <w:bCs w:val="false"/>
                <w:color w:val="000000"/>
                <w:sz w:val="18"/>
                <w:szCs w:val="18"/>
              </w:rPr>
              <w:t xml:space="preserve">Mobile Eng</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000000"/>
                <w:sz w:val="18"/>
                <w:szCs w:val="18"/>
              </w:rPr>
              <w:t xml:space="preserve">CODE-5</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000000"/>
                <w:sz w:val="18"/>
                <w:szCs w:val="18"/>
              </w:rPr>
              <w:t xml:space="preserve">Structured logging (pino/winston) with request IDs &amp; PII redaction</w:t>
            </w:r>
          </w:p>
        </w:tc>
        <w:tc>
          <w:tcPr>
            <w:tcW w:type="dxa" w:w="900"/>
            <w:tcBorders>
              <w:top w:val="single" w:color="CCCCCC" w:sz="1"/>
              <w:left w:val="single" w:color="CCCCCC" w:sz="1"/>
              <w:bottom w:val="single" w:color="CCCCCC" w:sz="1"/>
              <w:right w:val="single" w:color="CCCCCC" w:sz="1"/>
            </w:tcBorders>
            <w:shd w:fill="BF8F00" w:val="clear"/>
            <w:tcMar>
              <w:top w:type="dxa" w:w="60"/>
              <w:left w:type="dxa" w:w="120"/>
              <w:bottom w:type="dxa" w:w="60"/>
              <w:right w:type="dxa" w:w="120"/>
            </w:tcMar>
          </w:tcPr>
          <w:p>
            <w:pPr>
              <w:jc w:val="center"/>
            </w:pPr>
            <w:r>
              <w:rPr>
                <w:b/>
                <w:bCs/>
                <w:color w:val="FFFFFF"/>
                <w:sz w:val="18"/>
                <w:szCs w:val="18"/>
              </w:rPr>
              <w:t xml:space="preserve">P2</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b w:val="false"/>
                <w:bCs w:val="false"/>
                <w:color w:val="000000"/>
                <w:sz w:val="18"/>
                <w:szCs w:val="18"/>
              </w:rPr>
              <w:t xml:space="preserve">2</w:t>
            </w:r>
          </w:p>
        </w:tc>
        <w:tc>
          <w:tcPr>
            <w:tcW w:type="dxa" w:w="2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000000"/>
                <w:sz w:val="18"/>
                <w:szCs w:val="18"/>
              </w:rPr>
              <w:t xml:space="preserve">Backend Eng</w:t>
            </w:r>
          </w:p>
        </w:tc>
      </w:tr>
      <w:tr>
        <w:tc>
          <w:tcPr>
            <w:tcW w:type="dxa" w:w="9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b/>
                <w:bCs/>
                <w:color w:val="000000"/>
                <w:sz w:val="18"/>
                <w:szCs w:val="18"/>
              </w:rPr>
              <w:t xml:space="preserve">CODE-6</w:t>
            </w:r>
          </w:p>
        </w:tc>
        <w:tc>
          <w:tcPr>
            <w:tcW w:type="dxa" w:w="42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b w:val="false"/>
                <w:bCs w:val="false"/>
                <w:color w:val="000000"/>
                <w:sz w:val="18"/>
                <w:szCs w:val="18"/>
              </w:rPr>
              <w:t xml:space="preserve">Centralize error handling via AppError + handlePrismaError</w:t>
            </w:r>
          </w:p>
        </w:tc>
        <w:tc>
          <w:tcPr>
            <w:tcW w:type="dxa" w:w="900"/>
            <w:tcBorders>
              <w:top w:val="single" w:color="CCCCCC" w:sz="1"/>
              <w:left w:val="single" w:color="CCCCCC" w:sz="1"/>
              <w:bottom w:val="single" w:color="CCCCCC" w:sz="1"/>
              <w:right w:val="single" w:color="CCCCCC" w:sz="1"/>
            </w:tcBorders>
            <w:shd w:fill="BF8F00" w:val="clear"/>
            <w:tcMar>
              <w:top w:type="dxa" w:w="60"/>
              <w:left w:type="dxa" w:w="120"/>
              <w:bottom w:type="dxa" w:w="60"/>
              <w:right w:type="dxa" w:w="120"/>
            </w:tcMar>
          </w:tcPr>
          <w:p>
            <w:pPr>
              <w:jc w:val="center"/>
            </w:pPr>
            <w:r>
              <w:rPr>
                <w:b/>
                <w:bCs/>
                <w:color w:val="FFFFFF"/>
                <w:sz w:val="18"/>
                <w:szCs w:val="18"/>
              </w:rPr>
              <w:t xml:space="preserve">P2</w:t>
            </w:r>
          </w:p>
        </w:tc>
        <w:tc>
          <w:tcPr>
            <w:tcW w:type="dxa" w:w="11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pPr>
              <w:jc w:val="center"/>
            </w:pPr>
            <w:r>
              <w:rPr>
                <w:b w:val="false"/>
                <w:bCs w:val="false"/>
                <w:color w:val="000000"/>
                <w:sz w:val="18"/>
                <w:szCs w:val="18"/>
              </w:rPr>
              <w:t xml:space="preserve">1</w:t>
            </w:r>
          </w:p>
        </w:tc>
        <w:tc>
          <w:tcPr>
            <w:tcW w:type="dxa" w:w="226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b w:val="false"/>
                <w:bCs w:val="false"/>
                <w:color w:val="000000"/>
                <w:sz w:val="18"/>
                <w:szCs w:val="18"/>
              </w:rPr>
              <w:t xml:space="preserve">Backend Eng</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000000"/>
                <w:sz w:val="18"/>
                <w:szCs w:val="18"/>
              </w:rPr>
              <w:t xml:space="preserve">CODE-7</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000000"/>
                <w:sz w:val="18"/>
                <w:szCs w:val="18"/>
              </w:rPr>
              <w:t xml:space="preserve">Pagination + eager loading on list endpoints (kill N+1)</w:t>
            </w:r>
          </w:p>
        </w:tc>
        <w:tc>
          <w:tcPr>
            <w:tcW w:type="dxa" w:w="900"/>
            <w:tcBorders>
              <w:top w:val="single" w:color="CCCCCC" w:sz="1"/>
              <w:left w:val="single" w:color="CCCCCC" w:sz="1"/>
              <w:bottom w:val="single" w:color="CCCCCC" w:sz="1"/>
              <w:right w:val="single" w:color="CCCCCC" w:sz="1"/>
            </w:tcBorders>
            <w:shd w:fill="BF8F00" w:val="clear"/>
            <w:tcMar>
              <w:top w:type="dxa" w:w="60"/>
              <w:left w:type="dxa" w:w="120"/>
              <w:bottom w:type="dxa" w:w="60"/>
              <w:right w:type="dxa" w:w="120"/>
            </w:tcMar>
          </w:tcPr>
          <w:p>
            <w:pPr>
              <w:jc w:val="center"/>
            </w:pPr>
            <w:r>
              <w:rPr>
                <w:b/>
                <w:bCs/>
                <w:color w:val="FFFFFF"/>
                <w:sz w:val="18"/>
                <w:szCs w:val="18"/>
              </w:rPr>
              <w:t xml:space="preserve">P2</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b w:val="false"/>
                <w:bCs w:val="false"/>
                <w:color w:val="000000"/>
                <w:sz w:val="18"/>
                <w:szCs w:val="18"/>
              </w:rPr>
              <w:t xml:space="preserve">2</w:t>
            </w:r>
          </w:p>
        </w:tc>
        <w:tc>
          <w:tcPr>
            <w:tcW w:type="dxa" w:w="2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000000"/>
                <w:sz w:val="18"/>
                <w:szCs w:val="18"/>
              </w:rPr>
              <w:t xml:space="preserve">Backend Eng</w:t>
            </w:r>
          </w:p>
        </w:tc>
      </w:tr>
      <w:tr>
        <w:tc>
          <w:tcPr>
            <w:tcW w:type="dxa" w:w="9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b/>
                <w:bCs/>
                <w:color w:val="000000"/>
                <w:sz w:val="18"/>
                <w:szCs w:val="18"/>
              </w:rPr>
              <w:t xml:space="preserve">CODE-8</w:t>
            </w:r>
          </w:p>
        </w:tc>
        <w:tc>
          <w:tcPr>
            <w:tcW w:type="dxa" w:w="42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b w:val="false"/>
                <w:bCs w:val="false"/>
                <w:color w:val="000000"/>
                <w:sz w:val="18"/>
                <w:szCs w:val="18"/>
              </w:rPr>
              <w:t xml:space="preserve">Audit and remove the unused Firebase dependency if OTP is backend-driven</w:t>
            </w:r>
          </w:p>
        </w:tc>
        <w:tc>
          <w:tcPr>
            <w:tcW w:type="dxa" w:w="900"/>
            <w:tcBorders>
              <w:top w:val="single" w:color="CCCCCC" w:sz="1"/>
              <w:left w:val="single" w:color="CCCCCC" w:sz="1"/>
              <w:bottom w:val="single" w:color="CCCCCC" w:sz="1"/>
              <w:right w:val="single" w:color="CCCCCC" w:sz="1"/>
            </w:tcBorders>
            <w:shd w:fill="548235" w:val="clear"/>
            <w:tcMar>
              <w:top w:type="dxa" w:w="60"/>
              <w:left w:type="dxa" w:w="120"/>
              <w:bottom w:type="dxa" w:w="60"/>
              <w:right w:type="dxa" w:w="120"/>
            </w:tcMar>
          </w:tcPr>
          <w:p>
            <w:pPr>
              <w:jc w:val="center"/>
            </w:pPr>
            <w:r>
              <w:rPr>
                <w:b/>
                <w:bCs/>
                <w:color w:val="FFFFFF"/>
                <w:sz w:val="18"/>
                <w:szCs w:val="18"/>
              </w:rPr>
              <w:t xml:space="preserve">P3</w:t>
            </w:r>
          </w:p>
        </w:tc>
        <w:tc>
          <w:tcPr>
            <w:tcW w:type="dxa" w:w="11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pPr>
              <w:jc w:val="center"/>
            </w:pPr>
            <w:r>
              <w:rPr>
                <w:b w:val="false"/>
                <w:bCs w:val="false"/>
                <w:color w:val="000000"/>
                <w:sz w:val="18"/>
                <w:szCs w:val="18"/>
              </w:rPr>
              <w:t xml:space="preserve">2</w:t>
            </w:r>
          </w:p>
        </w:tc>
        <w:tc>
          <w:tcPr>
            <w:tcW w:type="dxa" w:w="226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b w:val="false"/>
                <w:bCs w:val="false"/>
                <w:color w:val="000000"/>
                <w:sz w:val="18"/>
                <w:szCs w:val="18"/>
              </w:rPr>
              <w:t xml:space="preserve">Mobile Eng</w:t>
            </w:r>
          </w:p>
        </w:tc>
      </w:tr>
    </w:tbl>
    <w:p>
      <w:pPr>
        <w:pStyle w:val="Heading3"/>
      </w:pPr>
      <w:r>
        <w:t xml:space="preserve">Notes that matter</w:t>
      </w:r>
    </w:p>
    <w:p>
      <w:pPr>
        <w:pStyle w:val="ListParagraph"/>
        <w:numPr>
          <w:ilvl w:val="0"/>
          <w:numId w:val="2"/>
        </w:numPr>
        <w:spacing w:after="60"/>
      </w:pPr>
      <w:r>
        <w:t xml:space="preserve">schema.prisma keeps both the legacy customers table and the new User model. Pick User, migrate the data, and retire the legacy path before more code depends on the ambiguity (CODE-2).</w:t>
      </w:r>
    </w:p>
    <w:p>
      <w:pPr>
        <w:pStyle w:val="ListParagraph"/>
        <w:numPr>
          <w:ilvl w:val="0"/>
          <w:numId w:val="2"/>
        </w:numPr>
        <w:spacing w:after="60"/>
      </w:pPr>
      <w:r>
        <w:t xml:space="preserve">The mobile app uses only local useState — no Redux/Zustand/Context. State is lost on navigation (the review’s LoginScreen phone example is real) and every screen refetches on mount. A small global store for auth + loan state fixes both (CODE-4).</w:t>
      </w:r>
    </w:p>
    <w:p>
      <w:pPr>
        <w:pStyle w:val="ListParagraph"/>
        <w:numPr>
          <w:ilvl w:val="0"/>
          <w:numId w:val="2"/>
        </w:numPr>
        <w:spacing w:after="60"/>
      </w:pPr>
      <w:r>
        <w:t xml:space="preserve">Firebase 12.x is bundled in the mobile app, but authentication is handled by the custom backend OTP flow. If Firebase isn’t actually used, removing it meaningfully cuts bundle size (CODE-8).</w:t>
      </w:r>
    </w:p>
    <w:p>
      <w:r>
        <w:br w:type="page"/>
      </w:r>
    </w:p>
    <w:p>
      <w:pPr>
        <w:pStyle w:val="Heading1"/>
      </w:pPr>
      <w:r>
        <w:t xml:space="preserve">Phase 3 — Testing, DevOps &amp; monitoring (Weeks 3–6)</w:t>
      </w:r>
    </w:p>
    <w:p>
      <w:pPr>
        <w:spacing w:after="120"/>
      </w:pPr>
      <w:r>
        <w:rPr>
          <w:i/>
          <w:iCs/>
          <w:color w:val="595959"/>
        </w:rPr>
        <w:t xml:space="preserve">There are currently zero tests, no Dockerfile, no CI, and no error tracking. This phase makes the system safe to change and safe to operate. Start the test harness as soon as the payment and auth flows stabilize.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900"/>
        <w:gridCol w:w="1100"/>
        <w:gridCol w:w="22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b/>
                <w:bCs/>
                <w:color w:val="FFFFFF"/>
                <w:sz w:val="18"/>
                <w:szCs w:val="18"/>
              </w:rPr>
              <w:t xml:space="preserve">ID</w:t>
            </w:r>
          </w:p>
        </w:tc>
        <w:tc>
          <w:tcPr>
            <w:tcW w:type="dxa" w:w="42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b/>
                <w:bCs/>
                <w:color w:val="FFFFFF"/>
                <w:sz w:val="18"/>
                <w:szCs w:val="18"/>
              </w:rPr>
              <w:t xml:space="preserve">Fix</w:t>
            </w:r>
          </w:p>
        </w:tc>
        <w:tc>
          <w:tcPr>
            <w:tcW w:type="dxa" w:w="9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b/>
                <w:bCs/>
                <w:color w:val="FFFFFF"/>
                <w:sz w:val="18"/>
                <w:szCs w:val="18"/>
              </w:rPr>
              <w:t xml:space="preserve">Pri</w:t>
            </w:r>
          </w:p>
        </w:tc>
        <w:tc>
          <w:tcPr>
            <w:tcW w:type="dxa" w:w="11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b/>
                <w:bCs/>
                <w:color w:val="FFFFFF"/>
                <w:sz w:val="18"/>
                <w:szCs w:val="18"/>
              </w:rPr>
              <w:t xml:space="preserve">Days</w:t>
            </w:r>
          </w:p>
        </w:tc>
        <w:tc>
          <w:tcPr>
            <w:tcW w:type="dxa" w:w="226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b/>
                <w:bCs/>
                <w:color w:val="FFFFFF"/>
                <w:sz w:val="18"/>
                <w:szCs w:val="18"/>
              </w:rPr>
              <w:t xml:space="preserve">Owner</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000000"/>
                <w:sz w:val="18"/>
                <w:szCs w:val="18"/>
              </w:rPr>
              <w:t xml:space="preserve">OPS-1</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000000"/>
                <w:sz w:val="18"/>
                <w:szCs w:val="18"/>
              </w:rPr>
              <w:t xml:space="preserve">Jest + supertest: critical-path tests for auth, loans, payments</w:t>
            </w:r>
          </w:p>
        </w:tc>
        <w:tc>
          <w:tcPr>
            <w:tcW w:type="dxa" w:w="900"/>
            <w:tcBorders>
              <w:top w:val="single" w:color="CCCCCC" w:sz="1"/>
              <w:left w:val="single" w:color="CCCCCC" w:sz="1"/>
              <w:bottom w:val="single" w:color="CCCCCC" w:sz="1"/>
              <w:right w:val="single" w:color="CCCCCC" w:sz="1"/>
            </w:tcBorders>
            <w:shd w:fill="ED7D31" w:val="clear"/>
            <w:tcMar>
              <w:top w:type="dxa" w:w="60"/>
              <w:left w:type="dxa" w:w="120"/>
              <w:bottom w:type="dxa" w:w="60"/>
              <w:right w:type="dxa" w:w="120"/>
            </w:tcMar>
          </w:tcPr>
          <w:p>
            <w:pPr>
              <w:jc w:val="center"/>
            </w:pPr>
            <w:r>
              <w:rPr>
                <w:b/>
                <w:bCs/>
                <w:color w:val="FFFFFF"/>
                <w:sz w:val="18"/>
                <w:szCs w:val="18"/>
              </w:rPr>
              <w:t xml:space="preserve">P1</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b w:val="false"/>
                <w:bCs w:val="false"/>
                <w:color w:val="000000"/>
                <w:sz w:val="18"/>
                <w:szCs w:val="18"/>
              </w:rPr>
              <w:t xml:space="preserve">5</w:t>
            </w:r>
          </w:p>
        </w:tc>
        <w:tc>
          <w:tcPr>
            <w:tcW w:type="dxa" w:w="2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000000"/>
                <w:sz w:val="18"/>
                <w:szCs w:val="18"/>
              </w:rPr>
              <w:t xml:space="preserve">Backend Eng</w:t>
            </w:r>
          </w:p>
        </w:tc>
      </w:tr>
      <w:tr>
        <w:tc>
          <w:tcPr>
            <w:tcW w:type="dxa" w:w="9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b/>
                <w:bCs/>
                <w:color w:val="000000"/>
                <w:sz w:val="18"/>
                <w:szCs w:val="18"/>
              </w:rPr>
              <w:t xml:space="preserve">OPS-2</w:t>
            </w:r>
          </w:p>
        </w:tc>
        <w:tc>
          <w:tcPr>
            <w:tcW w:type="dxa" w:w="42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b w:val="false"/>
                <w:bCs w:val="false"/>
                <w:color w:val="000000"/>
                <w:sz w:val="18"/>
                <w:szCs w:val="18"/>
              </w:rPr>
              <w:t xml:space="preserve">Dockerize backend + admin; docker-compose with Postgres</w:t>
            </w:r>
          </w:p>
        </w:tc>
        <w:tc>
          <w:tcPr>
            <w:tcW w:type="dxa" w:w="900"/>
            <w:tcBorders>
              <w:top w:val="single" w:color="CCCCCC" w:sz="1"/>
              <w:left w:val="single" w:color="CCCCCC" w:sz="1"/>
              <w:bottom w:val="single" w:color="CCCCCC" w:sz="1"/>
              <w:right w:val="single" w:color="CCCCCC" w:sz="1"/>
            </w:tcBorders>
            <w:shd w:fill="ED7D31" w:val="clear"/>
            <w:tcMar>
              <w:top w:type="dxa" w:w="60"/>
              <w:left w:type="dxa" w:w="120"/>
              <w:bottom w:type="dxa" w:w="60"/>
              <w:right w:type="dxa" w:w="120"/>
            </w:tcMar>
          </w:tcPr>
          <w:p>
            <w:pPr>
              <w:jc w:val="center"/>
            </w:pPr>
            <w:r>
              <w:rPr>
                <w:b/>
                <w:bCs/>
                <w:color w:val="FFFFFF"/>
                <w:sz w:val="18"/>
                <w:szCs w:val="18"/>
              </w:rPr>
              <w:t xml:space="preserve">P1</w:t>
            </w:r>
          </w:p>
        </w:tc>
        <w:tc>
          <w:tcPr>
            <w:tcW w:type="dxa" w:w="11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pPr>
              <w:jc w:val="center"/>
            </w:pPr>
            <w:r>
              <w:rPr>
                <w:b w:val="false"/>
                <w:bCs w:val="false"/>
                <w:color w:val="000000"/>
                <w:sz w:val="18"/>
                <w:szCs w:val="18"/>
              </w:rPr>
              <w:t xml:space="preserve">2</w:t>
            </w:r>
          </w:p>
        </w:tc>
        <w:tc>
          <w:tcPr>
            <w:tcW w:type="dxa" w:w="226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b w:val="false"/>
                <w:bCs w:val="false"/>
                <w:color w:val="000000"/>
                <w:sz w:val="18"/>
                <w:szCs w:val="18"/>
              </w:rPr>
              <w:t xml:space="preserve">DevOps</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000000"/>
                <w:sz w:val="18"/>
                <w:szCs w:val="18"/>
              </w:rPr>
              <w:t xml:space="preserve">OPS-3</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000000"/>
                <w:sz w:val="18"/>
                <w:szCs w:val="18"/>
              </w:rPr>
              <w:t xml:space="preserve">GitHub Actions CI/CD: lint, typecheck, test, build, deploy to staging</w:t>
            </w:r>
          </w:p>
        </w:tc>
        <w:tc>
          <w:tcPr>
            <w:tcW w:type="dxa" w:w="900"/>
            <w:tcBorders>
              <w:top w:val="single" w:color="CCCCCC" w:sz="1"/>
              <w:left w:val="single" w:color="CCCCCC" w:sz="1"/>
              <w:bottom w:val="single" w:color="CCCCCC" w:sz="1"/>
              <w:right w:val="single" w:color="CCCCCC" w:sz="1"/>
            </w:tcBorders>
            <w:shd w:fill="ED7D31" w:val="clear"/>
            <w:tcMar>
              <w:top w:type="dxa" w:w="60"/>
              <w:left w:type="dxa" w:w="120"/>
              <w:bottom w:type="dxa" w:w="60"/>
              <w:right w:type="dxa" w:w="120"/>
            </w:tcMar>
          </w:tcPr>
          <w:p>
            <w:pPr>
              <w:jc w:val="center"/>
            </w:pPr>
            <w:r>
              <w:rPr>
                <w:b/>
                <w:bCs/>
                <w:color w:val="FFFFFF"/>
                <w:sz w:val="18"/>
                <w:szCs w:val="18"/>
              </w:rPr>
              <w:t xml:space="preserve">P1</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b w:val="false"/>
                <w:bCs w:val="false"/>
                <w:color w:val="000000"/>
                <w:sz w:val="18"/>
                <w:szCs w:val="18"/>
              </w:rPr>
              <w:t xml:space="preserve">2</w:t>
            </w:r>
          </w:p>
        </w:tc>
        <w:tc>
          <w:tcPr>
            <w:tcW w:type="dxa" w:w="2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000000"/>
                <w:sz w:val="18"/>
                <w:szCs w:val="18"/>
              </w:rPr>
              <w:t xml:space="preserve">DevOps</w:t>
            </w:r>
          </w:p>
        </w:tc>
      </w:tr>
      <w:tr>
        <w:tc>
          <w:tcPr>
            <w:tcW w:type="dxa" w:w="9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b/>
                <w:bCs/>
                <w:color w:val="000000"/>
                <w:sz w:val="18"/>
                <w:szCs w:val="18"/>
              </w:rPr>
              <w:t xml:space="preserve">OPS-4</w:t>
            </w:r>
          </w:p>
        </w:tc>
        <w:tc>
          <w:tcPr>
            <w:tcW w:type="dxa" w:w="42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b w:val="false"/>
                <w:bCs w:val="false"/>
                <w:color w:val="000000"/>
                <w:sz w:val="18"/>
                <w:szCs w:val="18"/>
              </w:rPr>
              <w:t xml:space="preserve">Error tracking (Sentry) + product analytics (Mixpanel/PostHog)</w:t>
            </w:r>
          </w:p>
        </w:tc>
        <w:tc>
          <w:tcPr>
            <w:tcW w:type="dxa" w:w="900"/>
            <w:tcBorders>
              <w:top w:val="single" w:color="CCCCCC" w:sz="1"/>
              <w:left w:val="single" w:color="CCCCCC" w:sz="1"/>
              <w:bottom w:val="single" w:color="CCCCCC" w:sz="1"/>
              <w:right w:val="single" w:color="CCCCCC" w:sz="1"/>
            </w:tcBorders>
            <w:shd w:fill="ED7D31" w:val="clear"/>
            <w:tcMar>
              <w:top w:type="dxa" w:w="60"/>
              <w:left w:type="dxa" w:w="120"/>
              <w:bottom w:type="dxa" w:w="60"/>
              <w:right w:type="dxa" w:w="120"/>
            </w:tcMar>
          </w:tcPr>
          <w:p>
            <w:pPr>
              <w:jc w:val="center"/>
            </w:pPr>
            <w:r>
              <w:rPr>
                <w:b/>
                <w:bCs/>
                <w:color w:val="FFFFFF"/>
                <w:sz w:val="18"/>
                <w:szCs w:val="18"/>
              </w:rPr>
              <w:t xml:space="preserve">P1</w:t>
            </w:r>
          </w:p>
        </w:tc>
        <w:tc>
          <w:tcPr>
            <w:tcW w:type="dxa" w:w="11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pPr>
              <w:jc w:val="center"/>
            </w:pPr>
            <w:r>
              <w:rPr>
                <w:b w:val="false"/>
                <w:bCs w:val="false"/>
                <w:color w:val="000000"/>
                <w:sz w:val="18"/>
                <w:szCs w:val="18"/>
              </w:rPr>
              <w:t xml:space="preserve">2</w:t>
            </w:r>
          </w:p>
        </w:tc>
        <w:tc>
          <w:tcPr>
            <w:tcW w:type="dxa" w:w="226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b w:val="false"/>
                <w:bCs w:val="false"/>
                <w:color w:val="000000"/>
                <w:sz w:val="18"/>
                <w:szCs w:val="18"/>
              </w:rPr>
              <w:t xml:space="preserve">Backend + Mobile</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000000"/>
                <w:sz w:val="18"/>
                <w:szCs w:val="18"/>
              </w:rPr>
              <w:t xml:space="preserve">OPS-5</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000000"/>
                <w:sz w:val="18"/>
                <w:szCs w:val="18"/>
              </w:rPr>
              <w:t xml:space="preserve">ESLint + Prettier + Husky pre-commit + tsconfig strict</w:t>
            </w:r>
          </w:p>
        </w:tc>
        <w:tc>
          <w:tcPr>
            <w:tcW w:type="dxa" w:w="900"/>
            <w:tcBorders>
              <w:top w:val="single" w:color="CCCCCC" w:sz="1"/>
              <w:left w:val="single" w:color="CCCCCC" w:sz="1"/>
              <w:bottom w:val="single" w:color="CCCCCC" w:sz="1"/>
              <w:right w:val="single" w:color="CCCCCC" w:sz="1"/>
            </w:tcBorders>
            <w:shd w:fill="BF8F00" w:val="clear"/>
            <w:tcMar>
              <w:top w:type="dxa" w:w="60"/>
              <w:left w:type="dxa" w:w="120"/>
              <w:bottom w:type="dxa" w:w="60"/>
              <w:right w:type="dxa" w:w="120"/>
            </w:tcMar>
          </w:tcPr>
          <w:p>
            <w:pPr>
              <w:jc w:val="center"/>
            </w:pPr>
            <w:r>
              <w:rPr>
                <w:b/>
                <w:bCs/>
                <w:color w:val="FFFFFF"/>
                <w:sz w:val="18"/>
                <w:szCs w:val="18"/>
              </w:rPr>
              <w:t xml:space="preserve">P2</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b w:val="false"/>
                <w:bCs w:val="false"/>
                <w:color w:val="000000"/>
                <w:sz w:val="18"/>
                <w:szCs w:val="18"/>
              </w:rPr>
              <w:t xml:space="preserve">1</w:t>
            </w:r>
          </w:p>
        </w:tc>
        <w:tc>
          <w:tcPr>
            <w:tcW w:type="dxa" w:w="2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000000"/>
                <w:sz w:val="18"/>
                <w:szCs w:val="18"/>
              </w:rPr>
              <w:t xml:space="preserve">Backend Eng</w:t>
            </w:r>
          </w:p>
        </w:tc>
      </w:tr>
      <w:tr>
        <w:tc>
          <w:tcPr>
            <w:tcW w:type="dxa" w:w="9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b/>
                <w:bCs/>
                <w:color w:val="000000"/>
                <w:sz w:val="18"/>
                <w:szCs w:val="18"/>
              </w:rPr>
              <w:t xml:space="preserve">OPS-6</w:t>
            </w:r>
          </w:p>
        </w:tc>
        <w:tc>
          <w:tcPr>
            <w:tcW w:type="dxa" w:w="42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b w:val="false"/>
                <w:bCs w:val="false"/>
                <w:color w:val="000000"/>
                <w:sz w:val="18"/>
                <w:szCs w:val="18"/>
              </w:rPr>
              <w:t xml:space="preserve">Expo EAS build/OTA + image optimization (expo-image) + lazy tabs</w:t>
            </w:r>
          </w:p>
        </w:tc>
        <w:tc>
          <w:tcPr>
            <w:tcW w:type="dxa" w:w="900"/>
            <w:tcBorders>
              <w:top w:val="single" w:color="CCCCCC" w:sz="1"/>
              <w:left w:val="single" w:color="CCCCCC" w:sz="1"/>
              <w:bottom w:val="single" w:color="CCCCCC" w:sz="1"/>
              <w:right w:val="single" w:color="CCCCCC" w:sz="1"/>
            </w:tcBorders>
            <w:shd w:fill="548235" w:val="clear"/>
            <w:tcMar>
              <w:top w:type="dxa" w:w="60"/>
              <w:left w:type="dxa" w:w="120"/>
              <w:bottom w:type="dxa" w:w="60"/>
              <w:right w:type="dxa" w:w="120"/>
            </w:tcMar>
          </w:tcPr>
          <w:p>
            <w:pPr>
              <w:jc w:val="center"/>
            </w:pPr>
            <w:r>
              <w:rPr>
                <w:b/>
                <w:bCs/>
                <w:color w:val="FFFFFF"/>
                <w:sz w:val="18"/>
                <w:szCs w:val="18"/>
              </w:rPr>
              <w:t xml:space="preserve">P3</w:t>
            </w:r>
          </w:p>
        </w:tc>
        <w:tc>
          <w:tcPr>
            <w:tcW w:type="dxa" w:w="11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pPr>
              <w:jc w:val="center"/>
            </w:pPr>
            <w:r>
              <w:rPr>
                <w:b w:val="false"/>
                <w:bCs w:val="false"/>
                <w:color w:val="000000"/>
                <w:sz w:val="18"/>
                <w:szCs w:val="18"/>
              </w:rPr>
              <w:t xml:space="preserve">3</w:t>
            </w:r>
          </w:p>
        </w:tc>
        <w:tc>
          <w:tcPr>
            <w:tcW w:type="dxa" w:w="226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b w:val="false"/>
                <w:bCs w:val="false"/>
                <w:color w:val="000000"/>
                <w:sz w:val="18"/>
                <w:szCs w:val="18"/>
              </w:rPr>
              <w:t xml:space="preserve">Mobile Eng</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000000"/>
                <w:sz w:val="18"/>
                <w:szCs w:val="18"/>
              </w:rPr>
              <w:t xml:space="preserve">OPS-7</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000000"/>
                <w:sz w:val="18"/>
                <w:szCs w:val="18"/>
              </w:rPr>
              <w:t xml:space="preserve">Redis caching layer (scale prep, optional until needed)</w:t>
            </w:r>
          </w:p>
        </w:tc>
        <w:tc>
          <w:tcPr>
            <w:tcW w:type="dxa" w:w="900"/>
            <w:tcBorders>
              <w:top w:val="single" w:color="CCCCCC" w:sz="1"/>
              <w:left w:val="single" w:color="CCCCCC" w:sz="1"/>
              <w:bottom w:val="single" w:color="CCCCCC" w:sz="1"/>
              <w:right w:val="single" w:color="CCCCCC" w:sz="1"/>
            </w:tcBorders>
            <w:shd w:fill="548235" w:val="clear"/>
            <w:tcMar>
              <w:top w:type="dxa" w:w="60"/>
              <w:left w:type="dxa" w:w="120"/>
              <w:bottom w:type="dxa" w:w="60"/>
              <w:right w:type="dxa" w:w="120"/>
            </w:tcMar>
          </w:tcPr>
          <w:p>
            <w:pPr>
              <w:jc w:val="center"/>
            </w:pPr>
            <w:r>
              <w:rPr>
                <w:b/>
                <w:bCs/>
                <w:color w:val="FFFFFF"/>
                <w:sz w:val="18"/>
                <w:szCs w:val="18"/>
              </w:rPr>
              <w:t xml:space="preserve">P3</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b w:val="false"/>
                <w:bCs w:val="false"/>
                <w:color w:val="000000"/>
                <w:sz w:val="18"/>
                <w:szCs w:val="18"/>
              </w:rPr>
              <w:t xml:space="preserve">2</w:t>
            </w:r>
          </w:p>
        </w:tc>
        <w:tc>
          <w:tcPr>
            <w:tcW w:type="dxa" w:w="2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000000"/>
                <w:sz w:val="18"/>
                <w:szCs w:val="18"/>
              </w:rPr>
              <w:t xml:space="preserve">Backend Eng</w:t>
            </w:r>
          </w:p>
        </w:tc>
      </w:tr>
    </w:tbl>
    <w:p>
      <w:r>
        <w:br w:type="page"/>
      </w:r>
    </w:p>
    <w:p>
      <w:pPr>
        <w:pStyle w:val="Heading1"/>
      </w:pPr>
      <w:r>
        <w:t xml:space="preserve">Phase 4 — Business &amp; launch gating (parallel, founder-led)</w:t>
      </w:r>
    </w:p>
    <w:p>
      <w:pPr>
        <w:spacing w:after="120"/>
      </w:pPr>
      <w:r>
        <w:rPr>
          <w:i/>
          <w:iCs/>
          <w:color w:val="595959"/>
        </w:rPr>
        <w:t xml:space="preserve">These are not code tasks, but they gate launch harder than any code item. BIZ-1 and BIZ-2 are P0 and must start in Week 1 — they have the longest lead times and everything downstream (real beta, fundraise) depends on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900"/>
        <w:gridCol w:w="1100"/>
        <w:gridCol w:w="22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b/>
                <w:bCs/>
                <w:color w:val="FFFFFF"/>
                <w:sz w:val="18"/>
                <w:szCs w:val="18"/>
              </w:rPr>
              <w:t xml:space="preserve">ID</w:t>
            </w:r>
          </w:p>
        </w:tc>
        <w:tc>
          <w:tcPr>
            <w:tcW w:type="dxa" w:w="42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b/>
                <w:bCs/>
                <w:color w:val="FFFFFF"/>
                <w:sz w:val="18"/>
                <w:szCs w:val="18"/>
              </w:rPr>
              <w:t xml:space="preserve">Fix</w:t>
            </w:r>
          </w:p>
        </w:tc>
        <w:tc>
          <w:tcPr>
            <w:tcW w:type="dxa" w:w="9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b/>
                <w:bCs/>
                <w:color w:val="FFFFFF"/>
                <w:sz w:val="18"/>
                <w:szCs w:val="18"/>
              </w:rPr>
              <w:t xml:space="preserve">Pri</w:t>
            </w:r>
          </w:p>
        </w:tc>
        <w:tc>
          <w:tcPr>
            <w:tcW w:type="dxa" w:w="11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b/>
                <w:bCs/>
                <w:color w:val="FFFFFF"/>
                <w:sz w:val="18"/>
                <w:szCs w:val="18"/>
              </w:rPr>
              <w:t xml:space="preserve">Days</w:t>
            </w:r>
          </w:p>
        </w:tc>
        <w:tc>
          <w:tcPr>
            <w:tcW w:type="dxa" w:w="226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b/>
                <w:bCs/>
                <w:color w:val="FFFFFF"/>
                <w:sz w:val="18"/>
                <w:szCs w:val="18"/>
              </w:rPr>
              <w:t xml:space="preserve">Owner</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000000"/>
                <w:sz w:val="18"/>
                <w:szCs w:val="18"/>
              </w:rPr>
              <w:t xml:space="preserve">BIZ-1</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000000"/>
                <w:sz w:val="18"/>
                <w:szCs w:val="18"/>
              </w:rPr>
              <w:t xml:space="preserve">Secure the lending capital partner (NBFC / co-lending); decide the lending model</w:t>
            </w:r>
          </w:p>
        </w:tc>
        <w:tc>
          <w:tcPr>
            <w:tcW w:type="dxa" w:w="900"/>
            <w:tcBorders>
              <w:top w:val="single" w:color="CCCCCC" w:sz="1"/>
              <w:left w:val="single" w:color="CCCCCC" w:sz="1"/>
              <w:bottom w:val="single" w:color="CCCCCC" w:sz="1"/>
              <w:right w:val="single" w:color="CCCCCC" w:sz="1"/>
            </w:tcBorders>
            <w:shd w:fill="C00000" w:val="clear"/>
            <w:tcMar>
              <w:top w:type="dxa" w:w="60"/>
              <w:left w:type="dxa" w:w="120"/>
              <w:bottom w:type="dxa" w:w="60"/>
              <w:right w:type="dxa" w:w="120"/>
            </w:tcMar>
          </w:tcPr>
          <w:p>
            <w:pPr>
              <w:jc w:val="center"/>
            </w:pPr>
            <w:r>
              <w:rPr>
                <w:b/>
                <w:bCs/>
                <w:color w:val="FFFFFF"/>
                <w:sz w:val="18"/>
                <w:szCs w:val="18"/>
              </w:rPr>
              <w:t xml:space="preserve">P0</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b w:val="false"/>
                <w:bCs w:val="false"/>
                <w:color w:val="000000"/>
                <w:sz w:val="18"/>
                <w:szCs w:val="18"/>
              </w:rPr>
              <w:t xml:space="preserve">10</w:t>
            </w:r>
          </w:p>
        </w:tc>
        <w:tc>
          <w:tcPr>
            <w:tcW w:type="dxa" w:w="2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000000"/>
                <w:sz w:val="18"/>
                <w:szCs w:val="18"/>
              </w:rPr>
              <w:t xml:space="preserve">Founder / BD</w:t>
            </w:r>
          </w:p>
        </w:tc>
      </w:tr>
      <w:tr>
        <w:tc>
          <w:tcPr>
            <w:tcW w:type="dxa" w:w="9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b/>
                <w:bCs/>
                <w:color w:val="000000"/>
                <w:sz w:val="18"/>
                <w:szCs w:val="18"/>
              </w:rPr>
              <w:t xml:space="preserve">BIZ-2</w:t>
            </w:r>
          </w:p>
        </w:tc>
        <w:tc>
          <w:tcPr>
            <w:tcW w:type="dxa" w:w="42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b w:val="false"/>
                <w:bCs w:val="false"/>
                <w:color w:val="000000"/>
                <w:sz w:val="18"/>
                <w:szCs w:val="18"/>
              </w:rPr>
              <w:t xml:space="preserve">Legal &amp; regulatory review: RBI Digital Lending Guidelines, NBFC licensing, DPDP Act</w:t>
            </w:r>
          </w:p>
        </w:tc>
        <w:tc>
          <w:tcPr>
            <w:tcW w:type="dxa" w:w="900"/>
            <w:tcBorders>
              <w:top w:val="single" w:color="CCCCCC" w:sz="1"/>
              <w:left w:val="single" w:color="CCCCCC" w:sz="1"/>
              <w:bottom w:val="single" w:color="CCCCCC" w:sz="1"/>
              <w:right w:val="single" w:color="CCCCCC" w:sz="1"/>
            </w:tcBorders>
            <w:shd w:fill="C00000" w:val="clear"/>
            <w:tcMar>
              <w:top w:type="dxa" w:w="60"/>
              <w:left w:type="dxa" w:w="120"/>
              <w:bottom w:type="dxa" w:w="60"/>
              <w:right w:type="dxa" w:w="120"/>
            </w:tcMar>
          </w:tcPr>
          <w:p>
            <w:pPr>
              <w:jc w:val="center"/>
            </w:pPr>
            <w:r>
              <w:rPr>
                <w:b/>
                <w:bCs/>
                <w:color w:val="FFFFFF"/>
                <w:sz w:val="18"/>
                <w:szCs w:val="18"/>
              </w:rPr>
              <w:t xml:space="preserve">P0</w:t>
            </w:r>
          </w:p>
        </w:tc>
        <w:tc>
          <w:tcPr>
            <w:tcW w:type="dxa" w:w="11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pPr>
              <w:jc w:val="center"/>
            </w:pPr>
            <w:r>
              <w:rPr>
                <w:b w:val="false"/>
                <w:bCs w:val="false"/>
                <w:color w:val="000000"/>
                <w:sz w:val="18"/>
                <w:szCs w:val="18"/>
              </w:rPr>
              <w:t xml:space="preserve">10</w:t>
            </w:r>
          </w:p>
        </w:tc>
        <w:tc>
          <w:tcPr>
            <w:tcW w:type="dxa" w:w="226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b w:val="false"/>
                <w:bCs w:val="false"/>
                <w:color w:val="000000"/>
                <w:sz w:val="18"/>
                <w:szCs w:val="18"/>
              </w:rPr>
              <w:t xml:space="preserve">Founder / Legal</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000000"/>
                <w:sz w:val="18"/>
                <w:szCs w:val="18"/>
              </w:rPr>
              <w:t xml:space="preserve">BIZ-3</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000000"/>
                <w:sz w:val="18"/>
                <w:szCs w:val="18"/>
              </w:rPr>
              <w:t xml:space="preserve">Define the explicit revenue model + a unit-economics financial model</w:t>
            </w:r>
          </w:p>
        </w:tc>
        <w:tc>
          <w:tcPr>
            <w:tcW w:type="dxa" w:w="900"/>
            <w:tcBorders>
              <w:top w:val="single" w:color="CCCCCC" w:sz="1"/>
              <w:left w:val="single" w:color="CCCCCC" w:sz="1"/>
              <w:bottom w:val="single" w:color="CCCCCC" w:sz="1"/>
              <w:right w:val="single" w:color="CCCCCC" w:sz="1"/>
            </w:tcBorders>
            <w:shd w:fill="ED7D31" w:val="clear"/>
            <w:tcMar>
              <w:top w:type="dxa" w:w="60"/>
              <w:left w:type="dxa" w:w="120"/>
              <w:bottom w:type="dxa" w:w="60"/>
              <w:right w:type="dxa" w:w="120"/>
            </w:tcMar>
          </w:tcPr>
          <w:p>
            <w:pPr>
              <w:jc w:val="center"/>
            </w:pPr>
            <w:r>
              <w:rPr>
                <w:b/>
                <w:bCs/>
                <w:color w:val="FFFFFF"/>
                <w:sz w:val="18"/>
                <w:szCs w:val="18"/>
              </w:rPr>
              <w:t xml:space="preserve">P1</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b w:val="false"/>
                <w:bCs w:val="false"/>
                <w:color w:val="000000"/>
                <w:sz w:val="18"/>
                <w:szCs w:val="18"/>
              </w:rPr>
              <w:t xml:space="preserve">4</w:t>
            </w:r>
          </w:p>
        </w:tc>
        <w:tc>
          <w:tcPr>
            <w:tcW w:type="dxa" w:w="2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000000"/>
                <w:sz w:val="18"/>
                <w:szCs w:val="18"/>
              </w:rPr>
              <w:t xml:space="preserve">Founder / Finance</w:t>
            </w:r>
          </w:p>
        </w:tc>
      </w:tr>
      <w:tr>
        <w:tc>
          <w:tcPr>
            <w:tcW w:type="dxa" w:w="9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b/>
                <w:bCs/>
                <w:color w:val="000000"/>
                <w:sz w:val="18"/>
                <w:szCs w:val="18"/>
              </w:rPr>
              <w:t xml:space="preserve">BIZ-4</w:t>
            </w:r>
          </w:p>
        </w:tc>
        <w:tc>
          <w:tcPr>
            <w:tcW w:type="dxa" w:w="42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b w:val="false"/>
                <w:bCs w:val="false"/>
                <w:color w:val="000000"/>
                <w:sz w:val="18"/>
                <w:szCs w:val="18"/>
              </w:rPr>
              <w:t xml:space="preserve">GTM plan + investor materials (pitch deck, demo video)</w:t>
            </w:r>
          </w:p>
        </w:tc>
        <w:tc>
          <w:tcPr>
            <w:tcW w:type="dxa" w:w="900"/>
            <w:tcBorders>
              <w:top w:val="single" w:color="CCCCCC" w:sz="1"/>
              <w:left w:val="single" w:color="CCCCCC" w:sz="1"/>
              <w:bottom w:val="single" w:color="CCCCCC" w:sz="1"/>
              <w:right w:val="single" w:color="CCCCCC" w:sz="1"/>
            </w:tcBorders>
            <w:shd w:fill="ED7D31" w:val="clear"/>
            <w:tcMar>
              <w:top w:type="dxa" w:w="60"/>
              <w:left w:type="dxa" w:w="120"/>
              <w:bottom w:type="dxa" w:w="60"/>
              <w:right w:type="dxa" w:w="120"/>
            </w:tcMar>
          </w:tcPr>
          <w:p>
            <w:pPr>
              <w:jc w:val="center"/>
            </w:pPr>
            <w:r>
              <w:rPr>
                <w:b/>
                <w:bCs/>
                <w:color w:val="FFFFFF"/>
                <w:sz w:val="18"/>
                <w:szCs w:val="18"/>
              </w:rPr>
              <w:t xml:space="preserve">P1</w:t>
            </w:r>
          </w:p>
        </w:tc>
        <w:tc>
          <w:tcPr>
            <w:tcW w:type="dxa" w:w="11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pPr>
              <w:jc w:val="center"/>
            </w:pPr>
            <w:r>
              <w:rPr>
                <w:b w:val="false"/>
                <w:bCs w:val="false"/>
                <w:color w:val="000000"/>
                <w:sz w:val="18"/>
                <w:szCs w:val="18"/>
              </w:rPr>
              <w:t xml:space="preserve">5</w:t>
            </w:r>
          </w:p>
        </w:tc>
        <w:tc>
          <w:tcPr>
            <w:tcW w:type="dxa" w:w="226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b w:val="false"/>
                <w:bCs w:val="false"/>
                <w:color w:val="000000"/>
                <w:sz w:val="18"/>
                <w:szCs w:val="18"/>
              </w:rPr>
              <w:t xml:space="preserve">Founder / Growth</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000000"/>
                <w:sz w:val="18"/>
                <w:szCs w:val="18"/>
              </w:rPr>
              <w:t xml:space="preserve">BIZ-5</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000000"/>
                <w:sz w:val="18"/>
                <w:szCs w:val="18"/>
              </w:rPr>
              <w:t xml:space="preserve">Closed beta with 50–100 real SMBs, instrumented for the metrics investors ask for</w:t>
            </w:r>
          </w:p>
        </w:tc>
        <w:tc>
          <w:tcPr>
            <w:tcW w:type="dxa" w:w="900"/>
            <w:tcBorders>
              <w:top w:val="single" w:color="CCCCCC" w:sz="1"/>
              <w:left w:val="single" w:color="CCCCCC" w:sz="1"/>
              <w:bottom w:val="single" w:color="CCCCCC" w:sz="1"/>
              <w:right w:val="single" w:color="CCCCCC" w:sz="1"/>
            </w:tcBorders>
            <w:shd w:fill="ED7D31" w:val="clear"/>
            <w:tcMar>
              <w:top w:type="dxa" w:w="60"/>
              <w:left w:type="dxa" w:w="120"/>
              <w:bottom w:type="dxa" w:w="60"/>
              <w:right w:type="dxa" w:w="120"/>
            </w:tcMar>
          </w:tcPr>
          <w:p>
            <w:pPr>
              <w:jc w:val="center"/>
            </w:pPr>
            <w:r>
              <w:rPr>
                <w:b/>
                <w:bCs/>
                <w:color w:val="FFFFFF"/>
                <w:sz w:val="18"/>
                <w:szCs w:val="18"/>
              </w:rPr>
              <w:t xml:space="preserve">P1</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b w:val="false"/>
                <w:bCs w:val="false"/>
                <w:color w:val="000000"/>
                <w:sz w:val="18"/>
                <w:szCs w:val="18"/>
              </w:rPr>
              <w:t xml:space="preserve">8</w:t>
            </w:r>
          </w:p>
        </w:tc>
        <w:tc>
          <w:tcPr>
            <w:tcW w:type="dxa" w:w="2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000000"/>
                <w:sz w:val="18"/>
                <w:szCs w:val="18"/>
              </w:rPr>
              <w:t xml:space="preserve">Product / Growth</w:t>
            </w:r>
          </w:p>
        </w:tc>
      </w:tr>
    </w:tbl>
    <w:p>
      <w:pPr>
        <w:spacing w:after="120"/>
      </w:pPr>
      <w:r>
        <w:rPr>
          <w:i/>
          <w:iCs/>
          <w:color w:val="595959"/>
          <w:sz w:val="18"/>
          <w:szCs w:val="18"/>
        </w:rPr>
        <w:t xml:space="preserve">Effort here is in calendar-days of founder/partner time, not engineering-days — these overlap heavily with the engineering phases.</w:t>
      </w:r>
    </w:p>
    <w:p>
      <w:pPr>
        <w:pStyle w:val="Heading3"/>
      </w:pPr>
      <w:r>
        <w:t xml:space="preserve">The one question to answer this week</w:t>
      </w:r>
    </w:p>
    <w:p>
      <w:pPr>
        <w:spacing w:after="120"/>
      </w:pPr>
      <w:r>
        <w:t xml:space="preserve">Who provides the loan capital — is Svakarma a direct lender, a marketplace, or a distributor? The review flags this as the critical unanswered question, and it cascades into licensing (BIZ-2), the revenue model (BIZ-3), and the underwriting logic engineering builds in INT-6. Decide it before writing the underwriting rules.</w:t>
      </w:r>
    </w:p>
    <w:p>
      <w:r>
        <w:br w:type="page"/>
      </w:r>
    </w:p>
    <w:p>
      <w:pPr>
        <w:pStyle w:val="Heading1"/>
      </w:pPr>
      <w:r>
        <w:t xml:space="preserve">Sequencing &amp; critical path</w:t>
      </w:r>
    </w:p>
    <w:p>
      <w:pPr>
        <w:spacing w:after="120"/>
      </w:pPr>
      <w:r>
        <w:t xml:space="preserve">Weeks are indicative for a team of 2–3 engineers plus founders on the business track. The critical path to a real beta runs: SEC-2 → INT-1 (OTP), INT-2 (CIBIL) → INT-3 (payments) → OPS-1 (tests) → BIZ-5 (beta), with BIZ-1/BIZ-2 running in parallel from day one.</w:t>
      </w:r>
    </w:p>
    <w:p>
      <w:pPr>
        <w:pStyle w:val="Heading2"/>
      </w:pPr>
      <w:r>
        <w:t xml:space="preserve">Week-by-week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b/>
                <w:bCs/>
                <w:color w:val="FFFFFF"/>
                <w:sz w:val="18"/>
                <w:szCs w:val="18"/>
              </w:rPr>
              <w:t xml:space="preserve">When</w:t>
            </w:r>
          </w:p>
        </w:tc>
        <w:tc>
          <w:tcPr>
            <w:tcW w:type="dxa" w:w="786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b/>
                <w:bCs/>
                <w:color w:val="FFFFFF"/>
                <w:sz w:val="18"/>
                <w:szCs w:val="18"/>
              </w:rPr>
              <w:t xml:space="preserve">Focus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000000"/>
                <w:sz w:val="18"/>
                <w:szCs w:val="18"/>
              </w:rPr>
              <w:t xml:space="preserve">Week 1</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000000"/>
                <w:sz w:val="18"/>
                <w:szCs w:val="18"/>
              </w:rPr>
              <w:t xml:space="preserve">Engineering: all of Phase 0 (SEC-1–7). Business: start BIZ-1 (capital partner) and BIZ-2 (legal). Select OTP/payment/bureau vendors.</w:t>
            </w:r>
          </w:p>
        </w:tc>
      </w:tr>
      <w:tr>
        <w:tc>
          <w:tcPr>
            <w:tcW w:type="dxa" w:w="15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b/>
                <w:bCs/>
                <w:color w:val="000000"/>
                <w:sz w:val="18"/>
                <w:szCs w:val="18"/>
              </w:rPr>
              <w:t xml:space="preserve">Weeks 2–3</w:t>
            </w:r>
          </w:p>
        </w:tc>
        <w:tc>
          <w:tcPr>
            <w:tcW w:type="dxa" w:w="786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b w:val="false"/>
                <w:bCs w:val="false"/>
                <w:color w:val="000000"/>
                <w:sz w:val="18"/>
                <w:szCs w:val="18"/>
              </w:rPr>
              <w:t xml:space="preserve">INT-1 (OTP), INT-2 (CIBIL) begin. In parallel: CODE-1/2/3 (schema), CODE-4 (mobile state). OPS-2 (Docker) + OPS-5 (lint) set up.</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000000"/>
                <w:sz w:val="18"/>
                <w:szCs w:val="18"/>
              </w:rPr>
              <w:t xml:space="preserve">Weeks 3–4</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000000"/>
                <w:sz w:val="18"/>
                <w:szCs w:val="18"/>
              </w:rPr>
              <w:t xml:space="preserve">INT-3 (payments) + INT-4 (storage). OPS-1 (tests) and OPS-3 (CI/CD) come online. CODE-5/6/7 (logging, errors, pagination).</w:t>
            </w:r>
          </w:p>
        </w:tc>
      </w:tr>
      <w:tr>
        <w:tc>
          <w:tcPr>
            <w:tcW w:type="dxa" w:w="15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b/>
                <w:bCs/>
                <w:color w:val="000000"/>
                <w:sz w:val="18"/>
                <w:szCs w:val="18"/>
              </w:rPr>
              <w:t xml:space="preserve">Weeks 4–5</w:t>
            </w:r>
          </w:p>
        </w:tc>
        <w:tc>
          <w:tcPr>
            <w:tcW w:type="dxa" w:w="786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b w:val="false"/>
                <w:bCs w:val="false"/>
                <w:color w:val="000000"/>
                <w:sz w:val="18"/>
                <w:szCs w:val="18"/>
              </w:rPr>
              <w:t xml:space="preserve">INT-5 (notifications), INT-6 (underwriting), INT-7 (e-sign). OPS-4 (Sentry/analytics). BIZ-3 (financial model).</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color w:val="000000"/>
                <w:sz w:val="18"/>
                <w:szCs w:val="18"/>
              </w:rPr>
              <w:t xml:space="preserve">Weeks 5–6</w:t>
            </w:r>
          </w:p>
        </w:tc>
        <w:tc>
          <w:tcPr>
            <w:tcW w:type="dxa" w:w="7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000000"/>
                <w:sz w:val="18"/>
                <w:szCs w:val="18"/>
              </w:rPr>
              <w:t xml:space="preserve">Hardening, OPS-6/7, end-to-end testing. BIZ-4 (GTM + deck). Prepare BIZ-5 beta cohort.</w:t>
            </w:r>
          </w:p>
        </w:tc>
      </w:tr>
      <w:tr>
        <w:tc>
          <w:tcPr>
            <w:tcW w:type="dxa" w:w="150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b/>
                <w:bCs/>
                <w:color w:val="000000"/>
                <w:sz w:val="18"/>
                <w:szCs w:val="18"/>
              </w:rPr>
              <w:t xml:space="preserve">Weeks 6–8+</w:t>
            </w:r>
          </w:p>
        </w:tc>
        <w:tc>
          <w:tcPr>
            <w:tcW w:type="dxa" w:w="7860"/>
            <w:tcBorders>
              <w:top w:val="single" w:color="CCCCCC" w:sz="1"/>
              <w:left w:val="single" w:color="CCCCCC" w:sz="1"/>
              <w:bottom w:val="single" w:color="CCCCCC" w:sz="1"/>
              <w:right w:val="single" w:color="CCCCCC" w:sz="1"/>
            </w:tcBorders>
            <w:shd w:fill="F2F5FA" w:val="clear"/>
            <w:tcMar>
              <w:top w:type="dxa" w:w="60"/>
              <w:left w:type="dxa" w:w="120"/>
              <w:bottom w:type="dxa" w:w="60"/>
              <w:right w:type="dxa" w:w="120"/>
            </w:tcMar>
          </w:tcPr>
          <w:p>
            <w:r>
              <w:rPr>
                <w:b w:val="false"/>
                <w:bCs w:val="false"/>
                <w:color w:val="000000"/>
                <w:sz w:val="18"/>
                <w:szCs w:val="18"/>
              </w:rPr>
              <w:t xml:space="preserve">Closed beta with real SMBs (BIZ-5); collect approval/default/retention/NPS data for the fundraise.</w:t>
            </w:r>
          </w:p>
        </w:tc>
      </w:tr>
    </w:tbl>
    <w:p>
      <w:pPr>
        <w:pStyle w:val="Heading2"/>
      </w:pPr>
      <w:r>
        <w:t xml:space="preserve">Definition of “production-ready MVP”</w:t>
      </w:r>
    </w:p>
    <w:p>
      <w:pPr>
        <w:pStyle w:val="ListParagraph"/>
        <w:numPr>
          <w:ilvl w:val="0"/>
          <w:numId w:val="2"/>
        </w:numPr>
        <w:spacing w:after="60"/>
      </w:pPr>
      <w:r>
        <w:t xml:space="preserve">All P0 items closed; no mocked auth, payments, or bureau calls in the production path.</w:t>
      </w:r>
    </w:p>
    <w:p>
      <w:pPr>
        <w:pStyle w:val="ListParagraph"/>
        <w:numPr>
          <w:ilvl w:val="0"/>
          <w:numId w:val="2"/>
        </w:numPr>
        <w:spacing w:after="60"/>
      </w:pPr>
      <w:r>
        <w:t xml:space="preserve">Critical-path flows (login, apply, approve, repay) covered by automated tests running in CI.</w:t>
      </w:r>
    </w:p>
    <w:p>
      <w:pPr>
        <w:pStyle w:val="ListParagraph"/>
        <w:numPr>
          <w:ilvl w:val="0"/>
          <w:numId w:val="2"/>
        </w:numPr>
        <w:spacing w:after="60"/>
      </w:pPr>
      <w:r>
        <w:t xml:space="preserve">Errors tracked in Sentry; key funnels instrumented; rate limiting and validation enforced.</w:t>
      </w:r>
    </w:p>
    <w:p>
      <w:pPr>
        <w:pStyle w:val="ListParagraph"/>
        <w:numPr>
          <w:ilvl w:val="0"/>
          <w:numId w:val="2"/>
        </w:numPr>
        <w:spacing w:after="60"/>
      </w:pPr>
      <w:r>
        <w:t xml:space="preserve">A signed lending-capital arrangement and a documented regulatory position exist.</w:t>
      </w:r>
    </w:p>
    <w:p>
      <w:r>
        <w:br w:type="page"/>
      </w:r>
    </w:p>
    <w:p>
      <w:pPr>
        <w:pStyle w:val="Heading1"/>
      </w:pPr>
      <w:r>
        <w:t xml:space="preserve">Suggested ownership &amp; next step</w:t>
      </w:r>
    </w:p>
    <w:p>
      <w:pPr>
        <w:spacing w:after="120"/>
      </w:pPr>
      <w:r>
        <w:t xml:space="preserve">The review estimates production-readiness at 8–12 weeks with 1–2 added senior engineers; this plan agrees. A workable split: one senior backend engineer owns Phases 0–1 (security + integrations), one full-stack/mobile engineer owns the mobile half of Phase 0 plus Phase 2 (state, quality), and a part-time DevOps owns Phase 3. Founders own Phase 4 from Week 1.</w:t>
      </w:r>
    </w:p>
    <w:p>
      <w:pPr>
        <w:spacing w:after="120"/>
      </w:pPr>
      <w:r>
        <w:t xml:space="preserve">Recommended next step: confirm the lending-capital model (BIZ-1) and kick off the legal review (BIZ-2) this week, while engineering starts Phase 0 — it needs no decisions and no accounts, so there is no reason to wait. When you are ready to start the code work, I can implement Phase 0 directly in the repo, file by file, for review.</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Svakarma Remediation Roadmap  •  Confidential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Arial" w:cs="Arial" w:eastAsia="Arial" w:hAnsi="Arial"/>
      <w:b/>
      <w:bCs/>
      <w:color w:val="1F3864"/>
      <w:sz w:val="52"/>
      <w:szCs w:val="52"/>
    </w:rPr>
  </w:style>
  <w:style w:type="paragraph" w:styleId="Heading1">
    <w:name w:val="Heading 1"/>
    <w:basedOn w:val="Normal"/>
    <w:next w:val="Normal"/>
    <w:qFormat/>
    <w:pPr>
      <w:pBdr>
        <w:bottom w:val="single" w:color="2E75B6" w:sz="6" w:space="4"/>
      </w:pBdr>
      <w:spacing w:after="14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75B6"/>
      <w:sz w:val="25"/>
      <w:szCs w:val="25"/>
    </w:rPr>
  </w:style>
  <w:style w:type="paragraph" w:styleId="Heading3">
    <w:name w:val="Heading 3"/>
    <w:basedOn w:val="Normal"/>
    <w:next w:val="Normal"/>
    <w:qFormat/>
    <w:pPr>
      <w:spacing w:after="60" w:before="14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Svakarma</dc:creator>
  <cp:lastModifiedBy>Un-named</cp:lastModifiedBy>
  <cp:revision>1</cp:revision>
  <dcterms:created xsi:type="dcterms:W3CDTF">2026-06-11T11:03:14.646Z</dcterms:created>
  <dcterms:modified xsi:type="dcterms:W3CDTF">2026-06-11T11:03:14.646Z</dcterms:modified>
</cp:coreProperties>
</file>

<file path=docProps/custom.xml><?xml version="1.0" encoding="utf-8"?>
<Properties xmlns="http://schemas.openxmlformats.org/officeDocument/2006/custom-properties" xmlns:vt="http://schemas.openxmlformats.org/officeDocument/2006/docPropsVTypes"/>
</file>