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7039F">
      <w:pPr>
        <w:jc w:val="center"/>
      </w:pPr>
      <w:r>
        <w:rPr>
          <w:rFonts w:ascii="黑体" w:hAnsi="黑体"/>
          <w:b/>
          <w:sz w:val="32"/>
        </w:rPr>
        <w:t>头颈癌切口感染预测结果</w:t>
      </w:r>
    </w:p>
    <w:p w14:paraId="55F906D8"/>
    <w:p w14:paraId="1122BF8C">
      <w:r>
        <w:rPr>
          <w:rFonts w:ascii="黑体" w:hAnsi="黑体"/>
          <w:b/>
          <w:sz w:val="26"/>
        </w:rPr>
        <w:t>模型构建</w:t>
      </w:r>
    </w:p>
    <w:p w14:paraId="3A45CE18">
      <w:pPr>
        <w:ind w:firstLine="440"/>
      </w:pPr>
      <w:r>
        <w:rPr>
          <w:b w:val="0"/>
          <w:sz w:val="22"/>
        </w:rPr>
        <w:t>采用 Python 3.8 进行数据处理，确保模型稳定性：①缺失值处理：连续变量用中位数填充，分类变量用众数填充，所有变量缺失率均 &lt;5%，符合机器学习建模要求；②连续变量标准化（Z-score）：消除量纲影响，避免模型过度依赖数值范围大的变量；③分类变量编码：二分类变量用 0/1 编码，多分类变量用序列编码。</w:t>
      </w:r>
    </w:p>
    <w:p w14:paraId="02D04076">
      <w:pPr>
        <w:ind w:firstLine="440"/>
        <w:rPr>
          <w:b w:val="0"/>
          <w:bCs/>
        </w:rPr>
      </w:pPr>
      <w:r>
        <w:rPr>
          <w:b w:val="0"/>
          <w:sz w:val="22"/>
        </w:rPr>
        <w:t>在建立模型之前，检查变量的多重共线性，相关性热力图如图1所示。首先应用 LASSO 回归进行特征筛选，共保留回归系数非零变量 30 个。经 Spearman 相关性检验（阈值 |ρ|&gt;0.6），移除 Days to fistula confirmation（与 Anastomotic fistula Spearman |ρ|=1.000）、Smoking（与 Drinking Spearman |ρ|=0.608）。进一步通过多因素 Logistic 回归（p&lt;0.05）筛选出独立预测因素共 10 个，分别为：</w:t>
      </w:r>
      <w:r>
        <w:rPr>
          <w:b w:val="0"/>
          <w:bCs/>
          <w:sz w:val="22"/>
        </w:rPr>
        <w:t>吻合口瘘（Anastomotic fistula）、术前前白蛋白（PALB before surgery）、病变部位（site）、非计划二次手术（Unplanned reoperation）、</w:t>
      </w:r>
      <w:r>
        <w:rPr>
          <w:rFonts w:hint="default"/>
          <w:b w:val="0"/>
          <w:bCs/>
          <w:sz w:val="22"/>
        </w:rPr>
        <w:t>最新版</w:t>
      </w:r>
      <w:r>
        <w:rPr>
          <w:b w:val="0"/>
          <w:bCs/>
          <w:sz w:val="22"/>
        </w:rPr>
        <w:t>pTNM（Stage）、气管</w:t>
      </w:r>
      <w:r>
        <w:rPr>
          <w:rFonts w:hint="eastAsia" w:eastAsia="宋体"/>
          <w:b w:val="0"/>
          <w:bCs/>
          <w:sz w:val="22"/>
          <w:lang w:val="en-US" w:eastAsia="zh-CN"/>
        </w:rPr>
        <w:t>造</w:t>
      </w:r>
      <w:r>
        <w:rPr>
          <w:b w:val="0"/>
          <w:bCs/>
          <w:sz w:val="22"/>
        </w:rPr>
        <w:t>瘘（Tracheal Fistula）、腔镜手术（Endoscopy）、激素类药物（Hormones）、术前放疗（Radiation therapy before surgery）、术前血红蛋白（HBG before surgery）。</w:t>
      </w:r>
    </w:p>
    <w:p w14:paraId="7FEA5AAF">
      <w:pPr>
        <w:ind w:firstLine="440"/>
      </w:pPr>
      <w:r>
        <w:rPr>
          <w:b w:val="0"/>
          <w:sz w:val="22"/>
        </w:rPr>
        <w:t>采用分层抽样按 7:3 比例将患者随机分为训练集（2760 例，切口感染 71 例）和测试集（1183 例，切口感染 30 例），切口感染总发生率约 2.56%。构建广义线性模型（GLM）、随机森林（RF）、支持向量机（SVM）、神经网络（NNET）和梯度增强机（GBM）共 5 种机器学习模型，使用 AUC、灵敏度、特异度、准确度和 F1 分数评估模型性能，采用 SHAP 方法对最优模型进行可解释性分析。</w:t>
      </w:r>
    </w:p>
    <w:p w14:paraId="063DF226">
      <w:bookmarkStart w:id="0" w:name="_GoBack"/>
      <w:bookmarkEnd w:id="0"/>
    </w:p>
    <w:p w14:paraId="6F43164D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90565" cy="5664200"/>
            <wp:effectExtent l="0" t="0" r="635" b="5080"/>
            <wp:docPr id="5" name="图片 5" descr="lasso_spearman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asso_spearman_heatma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FEEB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图1  变量相关性热力图（彩图）</w:t>
      </w:r>
    </w:p>
    <w:p w14:paraId="5F46CD78"/>
    <w:p w14:paraId="2AA8B504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表1  不同 ML 模型的预测性能比较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303"/>
        <w:gridCol w:w="1303"/>
        <w:gridCol w:w="1303"/>
        <w:gridCol w:w="1303"/>
        <w:gridCol w:w="1196"/>
        <w:gridCol w:w="1410"/>
      </w:tblGrid>
      <w:tr w14:paraId="2DE9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shd w:val="clear" w:color="auto" w:fill="auto"/>
          </w:tcPr>
          <w:p w14:paraId="228614B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303" w:type="dxa"/>
            <w:shd w:val="clear" w:color="auto" w:fill="auto"/>
          </w:tcPr>
          <w:p w14:paraId="3445A39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AUC</w:t>
            </w:r>
          </w:p>
        </w:tc>
        <w:tc>
          <w:tcPr>
            <w:tcW w:w="1303" w:type="dxa"/>
            <w:shd w:val="clear" w:color="auto" w:fill="auto"/>
          </w:tcPr>
          <w:p w14:paraId="098870A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灵敏度</w:t>
            </w:r>
          </w:p>
        </w:tc>
        <w:tc>
          <w:tcPr>
            <w:tcW w:w="1303" w:type="dxa"/>
            <w:shd w:val="clear" w:color="auto" w:fill="auto"/>
          </w:tcPr>
          <w:p w14:paraId="21C8F5E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特异度</w:t>
            </w:r>
          </w:p>
        </w:tc>
        <w:tc>
          <w:tcPr>
            <w:tcW w:w="1303" w:type="dxa"/>
            <w:shd w:val="clear" w:color="auto" w:fill="auto"/>
          </w:tcPr>
          <w:p w14:paraId="222632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准确率</w:t>
            </w:r>
          </w:p>
        </w:tc>
        <w:tc>
          <w:tcPr>
            <w:tcW w:w="1196" w:type="dxa"/>
            <w:shd w:val="clear" w:color="auto" w:fill="auto"/>
          </w:tcPr>
          <w:p w14:paraId="17FCE15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F1</w:t>
            </w:r>
          </w:p>
        </w:tc>
        <w:tc>
          <w:tcPr>
            <w:tcW w:w="1410" w:type="dxa"/>
            <w:shd w:val="clear" w:color="auto" w:fill="auto"/>
          </w:tcPr>
          <w:p w14:paraId="128A084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Youden指数</w:t>
            </w:r>
          </w:p>
        </w:tc>
      </w:tr>
      <w:tr w14:paraId="5B82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  <w:shd w:val="clear" w:color="auto" w:fill="auto"/>
          </w:tcPr>
          <w:p w14:paraId="007651A8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GBM</w:t>
            </w:r>
          </w:p>
        </w:tc>
        <w:tc>
          <w:tcPr>
            <w:tcW w:w="1303" w:type="dxa"/>
            <w:shd w:val="clear" w:color="auto" w:fill="auto"/>
          </w:tcPr>
          <w:p w14:paraId="2F2F8E4F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0.8696</w:t>
            </w:r>
          </w:p>
        </w:tc>
        <w:tc>
          <w:tcPr>
            <w:tcW w:w="1303" w:type="dxa"/>
            <w:shd w:val="clear" w:color="auto" w:fill="auto"/>
          </w:tcPr>
          <w:p w14:paraId="777B9D2C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66.67%</w:t>
            </w:r>
          </w:p>
        </w:tc>
        <w:tc>
          <w:tcPr>
            <w:tcW w:w="1303" w:type="dxa"/>
            <w:shd w:val="clear" w:color="auto" w:fill="auto"/>
          </w:tcPr>
          <w:p w14:paraId="79E056AC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82.39%</w:t>
            </w:r>
          </w:p>
        </w:tc>
        <w:tc>
          <w:tcPr>
            <w:tcW w:w="1303" w:type="dxa"/>
            <w:shd w:val="clear" w:color="auto" w:fill="auto"/>
          </w:tcPr>
          <w:p w14:paraId="7823CE2F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81.99%</w:t>
            </w:r>
          </w:p>
        </w:tc>
        <w:tc>
          <w:tcPr>
            <w:tcW w:w="1196" w:type="dxa"/>
            <w:shd w:val="clear" w:color="auto" w:fill="auto"/>
          </w:tcPr>
          <w:p w14:paraId="71864AC8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0.1581</w:t>
            </w:r>
          </w:p>
        </w:tc>
        <w:tc>
          <w:tcPr>
            <w:tcW w:w="1410" w:type="dxa"/>
            <w:shd w:val="clear" w:color="auto" w:fill="auto"/>
          </w:tcPr>
          <w:p w14:paraId="27C99095">
            <w:pPr>
              <w:spacing w:after="0" w:line="240" w:lineRule="auto"/>
              <w:jc w:val="center"/>
              <w:rPr>
                <w:b w:val="0"/>
                <w:bCs/>
              </w:rPr>
            </w:pPr>
            <w:r>
              <w:rPr>
                <w:b w:val="0"/>
                <w:bCs/>
                <w:sz w:val="20"/>
              </w:rPr>
              <w:t>0.4906</w:t>
            </w:r>
          </w:p>
        </w:tc>
      </w:tr>
      <w:tr w14:paraId="11FE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</w:tcPr>
          <w:p w14:paraId="33166A1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RF</w:t>
            </w:r>
          </w:p>
        </w:tc>
        <w:tc>
          <w:tcPr>
            <w:tcW w:w="1303" w:type="dxa"/>
          </w:tcPr>
          <w:p w14:paraId="1A40722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0.8333</w:t>
            </w:r>
          </w:p>
        </w:tc>
        <w:tc>
          <w:tcPr>
            <w:tcW w:w="1303" w:type="dxa"/>
          </w:tcPr>
          <w:p w14:paraId="2953028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86.67%</w:t>
            </w:r>
          </w:p>
        </w:tc>
        <w:tc>
          <w:tcPr>
            <w:tcW w:w="1303" w:type="dxa"/>
          </w:tcPr>
          <w:p w14:paraId="63EF8AAD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66.00%</w:t>
            </w:r>
          </w:p>
        </w:tc>
        <w:tc>
          <w:tcPr>
            <w:tcW w:w="1303" w:type="dxa"/>
          </w:tcPr>
          <w:p w14:paraId="3CDCFC9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66.53%</w:t>
            </w:r>
          </w:p>
        </w:tc>
        <w:tc>
          <w:tcPr>
            <w:tcW w:w="1196" w:type="dxa"/>
          </w:tcPr>
          <w:p w14:paraId="4A794DB7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0.1161</w:t>
            </w:r>
          </w:p>
        </w:tc>
        <w:tc>
          <w:tcPr>
            <w:tcW w:w="1410" w:type="dxa"/>
          </w:tcPr>
          <w:p w14:paraId="3698A10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0.5267</w:t>
            </w:r>
          </w:p>
        </w:tc>
      </w:tr>
      <w:tr w14:paraId="0EF7F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</w:tcPr>
          <w:p w14:paraId="7CD0302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GLM</w:t>
            </w:r>
          </w:p>
        </w:tc>
        <w:tc>
          <w:tcPr>
            <w:tcW w:w="1303" w:type="dxa"/>
          </w:tcPr>
          <w:p w14:paraId="2AC4F071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0.8317</w:t>
            </w:r>
          </w:p>
        </w:tc>
        <w:tc>
          <w:tcPr>
            <w:tcW w:w="1303" w:type="dxa"/>
          </w:tcPr>
          <w:p w14:paraId="55CEE8F3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63.33%</w:t>
            </w:r>
          </w:p>
        </w:tc>
        <w:tc>
          <w:tcPr>
            <w:tcW w:w="1303" w:type="dxa"/>
          </w:tcPr>
          <w:p w14:paraId="7509BE41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80.57%</w:t>
            </w:r>
          </w:p>
        </w:tc>
        <w:tc>
          <w:tcPr>
            <w:tcW w:w="1303" w:type="dxa"/>
          </w:tcPr>
          <w:p w14:paraId="13F684DA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80.14%</w:t>
            </w:r>
          </w:p>
        </w:tc>
        <w:tc>
          <w:tcPr>
            <w:tcW w:w="1196" w:type="dxa"/>
          </w:tcPr>
          <w:p w14:paraId="3A6C975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0.1392</w:t>
            </w:r>
          </w:p>
        </w:tc>
        <w:tc>
          <w:tcPr>
            <w:tcW w:w="1410" w:type="dxa"/>
          </w:tcPr>
          <w:p w14:paraId="48BAD8C9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0.4391</w:t>
            </w:r>
          </w:p>
        </w:tc>
      </w:tr>
      <w:tr w14:paraId="70EE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</w:tcPr>
          <w:p w14:paraId="2322B450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NNET</w:t>
            </w:r>
          </w:p>
        </w:tc>
        <w:tc>
          <w:tcPr>
            <w:tcW w:w="1303" w:type="dxa"/>
          </w:tcPr>
          <w:p w14:paraId="4FEBB90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0.8255</w:t>
            </w:r>
          </w:p>
        </w:tc>
        <w:tc>
          <w:tcPr>
            <w:tcW w:w="1303" w:type="dxa"/>
          </w:tcPr>
          <w:p w14:paraId="721D295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53.33%</w:t>
            </w:r>
          </w:p>
        </w:tc>
        <w:tc>
          <w:tcPr>
            <w:tcW w:w="1303" w:type="dxa"/>
          </w:tcPr>
          <w:p w14:paraId="3F3EC07E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84.74%</w:t>
            </w:r>
          </w:p>
        </w:tc>
        <w:tc>
          <w:tcPr>
            <w:tcW w:w="1303" w:type="dxa"/>
          </w:tcPr>
          <w:p w14:paraId="49EC8D3B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83.94%</w:t>
            </w:r>
          </w:p>
        </w:tc>
        <w:tc>
          <w:tcPr>
            <w:tcW w:w="1196" w:type="dxa"/>
          </w:tcPr>
          <w:p w14:paraId="1A7FE04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0.1441</w:t>
            </w:r>
          </w:p>
        </w:tc>
        <w:tc>
          <w:tcPr>
            <w:tcW w:w="1410" w:type="dxa"/>
          </w:tcPr>
          <w:p w14:paraId="64E78E4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0.3807</w:t>
            </w:r>
          </w:p>
        </w:tc>
      </w:tr>
      <w:tr w14:paraId="69A82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3" w:type="dxa"/>
          </w:tcPr>
          <w:p w14:paraId="51B601D2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SVM</w:t>
            </w:r>
          </w:p>
        </w:tc>
        <w:tc>
          <w:tcPr>
            <w:tcW w:w="1303" w:type="dxa"/>
          </w:tcPr>
          <w:p w14:paraId="5A33E591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0.8048</w:t>
            </w:r>
          </w:p>
        </w:tc>
        <w:tc>
          <w:tcPr>
            <w:tcW w:w="1303" w:type="dxa"/>
          </w:tcPr>
          <w:p w14:paraId="505187E9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60.00%</w:t>
            </w:r>
          </w:p>
        </w:tc>
        <w:tc>
          <w:tcPr>
            <w:tcW w:w="1303" w:type="dxa"/>
          </w:tcPr>
          <w:p w14:paraId="7F53AD2F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82.57%</w:t>
            </w:r>
          </w:p>
        </w:tc>
        <w:tc>
          <w:tcPr>
            <w:tcW w:w="1303" w:type="dxa"/>
          </w:tcPr>
          <w:p w14:paraId="31E090F7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81.99%</w:t>
            </w:r>
          </w:p>
        </w:tc>
        <w:tc>
          <w:tcPr>
            <w:tcW w:w="1196" w:type="dxa"/>
          </w:tcPr>
          <w:p w14:paraId="695AF4F8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0.1446</w:t>
            </w:r>
          </w:p>
        </w:tc>
        <w:tc>
          <w:tcPr>
            <w:tcW w:w="1410" w:type="dxa"/>
          </w:tcPr>
          <w:p w14:paraId="195D327C"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0.4257</w:t>
            </w:r>
          </w:p>
        </w:tc>
      </w:tr>
    </w:tbl>
    <w:p w14:paraId="5E286356"/>
    <w:p w14:paraId="3521F060">
      <w:pPr>
        <w:jc w:val="center"/>
      </w:pPr>
      <w:r>
        <w:drawing>
          <wp:inline distT="0" distB="0" distL="114300" distR="114300">
            <wp:extent cx="5120640" cy="407860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7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CB24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图2  不同 ML 模型的 ROC 曲线（彩图）</w:t>
      </w:r>
    </w:p>
    <w:p w14:paraId="2D37074F"/>
    <w:p w14:paraId="3D5EFDA0">
      <w:pPr>
        <w:jc w:val="center"/>
      </w:pPr>
      <w:r>
        <w:drawing>
          <wp:inline distT="0" distB="0" distL="114300" distR="114300">
            <wp:extent cx="5120640" cy="38176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1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8FD5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图3  GBM 模型的 SHAP 绝对值总和统计图</w:t>
      </w:r>
    </w:p>
    <w:p w14:paraId="0A8B013D"/>
    <w:p w14:paraId="7726E813">
      <w:pPr>
        <w:jc w:val="center"/>
      </w:pPr>
      <w:r>
        <w:drawing>
          <wp:inline distT="0" distB="0" distL="114300" distR="114300">
            <wp:extent cx="5120640" cy="355981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94A0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图4  GBM 模型的 SHAP 分析（彩图）</w:t>
      </w:r>
    </w:p>
    <w:p w14:paraId="7709AE94"/>
    <w:p w14:paraId="76879D4B">
      <w:pPr>
        <w:widowControl w:val="0"/>
        <w:spacing w:after="0" w:line="240" w:lineRule="auto"/>
        <w:ind w:firstLine="360"/>
        <w:jc w:val="center"/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</w:pPr>
      <w:r>
        <w:rPr>
          <w:rFonts w:ascii="Times New Roman" w:hAnsi="Times New Roman" w:eastAsia="黑体" w:cs="Times New Roman"/>
          <w:kern w:val="2"/>
          <w:sz w:val="18"/>
          <w:szCs w:val="20"/>
          <w:lang w:eastAsia="zh-CN"/>
        </w:rPr>
        <w:t>表2  多因素 Logistic 回归独立预测因素（p&lt;0.05）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</w:tblGrid>
      <w:tr w14:paraId="61F5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27EB056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w="1824" w:type="dxa"/>
            <w:shd w:val="clear" w:color="auto" w:fill="auto"/>
          </w:tcPr>
          <w:p w14:paraId="62C3779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回归系数 β</w:t>
            </w:r>
          </w:p>
        </w:tc>
        <w:tc>
          <w:tcPr>
            <w:tcW w:w="1824" w:type="dxa"/>
            <w:shd w:val="clear" w:color="auto" w:fill="auto"/>
          </w:tcPr>
          <w:p w14:paraId="20CAB6C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OR</w:t>
            </w:r>
          </w:p>
        </w:tc>
        <w:tc>
          <w:tcPr>
            <w:tcW w:w="1824" w:type="dxa"/>
            <w:shd w:val="clear" w:color="auto" w:fill="auto"/>
          </w:tcPr>
          <w:p w14:paraId="7237CD7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95% CI</w:t>
            </w:r>
          </w:p>
        </w:tc>
        <w:tc>
          <w:tcPr>
            <w:tcW w:w="1824" w:type="dxa"/>
            <w:shd w:val="clear" w:color="auto" w:fill="auto"/>
          </w:tcPr>
          <w:p w14:paraId="0AF0A32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P 值</w:t>
            </w:r>
          </w:p>
        </w:tc>
      </w:tr>
      <w:tr w14:paraId="08BC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14BA44A9">
            <w:pPr>
              <w:spacing w:after="0" w:line="240" w:lineRule="auto"/>
              <w:jc w:val="left"/>
            </w:pPr>
            <w:r>
              <w:rPr>
                <w:sz w:val="20"/>
              </w:rPr>
              <w:t>Anastomotic fistula</w:t>
            </w:r>
          </w:p>
        </w:tc>
        <w:tc>
          <w:tcPr>
            <w:tcW w:w="1824" w:type="dxa"/>
            <w:shd w:val="clear" w:color="auto" w:fill="auto"/>
          </w:tcPr>
          <w:p w14:paraId="1AF91D09">
            <w:pPr>
              <w:spacing w:after="0" w:line="240" w:lineRule="auto"/>
              <w:jc w:val="center"/>
            </w:pPr>
            <w:r>
              <w:rPr>
                <w:sz w:val="20"/>
              </w:rPr>
              <w:t>4.067</w:t>
            </w:r>
          </w:p>
        </w:tc>
        <w:tc>
          <w:tcPr>
            <w:tcW w:w="1824" w:type="dxa"/>
            <w:shd w:val="clear" w:color="auto" w:fill="auto"/>
          </w:tcPr>
          <w:p w14:paraId="271DF6F2">
            <w:pPr>
              <w:spacing w:after="0" w:line="240" w:lineRule="auto"/>
              <w:jc w:val="center"/>
            </w:pPr>
            <w:r>
              <w:rPr>
                <w:sz w:val="20"/>
              </w:rPr>
              <w:t>58.394</w:t>
            </w:r>
          </w:p>
        </w:tc>
        <w:tc>
          <w:tcPr>
            <w:tcW w:w="1824" w:type="dxa"/>
            <w:shd w:val="clear" w:color="auto" w:fill="auto"/>
          </w:tcPr>
          <w:p w14:paraId="75D937F3">
            <w:pPr>
              <w:spacing w:after="0" w:line="240" w:lineRule="auto"/>
              <w:jc w:val="center"/>
            </w:pPr>
            <w:r>
              <w:rPr>
                <w:sz w:val="20"/>
              </w:rPr>
              <w:t>19.155–178.020</w:t>
            </w:r>
          </w:p>
        </w:tc>
        <w:tc>
          <w:tcPr>
            <w:tcW w:w="1824" w:type="dxa"/>
            <w:shd w:val="clear" w:color="auto" w:fill="auto"/>
          </w:tcPr>
          <w:p w14:paraId="0D4F9577">
            <w:pPr>
              <w:spacing w:after="0" w:line="240" w:lineRule="auto"/>
              <w:jc w:val="center"/>
            </w:pPr>
            <w:r>
              <w:rPr>
                <w:sz w:val="20"/>
              </w:rPr>
              <w:t>&lt;0.001</w:t>
            </w:r>
          </w:p>
        </w:tc>
      </w:tr>
      <w:tr w14:paraId="4C8C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0E6AE765">
            <w:pPr>
              <w:spacing w:after="0" w:line="240" w:lineRule="auto"/>
              <w:jc w:val="left"/>
            </w:pPr>
            <w:r>
              <w:rPr>
                <w:sz w:val="20"/>
              </w:rPr>
              <w:t>PALB before surgery</w:t>
            </w:r>
          </w:p>
        </w:tc>
        <w:tc>
          <w:tcPr>
            <w:tcW w:w="1824" w:type="dxa"/>
            <w:shd w:val="clear" w:color="auto" w:fill="auto"/>
          </w:tcPr>
          <w:p w14:paraId="210F86F0">
            <w:pPr>
              <w:spacing w:after="0" w:line="240" w:lineRule="auto"/>
              <w:jc w:val="center"/>
            </w:pPr>
            <w:r>
              <w:rPr>
                <w:sz w:val="20"/>
              </w:rPr>
              <w:t>-1.581</w:t>
            </w:r>
          </w:p>
        </w:tc>
        <w:tc>
          <w:tcPr>
            <w:tcW w:w="1824" w:type="dxa"/>
            <w:shd w:val="clear" w:color="auto" w:fill="auto"/>
          </w:tcPr>
          <w:p w14:paraId="6AD53983">
            <w:pPr>
              <w:spacing w:after="0" w:line="240" w:lineRule="auto"/>
              <w:jc w:val="center"/>
            </w:pPr>
            <w:r>
              <w:rPr>
                <w:sz w:val="20"/>
              </w:rPr>
              <w:t>0.206</w:t>
            </w:r>
          </w:p>
        </w:tc>
        <w:tc>
          <w:tcPr>
            <w:tcW w:w="1824" w:type="dxa"/>
            <w:shd w:val="clear" w:color="auto" w:fill="auto"/>
          </w:tcPr>
          <w:p w14:paraId="5BBFEE45">
            <w:pPr>
              <w:spacing w:after="0" w:line="240" w:lineRule="auto"/>
              <w:jc w:val="center"/>
            </w:pPr>
            <w:r>
              <w:rPr>
                <w:sz w:val="20"/>
              </w:rPr>
              <w:t>0.105–0.403</w:t>
            </w:r>
          </w:p>
        </w:tc>
        <w:tc>
          <w:tcPr>
            <w:tcW w:w="1824" w:type="dxa"/>
            <w:shd w:val="clear" w:color="auto" w:fill="auto"/>
          </w:tcPr>
          <w:p w14:paraId="402AB15D">
            <w:pPr>
              <w:spacing w:after="0" w:line="240" w:lineRule="auto"/>
              <w:jc w:val="center"/>
            </w:pPr>
            <w:r>
              <w:rPr>
                <w:sz w:val="20"/>
              </w:rPr>
              <w:t>&lt;0.001</w:t>
            </w:r>
          </w:p>
        </w:tc>
      </w:tr>
      <w:tr w14:paraId="0CB3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119ABE47">
            <w:pPr>
              <w:spacing w:after="0" w:line="240" w:lineRule="auto"/>
              <w:jc w:val="left"/>
            </w:pPr>
            <w:r>
              <w:rPr>
                <w:sz w:val="20"/>
              </w:rPr>
              <w:t>site</w:t>
            </w:r>
          </w:p>
        </w:tc>
        <w:tc>
          <w:tcPr>
            <w:tcW w:w="1824" w:type="dxa"/>
            <w:shd w:val="clear" w:color="auto" w:fill="auto"/>
          </w:tcPr>
          <w:p w14:paraId="77076F6C">
            <w:pPr>
              <w:spacing w:after="0" w:line="240" w:lineRule="auto"/>
              <w:jc w:val="center"/>
            </w:pPr>
            <w:r>
              <w:rPr>
                <w:sz w:val="20"/>
              </w:rPr>
              <w:t>0.261</w:t>
            </w:r>
          </w:p>
        </w:tc>
        <w:tc>
          <w:tcPr>
            <w:tcW w:w="1824" w:type="dxa"/>
            <w:shd w:val="clear" w:color="auto" w:fill="auto"/>
          </w:tcPr>
          <w:p w14:paraId="5A2124AD">
            <w:pPr>
              <w:spacing w:after="0" w:line="240" w:lineRule="auto"/>
              <w:jc w:val="center"/>
            </w:pPr>
            <w:r>
              <w:rPr>
                <w:sz w:val="20"/>
              </w:rPr>
              <w:t>1.299</w:t>
            </w:r>
          </w:p>
        </w:tc>
        <w:tc>
          <w:tcPr>
            <w:tcW w:w="1824" w:type="dxa"/>
            <w:shd w:val="clear" w:color="auto" w:fill="auto"/>
          </w:tcPr>
          <w:p w14:paraId="1F1D49EC">
            <w:pPr>
              <w:spacing w:after="0" w:line="240" w:lineRule="auto"/>
              <w:jc w:val="center"/>
            </w:pPr>
            <w:r>
              <w:rPr>
                <w:sz w:val="20"/>
              </w:rPr>
              <w:t>1.137–1.483</w:t>
            </w:r>
          </w:p>
        </w:tc>
        <w:tc>
          <w:tcPr>
            <w:tcW w:w="1824" w:type="dxa"/>
            <w:shd w:val="clear" w:color="auto" w:fill="auto"/>
          </w:tcPr>
          <w:p w14:paraId="5AC011F2">
            <w:pPr>
              <w:spacing w:after="0" w:line="240" w:lineRule="auto"/>
              <w:jc w:val="center"/>
            </w:pPr>
            <w:r>
              <w:rPr>
                <w:sz w:val="20"/>
              </w:rPr>
              <w:t>&lt;0.001</w:t>
            </w:r>
          </w:p>
        </w:tc>
      </w:tr>
      <w:tr w14:paraId="3C8E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04FDA251">
            <w:pPr>
              <w:spacing w:after="0" w:line="240" w:lineRule="auto"/>
              <w:jc w:val="left"/>
            </w:pPr>
            <w:r>
              <w:rPr>
                <w:sz w:val="20"/>
              </w:rPr>
              <w:t>Unplanned reoperation</w:t>
            </w:r>
          </w:p>
        </w:tc>
        <w:tc>
          <w:tcPr>
            <w:tcW w:w="1824" w:type="dxa"/>
            <w:shd w:val="clear" w:color="auto" w:fill="auto"/>
          </w:tcPr>
          <w:p w14:paraId="50C709B4">
            <w:pPr>
              <w:spacing w:after="0" w:line="240" w:lineRule="auto"/>
              <w:jc w:val="center"/>
            </w:pPr>
            <w:r>
              <w:rPr>
                <w:sz w:val="20"/>
              </w:rPr>
              <w:t>2.544</w:t>
            </w:r>
          </w:p>
        </w:tc>
        <w:tc>
          <w:tcPr>
            <w:tcW w:w="1824" w:type="dxa"/>
            <w:shd w:val="clear" w:color="auto" w:fill="auto"/>
          </w:tcPr>
          <w:p w14:paraId="0C7AA547">
            <w:pPr>
              <w:spacing w:after="0" w:line="240" w:lineRule="auto"/>
              <w:jc w:val="center"/>
            </w:pPr>
            <w:r>
              <w:rPr>
                <w:sz w:val="20"/>
              </w:rPr>
              <w:t>12.736</w:t>
            </w:r>
          </w:p>
        </w:tc>
        <w:tc>
          <w:tcPr>
            <w:tcW w:w="1824" w:type="dxa"/>
            <w:shd w:val="clear" w:color="auto" w:fill="auto"/>
          </w:tcPr>
          <w:p w14:paraId="19729440">
            <w:pPr>
              <w:spacing w:after="0" w:line="240" w:lineRule="auto"/>
              <w:jc w:val="center"/>
            </w:pPr>
            <w:r>
              <w:rPr>
                <w:sz w:val="20"/>
              </w:rPr>
              <w:t>3.438–47.182</w:t>
            </w:r>
          </w:p>
        </w:tc>
        <w:tc>
          <w:tcPr>
            <w:tcW w:w="1824" w:type="dxa"/>
            <w:shd w:val="clear" w:color="auto" w:fill="auto"/>
          </w:tcPr>
          <w:p w14:paraId="31C08843">
            <w:pPr>
              <w:spacing w:after="0" w:line="240" w:lineRule="auto"/>
              <w:jc w:val="center"/>
            </w:pPr>
            <w:r>
              <w:rPr>
                <w:sz w:val="20"/>
              </w:rPr>
              <w:t>&lt;0.001</w:t>
            </w:r>
          </w:p>
        </w:tc>
      </w:tr>
      <w:tr w14:paraId="212D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6A8634C7">
            <w:pPr>
              <w:spacing w:after="0" w:line="240" w:lineRule="auto"/>
              <w:jc w:val="left"/>
            </w:pPr>
            <w:r>
              <w:rPr>
                <w:sz w:val="20"/>
              </w:rPr>
              <w:t>Stage</w:t>
            </w:r>
          </w:p>
        </w:tc>
        <w:tc>
          <w:tcPr>
            <w:tcW w:w="1824" w:type="dxa"/>
            <w:shd w:val="clear" w:color="auto" w:fill="auto"/>
          </w:tcPr>
          <w:p w14:paraId="391D7D93">
            <w:pPr>
              <w:spacing w:after="0" w:line="240" w:lineRule="auto"/>
              <w:jc w:val="center"/>
            </w:pPr>
            <w:r>
              <w:rPr>
                <w:sz w:val="20"/>
              </w:rPr>
              <w:t>-0.350</w:t>
            </w:r>
          </w:p>
        </w:tc>
        <w:tc>
          <w:tcPr>
            <w:tcW w:w="1824" w:type="dxa"/>
            <w:shd w:val="clear" w:color="auto" w:fill="auto"/>
          </w:tcPr>
          <w:p w14:paraId="474B9AF5">
            <w:pPr>
              <w:spacing w:after="0" w:line="240" w:lineRule="auto"/>
              <w:jc w:val="center"/>
            </w:pPr>
            <w:r>
              <w:rPr>
                <w:sz w:val="20"/>
              </w:rPr>
              <w:t>0.705</w:t>
            </w:r>
          </w:p>
        </w:tc>
        <w:tc>
          <w:tcPr>
            <w:tcW w:w="1824" w:type="dxa"/>
            <w:shd w:val="clear" w:color="auto" w:fill="auto"/>
          </w:tcPr>
          <w:p w14:paraId="45137D86">
            <w:pPr>
              <w:spacing w:after="0" w:line="240" w:lineRule="auto"/>
              <w:jc w:val="center"/>
            </w:pPr>
            <w:r>
              <w:rPr>
                <w:sz w:val="20"/>
              </w:rPr>
              <w:t>0.580–0.856</w:t>
            </w:r>
          </w:p>
        </w:tc>
        <w:tc>
          <w:tcPr>
            <w:tcW w:w="1824" w:type="dxa"/>
            <w:shd w:val="clear" w:color="auto" w:fill="auto"/>
          </w:tcPr>
          <w:p w14:paraId="6C24EE30">
            <w:pPr>
              <w:spacing w:after="0" w:line="240" w:lineRule="auto"/>
              <w:jc w:val="center"/>
            </w:pPr>
            <w:r>
              <w:rPr>
                <w:sz w:val="20"/>
              </w:rPr>
              <w:t>&lt;0.001</w:t>
            </w:r>
          </w:p>
        </w:tc>
      </w:tr>
      <w:tr w14:paraId="360C1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73634446">
            <w:pPr>
              <w:spacing w:after="0" w:line="240" w:lineRule="auto"/>
              <w:jc w:val="left"/>
            </w:pPr>
            <w:r>
              <w:rPr>
                <w:sz w:val="20"/>
              </w:rPr>
              <w:t>Tracheal Fistula</w:t>
            </w:r>
          </w:p>
        </w:tc>
        <w:tc>
          <w:tcPr>
            <w:tcW w:w="1824" w:type="dxa"/>
            <w:shd w:val="clear" w:color="auto" w:fill="auto"/>
          </w:tcPr>
          <w:p w14:paraId="307AF581">
            <w:pPr>
              <w:spacing w:after="0" w:line="240" w:lineRule="auto"/>
              <w:jc w:val="center"/>
            </w:pPr>
            <w:r>
              <w:rPr>
                <w:sz w:val="20"/>
              </w:rPr>
              <w:t>0.913</w:t>
            </w:r>
          </w:p>
        </w:tc>
        <w:tc>
          <w:tcPr>
            <w:tcW w:w="1824" w:type="dxa"/>
            <w:shd w:val="clear" w:color="auto" w:fill="auto"/>
          </w:tcPr>
          <w:p w14:paraId="19E3EB6A">
            <w:pPr>
              <w:spacing w:after="0" w:line="240" w:lineRule="auto"/>
              <w:jc w:val="center"/>
            </w:pPr>
            <w:r>
              <w:rPr>
                <w:sz w:val="20"/>
              </w:rPr>
              <w:t>2.491</w:t>
            </w:r>
          </w:p>
        </w:tc>
        <w:tc>
          <w:tcPr>
            <w:tcW w:w="1824" w:type="dxa"/>
            <w:shd w:val="clear" w:color="auto" w:fill="auto"/>
          </w:tcPr>
          <w:p w14:paraId="5D7EE719">
            <w:pPr>
              <w:spacing w:after="0" w:line="240" w:lineRule="auto"/>
              <w:jc w:val="center"/>
            </w:pPr>
            <w:r>
              <w:rPr>
                <w:sz w:val="20"/>
              </w:rPr>
              <w:t>1.331–4.660</w:t>
            </w:r>
          </w:p>
        </w:tc>
        <w:tc>
          <w:tcPr>
            <w:tcW w:w="1824" w:type="dxa"/>
            <w:shd w:val="clear" w:color="auto" w:fill="auto"/>
          </w:tcPr>
          <w:p w14:paraId="2D823889">
            <w:pPr>
              <w:spacing w:after="0" w:line="240" w:lineRule="auto"/>
              <w:jc w:val="center"/>
            </w:pPr>
            <w:r>
              <w:rPr>
                <w:sz w:val="20"/>
              </w:rPr>
              <w:t>0.0043</w:t>
            </w:r>
          </w:p>
        </w:tc>
      </w:tr>
      <w:tr w14:paraId="5D0D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43EEDD99">
            <w:pPr>
              <w:spacing w:after="0" w:line="240" w:lineRule="auto"/>
              <w:jc w:val="left"/>
            </w:pPr>
            <w:r>
              <w:rPr>
                <w:sz w:val="20"/>
              </w:rPr>
              <w:t>Endoscopy</w:t>
            </w:r>
          </w:p>
        </w:tc>
        <w:tc>
          <w:tcPr>
            <w:tcW w:w="1824" w:type="dxa"/>
            <w:shd w:val="clear" w:color="auto" w:fill="auto"/>
          </w:tcPr>
          <w:p w14:paraId="396D1391">
            <w:pPr>
              <w:spacing w:after="0" w:line="240" w:lineRule="auto"/>
              <w:jc w:val="center"/>
            </w:pPr>
            <w:r>
              <w:rPr>
                <w:sz w:val="20"/>
              </w:rPr>
              <w:t>1.288</w:t>
            </w:r>
          </w:p>
        </w:tc>
        <w:tc>
          <w:tcPr>
            <w:tcW w:w="1824" w:type="dxa"/>
            <w:shd w:val="clear" w:color="auto" w:fill="auto"/>
          </w:tcPr>
          <w:p w14:paraId="5DEEE124">
            <w:pPr>
              <w:spacing w:after="0" w:line="240" w:lineRule="auto"/>
              <w:jc w:val="center"/>
            </w:pPr>
            <w:r>
              <w:rPr>
                <w:sz w:val="20"/>
              </w:rPr>
              <w:t>3.625</w:t>
            </w:r>
          </w:p>
        </w:tc>
        <w:tc>
          <w:tcPr>
            <w:tcW w:w="1824" w:type="dxa"/>
            <w:shd w:val="clear" w:color="auto" w:fill="auto"/>
          </w:tcPr>
          <w:p w14:paraId="07F05061">
            <w:pPr>
              <w:spacing w:after="0" w:line="240" w:lineRule="auto"/>
              <w:jc w:val="center"/>
            </w:pPr>
            <w:r>
              <w:rPr>
                <w:sz w:val="20"/>
              </w:rPr>
              <w:t>1.497–8.778</w:t>
            </w:r>
          </w:p>
        </w:tc>
        <w:tc>
          <w:tcPr>
            <w:tcW w:w="1824" w:type="dxa"/>
            <w:shd w:val="clear" w:color="auto" w:fill="auto"/>
          </w:tcPr>
          <w:p w14:paraId="2E60C27F">
            <w:pPr>
              <w:spacing w:after="0" w:line="240" w:lineRule="auto"/>
              <w:jc w:val="center"/>
            </w:pPr>
            <w:r>
              <w:rPr>
                <w:sz w:val="20"/>
              </w:rPr>
              <w:t>0.0043</w:t>
            </w:r>
          </w:p>
        </w:tc>
      </w:tr>
      <w:tr w14:paraId="4264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70D59686">
            <w:pPr>
              <w:spacing w:after="0" w:line="240" w:lineRule="auto"/>
              <w:jc w:val="left"/>
            </w:pPr>
            <w:r>
              <w:rPr>
                <w:sz w:val="20"/>
              </w:rPr>
              <w:t>Hormones</w:t>
            </w:r>
          </w:p>
        </w:tc>
        <w:tc>
          <w:tcPr>
            <w:tcW w:w="1824" w:type="dxa"/>
            <w:shd w:val="clear" w:color="auto" w:fill="auto"/>
          </w:tcPr>
          <w:p w14:paraId="5E2186F3">
            <w:pPr>
              <w:spacing w:after="0" w:line="240" w:lineRule="auto"/>
              <w:jc w:val="center"/>
            </w:pPr>
            <w:r>
              <w:rPr>
                <w:sz w:val="20"/>
              </w:rPr>
              <w:t>5.332</w:t>
            </w:r>
          </w:p>
        </w:tc>
        <w:tc>
          <w:tcPr>
            <w:tcW w:w="1824" w:type="dxa"/>
            <w:shd w:val="clear" w:color="auto" w:fill="auto"/>
          </w:tcPr>
          <w:p w14:paraId="3F5FCE40">
            <w:pPr>
              <w:spacing w:after="0" w:line="240" w:lineRule="auto"/>
              <w:jc w:val="center"/>
            </w:pPr>
            <w:r>
              <w:rPr>
                <w:sz w:val="20"/>
              </w:rPr>
              <w:t>206.784</w:t>
            </w:r>
          </w:p>
        </w:tc>
        <w:tc>
          <w:tcPr>
            <w:tcW w:w="1824" w:type="dxa"/>
            <w:shd w:val="clear" w:color="auto" w:fill="auto"/>
          </w:tcPr>
          <w:p w14:paraId="0BFE3F53">
            <w:pPr>
              <w:spacing w:after="0" w:line="240" w:lineRule="auto"/>
              <w:jc w:val="center"/>
            </w:pPr>
            <w:r>
              <w:rPr>
                <w:sz w:val="20"/>
              </w:rPr>
              <w:t>4.551–9395.876</w:t>
            </w:r>
          </w:p>
        </w:tc>
        <w:tc>
          <w:tcPr>
            <w:tcW w:w="1824" w:type="dxa"/>
            <w:shd w:val="clear" w:color="auto" w:fill="auto"/>
          </w:tcPr>
          <w:p w14:paraId="1383DF36">
            <w:pPr>
              <w:spacing w:after="0" w:line="240" w:lineRule="auto"/>
              <w:jc w:val="center"/>
            </w:pPr>
            <w:r>
              <w:rPr>
                <w:sz w:val="20"/>
              </w:rPr>
              <w:t>0.0062</w:t>
            </w:r>
          </w:p>
        </w:tc>
      </w:tr>
      <w:tr w14:paraId="59CBA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2BCB571E">
            <w:pPr>
              <w:spacing w:after="0" w:line="240" w:lineRule="auto"/>
              <w:jc w:val="left"/>
            </w:pPr>
            <w:r>
              <w:rPr>
                <w:sz w:val="20"/>
              </w:rPr>
              <w:t>Radiation therapy before surgery</w:t>
            </w:r>
          </w:p>
        </w:tc>
        <w:tc>
          <w:tcPr>
            <w:tcW w:w="1824" w:type="dxa"/>
            <w:shd w:val="clear" w:color="auto" w:fill="auto"/>
          </w:tcPr>
          <w:p w14:paraId="32D3732B">
            <w:pPr>
              <w:spacing w:after="0" w:line="240" w:lineRule="auto"/>
              <w:jc w:val="center"/>
            </w:pPr>
            <w:r>
              <w:rPr>
                <w:sz w:val="20"/>
              </w:rPr>
              <w:t>1.151</w:t>
            </w:r>
          </w:p>
        </w:tc>
        <w:tc>
          <w:tcPr>
            <w:tcW w:w="1824" w:type="dxa"/>
            <w:shd w:val="clear" w:color="auto" w:fill="auto"/>
          </w:tcPr>
          <w:p w14:paraId="410F43A2">
            <w:pPr>
              <w:spacing w:after="0" w:line="240" w:lineRule="auto"/>
              <w:jc w:val="center"/>
            </w:pPr>
            <w:r>
              <w:rPr>
                <w:sz w:val="20"/>
              </w:rPr>
              <w:t>3.163</w:t>
            </w:r>
          </w:p>
        </w:tc>
        <w:tc>
          <w:tcPr>
            <w:tcW w:w="1824" w:type="dxa"/>
            <w:shd w:val="clear" w:color="auto" w:fill="auto"/>
          </w:tcPr>
          <w:p w14:paraId="40ED14C3">
            <w:pPr>
              <w:spacing w:after="0" w:line="240" w:lineRule="auto"/>
              <w:jc w:val="center"/>
            </w:pPr>
            <w:r>
              <w:rPr>
                <w:sz w:val="20"/>
              </w:rPr>
              <w:t>1.229–8.137</w:t>
            </w:r>
          </w:p>
        </w:tc>
        <w:tc>
          <w:tcPr>
            <w:tcW w:w="1824" w:type="dxa"/>
            <w:shd w:val="clear" w:color="auto" w:fill="auto"/>
          </w:tcPr>
          <w:p w14:paraId="4770F447">
            <w:pPr>
              <w:spacing w:after="0" w:line="240" w:lineRule="auto"/>
              <w:jc w:val="center"/>
            </w:pPr>
            <w:r>
              <w:rPr>
                <w:sz w:val="20"/>
              </w:rPr>
              <w:t>0.017</w:t>
            </w:r>
          </w:p>
        </w:tc>
      </w:tr>
      <w:tr w14:paraId="1109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  <w:shd w:val="clear" w:color="auto" w:fill="auto"/>
          </w:tcPr>
          <w:p w14:paraId="13A84A39">
            <w:pPr>
              <w:spacing w:after="0" w:line="240" w:lineRule="auto"/>
              <w:jc w:val="left"/>
            </w:pPr>
            <w:r>
              <w:rPr>
                <w:sz w:val="20"/>
              </w:rPr>
              <w:t>HBG before surgery</w:t>
            </w:r>
          </w:p>
        </w:tc>
        <w:tc>
          <w:tcPr>
            <w:tcW w:w="1824" w:type="dxa"/>
            <w:shd w:val="clear" w:color="auto" w:fill="auto"/>
          </w:tcPr>
          <w:p w14:paraId="64932295">
            <w:pPr>
              <w:spacing w:after="0" w:line="240" w:lineRule="auto"/>
              <w:jc w:val="center"/>
            </w:pPr>
            <w:r>
              <w:rPr>
                <w:sz w:val="20"/>
              </w:rPr>
              <w:t>-0.859</w:t>
            </w:r>
          </w:p>
        </w:tc>
        <w:tc>
          <w:tcPr>
            <w:tcW w:w="1824" w:type="dxa"/>
            <w:shd w:val="clear" w:color="auto" w:fill="auto"/>
          </w:tcPr>
          <w:p w14:paraId="2B7460AB">
            <w:pPr>
              <w:spacing w:after="0" w:line="240" w:lineRule="auto"/>
              <w:jc w:val="center"/>
            </w:pPr>
            <w:r>
              <w:rPr>
                <w:sz w:val="20"/>
              </w:rPr>
              <w:t>0.424</w:t>
            </w:r>
          </w:p>
        </w:tc>
        <w:tc>
          <w:tcPr>
            <w:tcW w:w="1824" w:type="dxa"/>
            <w:shd w:val="clear" w:color="auto" w:fill="auto"/>
          </w:tcPr>
          <w:p w14:paraId="719F7555">
            <w:pPr>
              <w:spacing w:after="0" w:line="240" w:lineRule="auto"/>
              <w:jc w:val="center"/>
            </w:pPr>
            <w:r>
              <w:rPr>
                <w:sz w:val="20"/>
              </w:rPr>
              <w:t>0.206–0.872</w:t>
            </w:r>
          </w:p>
        </w:tc>
        <w:tc>
          <w:tcPr>
            <w:tcW w:w="1824" w:type="dxa"/>
            <w:shd w:val="clear" w:color="auto" w:fill="auto"/>
          </w:tcPr>
          <w:p w14:paraId="6E429F71">
            <w:pPr>
              <w:spacing w:after="0" w:line="240" w:lineRule="auto"/>
              <w:jc w:val="center"/>
            </w:pPr>
            <w:r>
              <w:rPr>
                <w:sz w:val="20"/>
              </w:rPr>
              <w:t>0.020</w:t>
            </w:r>
          </w:p>
        </w:tc>
      </w:tr>
    </w:tbl>
    <w:p w14:paraId="0390EF20"/>
    <w:sectPr>
      <w:pgSz w:w="12240" w:h="15840"/>
      <w:pgMar w:top="1417" w:right="1417" w:bottom="1417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monospac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34111B"/>
    <w:rsid w:val="43F565F9"/>
    <w:rsid w:val="54BA402F"/>
    <w:rsid w:val="5AD7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653</Words>
  <Characters>1109</Characters>
  <Lines>0</Lines>
  <Paragraphs>0</Paragraphs>
  <TotalTime>24</TotalTime>
  <ScaleCrop>false</ScaleCrop>
  <LinksUpToDate>false</LinksUpToDate>
  <CharactersWithSpaces>1180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王一鸣</cp:lastModifiedBy>
  <dcterms:modified xsi:type="dcterms:W3CDTF">2026-04-17T06:24:20Z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eyJoZGlkIjoiNTliZDAzYzQ0ZDFiNzQ5ZjlkZjdkMTE5M2ExZjcwZDEiLCJ1c2VySWQiOiIxNzk1MzAyMzI4In0=</vt:lpwstr>
  </property>
  <property fmtid="{D5CDD505-2E9C-101B-9397-08002B2CF9AE}" pid="3" name="KSOProductBuildVer">
    <vt:lpwstr>2052-12.1.0.25865</vt:lpwstr>
  </property>
  <property fmtid="{D5CDD505-2E9C-101B-9397-08002B2CF9AE}" pid="4" name="ICV">
    <vt:lpwstr>E89877A0796E44929679CF5671A17D89_12</vt:lpwstr>
  </property>
</Properties>
</file>