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5293B">
      <w:pPr>
        <w:ind w:firstLine="0" w:firstLineChars="0"/>
        <w:jc w:val="center"/>
        <w:rPr>
          <w:rFonts w:ascii="Times New Roman" w:hAnsi="Times New Roman" w:cs="Times New Roman"/>
          <w:b/>
          <w:bCs/>
          <w:sz w:val="32"/>
          <w:szCs w:val="32"/>
        </w:rPr>
      </w:pPr>
      <w:r>
        <w:rPr>
          <w:rFonts w:ascii="Times New Roman" w:hAnsi="Times New Roman" w:cs="Times New Roman"/>
          <w:b/>
          <w:bCs/>
          <w:sz w:val="32"/>
          <w:szCs w:val="32"/>
        </w:rPr>
        <w:t>基于机器学习构建</w:t>
      </w:r>
      <w:r>
        <w:rPr>
          <w:rFonts w:hint="eastAsia" w:ascii="Times New Roman" w:hAnsi="Times New Roman" w:cs="Times New Roman"/>
          <w:b/>
          <w:bCs/>
          <w:sz w:val="32"/>
          <w:szCs w:val="32"/>
          <w:lang w:val="en-US" w:eastAsia="zh-CN"/>
        </w:rPr>
        <w:t>头颈</w:t>
      </w:r>
      <w:r>
        <w:rPr>
          <w:rFonts w:ascii="Times New Roman" w:hAnsi="Times New Roman" w:cs="Times New Roman"/>
          <w:b/>
          <w:bCs/>
          <w:sz w:val="32"/>
          <w:szCs w:val="32"/>
        </w:rPr>
        <w:t>癌术后肺部感染的风险预测模型</w:t>
      </w:r>
    </w:p>
    <w:p w14:paraId="500B9287">
      <w:pPr>
        <w:ind w:firstLine="360"/>
        <w:jc w:val="center"/>
        <w:rPr>
          <w:rFonts w:ascii="Times New Roman" w:hAnsi="Times New Roman" w:cs="宋体"/>
          <w:sz w:val="18"/>
          <w:szCs w:val="20"/>
        </w:rPr>
      </w:pPr>
      <w:r>
        <w:rPr>
          <w:rFonts w:hint="eastAsia" w:ascii="Times New Roman" w:hAnsi="Times New Roman" w:cs="宋体"/>
          <w:sz w:val="18"/>
          <w:szCs w:val="20"/>
        </w:rPr>
        <w:t>王</w:t>
      </w:r>
      <w:r>
        <w:rPr>
          <w:rFonts w:hint="eastAsia" w:ascii="Times New Roman" w:hAnsi="Times New Roman" w:cs="宋体"/>
          <w:sz w:val="18"/>
          <w:szCs w:val="20"/>
          <w:lang w:val="en-US" w:eastAsia="zh-CN"/>
        </w:rPr>
        <w:t>一鸣</w:t>
      </w:r>
      <w:r>
        <w:rPr>
          <w:rFonts w:hint="eastAsia" w:ascii="Times New Roman" w:hAnsi="Times New Roman" w:cs="宋体"/>
          <w:sz w:val="18"/>
          <w:szCs w:val="20"/>
          <w:vertAlign w:val="superscript"/>
        </w:rPr>
        <w:t>1</w:t>
      </w:r>
      <w:r>
        <w:rPr>
          <w:rFonts w:hint="eastAsia" w:ascii="Times New Roman" w:hAnsi="Times New Roman" w:cs="宋体"/>
          <w:sz w:val="18"/>
          <w:szCs w:val="20"/>
        </w:rPr>
        <w:t>，尹丽霞</w:t>
      </w:r>
      <w:r>
        <w:rPr>
          <w:rFonts w:hint="eastAsia" w:ascii="Times New Roman" w:hAnsi="Times New Roman" w:cs="宋体"/>
          <w:sz w:val="18"/>
          <w:szCs w:val="20"/>
          <w:vertAlign w:val="superscript"/>
        </w:rPr>
        <w:t>2</w:t>
      </w:r>
      <w:r>
        <w:rPr>
          <w:rFonts w:hint="eastAsia" w:ascii="Times New Roman" w:hAnsi="Times New Roman" w:cs="宋体"/>
          <w:sz w:val="18"/>
          <w:szCs w:val="20"/>
        </w:rPr>
        <w:t>，姚博</w:t>
      </w:r>
      <w:r>
        <w:rPr>
          <w:rFonts w:hint="eastAsia" w:ascii="Times New Roman" w:hAnsi="Times New Roman" w:cs="宋体"/>
          <w:sz w:val="18"/>
          <w:szCs w:val="20"/>
          <w:vertAlign w:val="superscript"/>
        </w:rPr>
        <w:t>1</w:t>
      </w:r>
      <w:r>
        <w:rPr>
          <w:rFonts w:hint="eastAsia" w:ascii="Times New Roman" w:hAnsi="Times New Roman" w:cs="宋体"/>
          <w:sz w:val="18"/>
          <w:szCs w:val="20"/>
        </w:rPr>
        <w:t>，蒲江波</w:t>
      </w:r>
      <w:r>
        <w:rPr>
          <w:rFonts w:hint="eastAsia" w:ascii="Times New Roman" w:hAnsi="Times New Roman" w:cs="宋体"/>
          <w:sz w:val="18"/>
          <w:szCs w:val="20"/>
          <w:vertAlign w:val="superscript"/>
        </w:rPr>
        <w:t>1，*</w:t>
      </w:r>
    </w:p>
    <w:p w14:paraId="67011391">
      <w:pPr>
        <w:pStyle w:val="39"/>
        <w:ind w:left="360" w:firstLine="0" w:firstLineChars="0"/>
        <w:rPr>
          <w:rFonts w:ascii="Times New Roman" w:hAnsi="Times New Roman" w:cs="宋体"/>
          <w:sz w:val="18"/>
          <w:szCs w:val="20"/>
        </w:rPr>
      </w:pPr>
      <w:r>
        <w:rPr>
          <w:rFonts w:hint="eastAsia" w:ascii="Times New Roman" w:hAnsi="Times New Roman" w:cs="宋体"/>
          <w:sz w:val="18"/>
          <w:szCs w:val="20"/>
        </w:rPr>
        <w:t>1. 中国医学科学院 北京协和医学院生物医学工程研究所（天津 300192）</w:t>
      </w:r>
    </w:p>
    <w:p w14:paraId="2F58894E">
      <w:pPr>
        <w:pStyle w:val="39"/>
        <w:ind w:left="360" w:firstLine="0" w:firstLineChars="0"/>
        <w:rPr>
          <w:rFonts w:ascii="Times New Roman" w:hAnsi="Times New Roman" w:cs="宋体"/>
          <w:sz w:val="18"/>
          <w:szCs w:val="20"/>
        </w:rPr>
      </w:pPr>
      <w:r>
        <w:rPr>
          <w:rFonts w:hint="eastAsia" w:ascii="Times New Roman" w:hAnsi="Times New Roman" w:cs="宋体"/>
          <w:sz w:val="18"/>
          <w:szCs w:val="20"/>
        </w:rPr>
        <w:t>2. 中国医学科学院 北京协和医学院肿瘤医院 医务处疾病与感染控制办公室（</w:t>
      </w:r>
      <w:r>
        <w:rPr>
          <w:rFonts w:ascii="Times New Roman" w:hAnsi="Times New Roman" w:cs="宋体"/>
          <w:sz w:val="18"/>
          <w:szCs w:val="20"/>
        </w:rPr>
        <w:t>北京 100021</w:t>
      </w:r>
      <w:r>
        <w:rPr>
          <w:rFonts w:hint="eastAsia" w:ascii="Times New Roman" w:hAnsi="Times New Roman" w:cs="宋体"/>
          <w:sz w:val="18"/>
          <w:szCs w:val="20"/>
        </w:rPr>
        <w:t>）</w:t>
      </w:r>
    </w:p>
    <w:p w14:paraId="53961765">
      <w:pPr>
        <w:pStyle w:val="13"/>
        <w:ind w:firstLine="360"/>
        <w:jc w:val="both"/>
        <w:rPr>
          <w:rFonts w:ascii="Times New Roman" w:hAnsi="Times New Roman" w:cs="Times New Roman"/>
          <w:sz w:val="18"/>
          <w:szCs w:val="18"/>
        </w:rPr>
      </w:pPr>
      <w:r>
        <w:rPr>
          <w:rFonts w:ascii="Times New Roman" w:hAnsi="Times New Roman" w:cs="Times New Roman"/>
          <w:sz w:val="18"/>
          <w:szCs w:val="18"/>
        </w:rPr>
        <w:t>【摘要】</w:t>
      </w:r>
      <w:r>
        <w:rPr>
          <w:rFonts w:ascii="Times New Roman" w:hAnsi="Times New Roman" w:cs="Times New Roman"/>
          <w:b/>
          <w:bCs/>
          <w:sz w:val="18"/>
          <w:szCs w:val="18"/>
        </w:rPr>
        <w:t>目的</w:t>
      </w:r>
      <w:r>
        <w:rPr>
          <w:rFonts w:ascii="Times New Roman" w:hAnsi="Times New Roman" w:cs="Times New Roman"/>
          <w:sz w:val="18"/>
          <w:szCs w:val="18"/>
        </w:rPr>
        <w:t xml:space="preserve"> </w:t>
      </w:r>
      <w:r>
        <w:rPr>
          <w:rFonts w:hint="eastAsia" w:ascii="Times New Roman" w:hAnsi="Times New Roman" w:cs="Times New Roman"/>
          <w:sz w:val="18"/>
          <w:szCs w:val="18"/>
          <w:lang w:val="en-US" w:eastAsia="zh-CN"/>
        </w:rPr>
        <w:t>头颈</w:t>
      </w:r>
      <w:r>
        <w:rPr>
          <w:rFonts w:ascii="Times New Roman" w:hAnsi="Times New Roman" w:cs="Times New Roman"/>
          <w:sz w:val="18"/>
          <w:szCs w:val="18"/>
        </w:rPr>
        <w:t>癌术后肺部感染</w:t>
      </w:r>
      <w:r>
        <w:rPr>
          <w:rFonts w:hint="eastAsia" w:ascii="Times New Roman" w:hAnsi="Times New Roman" w:cs="Times New Roman"/>
          <w:sz w:val="18"/>
          <w:szCs w:val="18"/>
        </w:rPr>
        <w:t>（postoperative pulmonary infection，PPI）</w:t>
      </w:r>
      <w:r>
        <w:rPr>
          <w:rFonts w:ascii="Times New Roman" w:hAnsi="Times New Roman" w:cs="Times New Roman"/>
          <w:sz w:val="18"/>
          <w:szCs w:val="18"/>
        </w:rPr>
        <w:t>发生率</w:t>
      </w:r>
      <w:r>
        <w:rPr>
          <w:rFonts w:hint="eastAsia" w:ascii="Times New Roman" w:hAnsi="Times New Roman" w:cs="Times New Roman"/>
          <w:sz w:val="18"/>
          <w:szCs w:val="18"/>
        </w:rPr>
        <w:t>较高（约</w:t>
      </w:r>
      <w:r>
        <w:rPr>
          <w:rFonts w:ascii="Times New Roman" w:hAnsi="Times New Roman" w:cs="Times New Roman"/>
          <w:sz w:val="18"/>
          <w:szCs w:val="18"/>
        </w:rPr>
        <w:t>15%～30%</w:t>
      </w:r>
      <w:r>
        <w:rPr>
          <w:rFonts w:hint="eastAsia" w:ascii="Times New Roman" w:hAnsi="Times New Roman" w:cs="Times New Roman"/>
          <w:sz w:val="18"/>
          <w:szCs w:val="18"/>
        </w:rPr>
        <w:t>）</w:t>
      </w:r>
      <w:r>
        <w:rPr>
          <w:rFonts w:ascii="Times New Roman" w:hAnsi="Times New Roman" w:cs="Times New Roman"/>
          <w:sz w:val="18"/>
          <w:szCs w:val="18"/>
        </w:rPr>
        <w:t>，严重影响患者预后。</w:t>
      </w:r>
      <w:r>
        <w:rPr>
          <w:rFonts w:hint="eastAsia" w:ascii="Times New Roman" w:hAnsi="Times New Roman" w:cs="Times New Roman"/>
          <w:sz w:val="18"/>
          <w:szCs w:val="18"/>
        </w:rPr>
        <w:t>精准的风险分层与早期干预是降低PPI发生率的关键，而现有预测模型多未实现危险因素的阶段化划分，难以同时反映术前基础易感性与围手术期临床事件的协同作用，从而限制了风险识别与干预的靶向性。本研究旨在基于机器学习算法，整合术前基础特征与围手术期全阶段临床指标，构建食管癌PPI的术前-围手术期两阶段个体化风险预测模型。</w:t>
      </w:r>
      <w:r>
        <w:rPr>
          <w:rFonts w:ascii="Times New Roman" w:hAnsi="Times New Roman" w:cs="Times New Roman"/>
          <w:b/>
          <w:bCs/>
          <w:sz w:val="18"/>
          <w:szCs w:val="18"/>
        </w:rPr>
        <w:t>方法</w:t>
      </w:r>
      <w:r>
        <w:rPr>
          <w:rFonts w:ascii="Times New Roman" w:hAnsi="Times New Roman" w:cs="Times New Roman"/>
          <w:sz w:val="18"/>
          <w:szCs w:val="18"/>
        </w:rPr>
        <w:t xml:space="preserve"> 回顾性</w:t>
      </w:r>
      <w:r>
        <w:rPr>
          <w:rFonts w:hint="eastAsia" w:ascii="Times New Roman" w:hAnsi="Times New Roman" w:cs="Times New Roman"/>
          <w:sz w:val="18"/>
          <w:szCs w:val="18"/>
        </w:rPr>
        <w:t>纳入</w:t>
      </w:r>
      <w:r>
        <w:rPr>
          <w:rFonts w:ascii="Times New Roman" w:hAnsi="Times New Roman" w:cs="Times New Roman"/>
          <w:sz w:val="18"/>
          <w:szCs w:val="18"/>
        </w:rPr>
        <w:t>2022年10月-2024年8月中国医学科学院肿瘤医院2200例食管癌手术患者的临床资料。采用</w:t>
      </w:r>
      <w:bookmarkStart w:id="0" w:name="_Hlk217398210"/>
      <w:r>
        <w:rPr>
          <w:rFonts w:ascii="Times New Roman" w:hAnsi="Times New Roman" w:cs="Times New Roman"/>
          <w:sz w:val="18"/>
          <w:szCs w:val="18"/>
        </w:rPr>
        <w:t>最小绝对收缩与选择算子（least absolute shrinkage and selection operator</w:t>
      </w:r>
      <w:r>
        <w:rPr>
          <w:rFonts w:hint="eastAsia" w:ascii="Times New Roman" w:hAnsi="Times New Roman" w:cs="Times New Roman"/>
          <w:sz w:val="18"/>
          <w:szCs w:val="18"/>
        </w:rPr>
        <w:t>，</w:t>
      </w:r>
      <w:r>
        <w:rPr>
          <w:rFonts w:ascii="Times New Roman" w:hAnsi="Times New Roman" w:cs="Times New Roman"/>
          <w:sz w:val="18"/>
          <w:szCs w:val="18"/>
        </w:rPr>
        <w:t>LASSO）</w:t>
      </w:r>
      <w:bookmarkEnd w:id="0"/>
      <w:r>
        <w:rPr>
          <w:rFonts w:ascii="Times New Roman" w:hAnsi="Times New Roman" w:cs="Times New Roman"/>
          <w:sz w:val="18"/>
          <w:szCs w:val="18"/>
        </w:rPr>
        <w:t>结合多因素logistic回归</w:t>
      </w:r>
      <w:r>
        <w:rPr>
          <w:rFonts w:hint="eastAsia" w:ascii="Times New Roman" w:hAnsi="Times New Roman" w:cs="Times New Roman"/>
          <w:sz w:val="18"/>
          <w:szCs w:val="18"/>
        </w:rPr>
        <w:t>，</w:t>
      </w:r>
      <w:r>
        <w:rPr>
          <w:rFonts w:ascii="Times New Roman" w:hAnsi="Times New Roman" w:cs="Times New Roman"/>
          <w:sz w:val="18"/>
          <w:szCs w:val="18"/>
        </w:rPr>
        <w:t>分别筛选纯术前、围手术期两阶段的独立预测变量</w:t>
      </w:r>
      <w:r>
        <w:rPr>
          <w:rFonts w:hint="eastAsia" w:ascii="Times New Roman" w:hAnsi="Times New Roman" w:cs="Times New Roman"/>
          <w:sz w:val="18"/>
          <w:szCs w:val="18"/>
        </w:rPr>
        <w:t>。</w:t>
      </w:r>
      <w:r>
        <w:rPr>
          <w:rFonts w:ascii="Times New Roman" w:hAnsi="Times New Roman" w:cs="Times New Roman"/>
          <w:sz w:val="18"/>
          <w:szCs w:val="18"/>
        </w:rPr>
        <w:t>按7:3随机分为训练/测试集</w:t>
      </w:r>
      <w:r>
        <w:rPr>
          <w:rFonts w:hint="eastAsia" w:ascii="Times New Roman" w:hAnsi="Times New Roman" w:cs="Times New Roman"/>
          <w:sz w:val="18"/>
          <w:szCs w:val="18"/>
        </w:rPr>
        <w:t>，</w:t>
      </w:r>
      <w:bookmarkStart w:id="1" w:name="_Hlk217398266"/>
      <w:r>
        <w:rPr>
          <w:rFonts w:ascii="Times New Roman" w:hAnsi="Times New Roman" w:cs="Times New Roman"/>
          <w:sz w:val="18"/>
          <w:szCs w:val="18"/>
        </w:rPr>
        <w:t>构建广义线性模型（generalized linear model</w:t>
      </w:r>
      <w:r>
        <w:rPr>
          <w:rFonts w:hint="eastAsia" w:ascii="Times New Roman" w:hAnsi="Times New Roman" w:cs="Times New Roman"/>
          <w:sz w:val="18"/>
          <w:szCs w:val="18"/>
        </w:rPr>
        <w:t>，</w:t>
      </w:r>
      <w:r>
        <w:rPr>
          <w:rFonts w:ascii="Times New Roman" w:hAnsi="Times New Roman" w:cs="Times New Roman"/>
          <w:sz w:val="18"/>
          <w:szCs w:val="18"/>
        </w:rPr>
        <w:t>GLM），随机森林（random forest</w:t>
      </w:r>
      <w:r>
        <w:rPr>
          <w:rFonts w:hint="eastAsia" w:ascii="Times New Roman" w:hAnsi="Times New Roman" w:cs="Times New Roman"/>
          <w:sz w:val="18"/>
          <w:szCs w:val="18"/>
        </w:rPr>
        <w:t>，</w:t>
      </w:r>
      <w:r>
        <w:rPr>
          <w:rFonts w:ascii="Times New Roman" w:hAnsi="Times New Roman" w:cs="Times New Roman"/>
          <w:sz w:val="18"/>
          <w:szCs w:val="18"/>
        </w:rPr>
        <w:t>RF），支持向量机（support vector machine</w:t>
      </w:r>
      <w:r>
        <w:rPr>
          <w:rFonts w:hint="eastAsia" w:ascii="Times New Roman" w:hAnsi="Times New Roman" w:cs="Times New Roman"/>
          <w:sz w:val="18"/>
          <w:szCs w:val="18"/>
        </w:rPr>
        <w:t>，</w:t>
      </w:r>
      <w:r>
        <w:rPr>
          <w:rFonts w:ascii="Times New Roman" w:hAnsi="Times New Roman" w:cs="Times New Roman"/>
          <w:sz w:val="18"/>
          <w:szCs w:val="18"/>
        </w:rPr>
        <w:t>SVM），神经网络（neural network</w:t>
      </w:r>
      <w:r>
        <w:rPr>
          <w:rFonts w:hint="eastAsia" w:ascii="Times New Roman" w:hAnsi="Times New Roman" w:cs="Times New Roman"/>
          <w:sz w:val="18"/>
          <w:szCs w:val="18"/>
        </w:rPr>
        <w:t>，</w:t>
      </w:r>
      <w:r>
        <w:rPr>
          <w:rFonts w:ascii="Times New Roman" w:hAnsi="Times New Roman" w:cs="Times New Roman"/>
          <w:sz w:val="18"/>
          <w:szCs w:val="18"/>
        </w:rPr>
        <w:t>NNET）和梯度增强机（gradient boosting machine，GBM）</w:t>
      </w:r>
      <w:bookmarkEnd w:id="1"/>
      <w:r>
        <w:rPr>
          <w:rFonts w:ascii="Times New Roman" w:hAnsi="Times New Roman" w:cs="Times New Roman"/>
          <w:sz w:val="18"/>
          <w:szCs w:val="18"/>
        </w:rPr>
        <w:t>共5种机器学习模型。</w:t>
      </w:r>
      <w:r>
        <w:rPr>
          <w:rFonts w:ascii="Times New Roman" w:hAnsi="Times New Roman" w:cs="Times New Roman"/>
          <w:b/>
          <w:bCs/>
          <w:sz w:val="18"/>
          <w:szCs w:val="18"/>
        </w:rPr>
        <w:t>结果</w:t>
      </w:r>
      <w:r>
        <w:rPr>
          <w:rFonts w:hint="eastAsia" w:ascii="Times New Roman" w:hAnsi="Times New Roman" w:cs="Times New Roman"/>
          <w:b/>
          <w:bCs/>
          <w:sz w:val="18"/>
          <w:szCs w:val="18"/>
        </w:rPr>
        <w:t xml:space="preserve"> </w:t>
      </w:r>
      <w:r>
        <w:rPr>
          <w:rFonts w:hint="eastAsia" w:ascii="Times New Roman" w:hAnsi="Times New Roman" w:cs="Times New Roman"/>
          <w:sz w:val="18"/>
          <w:szCs w:val="18"/>
        </w:rPr>
        <w:t>共</w:t>
      </w:r>
      <w:r>
        <w:rPr>
          <w:rFonts w:ascii="Times New Roman" w:hAnsi="Times New Roman" w:cs="Times New Roman"/>
          <w:sz w:val="18"/>
          <w:szCs w:val="18"/>
        </w:rPr>
        <w:t>筛选出6个独立预测变量</w:t>
      </w:r>
      <w:r>
        <w:rPr>
          <w:rFonts w:hint="eastAsia" w:ascii="Times New Roman" w:hAnsi="Times New Roman" w:cs="Times New Roman"/>
          <w:sz w:val="18"/>
          <w:szCs w:val="18"/>
        </w:rPr>
        <w:t>，术前阶段为：</w:t>
      </w:r>
      <w:r>
        <w:rPr>
          <w:rFonts w:ascii="Times New Roman" w:hAnsi="Times New Roman" w:cs="Times New Roman"/>
          <w:sz w:val="18"/>
          <w:szCs w:val="18"/>
        </w:rPr>
        <w:t>性别、</w:t>
      </w:r>
      <w:bookmarkStart w:id="2" w:name="_Hlk217398125"/>
      <w:r>
        <w:rPr>
          <w:rFonts w:ascii="Times New Roman" w:hAnsi="Times New Roman" w:cs="Times New Roman"/>
          <w:sz w:val="18"/>
          <w:szCs w:val="18"/>
        </w:rPr>
        <w:t>美国麻醉医师学会（American Society of Anesthesiologists，ASA）身体状态分级</w:t>
      </w:r>
      <w:bookmarkEnd w:id="2"/>
      <w:r>
        <w:rPr>
          <w:rFonts w:hint="eastAsia" w:ascii="Times New Roman" w:hAnsi="Times New Roman" w:cs="Times New Roman"/>
          <w:sz w:val="18"/>
          <w:szCs w:val="18"/>
        </w:rPr>
        <w:t>、多重耐药菌是否定植，该阶段各模型AUC 0.71~0.72，特异性均达 98% 以上。围手术期阶段在术前变量基础上，进一步纳入手术持续时间、</w:t>
      </w:r>
      <w:r>
        <w:rPr>
          <w:rFonts w:ascii="Times New Roman" w:hAnsi="Times New Roman" w:cs="Times New Roman"/>
          <w:sz w:val="18"/>
          <w:szCs w:val="18"/>
        </w:rPr>
        <w:t>术后是否入住ICU、术后0-3天C反应蛋白（C-reactive protein</w:t>
      </w:r>
      <w:r>
        <w:rPr>
          <w:rFonts w:hint="eastAsia" w:ascii="Times New Roman" w:hAnsi="Times New Roman" w:cs="Times New Roman"/>
          <w:sz w:val="18"/>
          <w:szCs w:val="18"/>
        </w:rPr>
        <w:t>，</w:t>
      </w:r>
      <w:r>
        <w:rPr>
          <w:rFonts w:ascii="Times New Roman" w:hAnsi="Times New Roman" w:cs="Times New Roman"/>
          <w:sz w:val="18"/>
          <w:szCs w:val="18"/>
        </w:rPr>
        <w:t>CRP）峰值</w:t>
      </w:r>
      <w:r>
        <w:rPr>
          <w:rFonts w:hint="eastAsia" w:ascii="Times New Roman" w:hAnsi="Times New Roman" w:cs="Times New Roman"/>
          <w:sz w:val="18"/>
          <w:szCs w:val="18"/>
        </w:rPr>
        <w:t>，预测效能显著提升（AUC 均＞0.82），其中GBM模型实现了敏感性（69.07%）与特异性（82.59%）的良好平衡。</w:t>
      </w:r>
      <w:r>
        <w:rPr>
          <w:rFonts w:ascii="Times New Roman" w:hAnsi="Times New Roman" w:cs="Times New Roman"/>
          <w:b/>
          <w:bCs/>
          <w:sz w:val="18"/>
          <w:szCs w:val="18"/>
        </w:rPr>
        <w:t>结论</w:t>
      </w:r>
      <w:r>
        <w:rPr>
          <w:rFonts w:ascii="Times New Roman" w:hAnsi="Times New Roman" w:cs="Times New Roman"/>
          <w:sz w:val="18"/>
          <w:szCs w:val="18"/>
        </w:rPr>
        <w:t xml:space="preserve"> </w:t>
      </w:r>
      <w:r>
        <w:rPr>
          <w:rFonts w:hint="eastAsia" w:ascii="Times New Roman" w:hAnsi="Times New Roman" w:cs="Times New Roman"/>
          <w:sz w:val="18"/>
          <w:szCs w:val="18"/>
        </w:rPr>
        <w:t>基于机器学习的术前-围手术期两阶段风险预测模型可实现分阶段精准防控：术前模型凭借高特异性适用于早期筛查，减少抗生素滥用；围手术期GBM模型兼具平衡的预测性能与可解释性，可为风险分层和管理决策提供支持，未来仍需多中心研究进一步验证模型的泛化能力。</w:t>
      </w:r>
    </w:p>
    <w:p w14:paraId="400C6A90">
      <w:pPr>
        <w:pStyle w:val="13"/>
        <w:ind w:firstLine="360"/>
        <w:rPr>
          <w:rFonts w:ascii="Times New Roman" w:hAnsi="Times New Roman" w:cs="Times New Roman"/>
          <w:sz w:val="18"/>
          <w:szCs w:val="18"/>
        </w:rPr>
      </w:pPr>
      <w:r>
        <w:rPr>
          <w:rFonts w:ascii="Times New Roman" w:hAnsi="Times New Roman" w:cs="Times New Roman"/>
          <w:sz w:val="18"/>
          <w:szCs w:val="18"/>
        </w:rPr>
        <w:t>【关键词】食管癌；术后肺部感染；机器学习；风险预测</w:t>
      </w:r>
    </w:p>
    <w:p w14:paraId="3760ED3B">
      <w:pPr>
        <w:ind w:firstLine="0" w:firstLineChars="0"/>
        <w:rPr>
          <w:rFonts w:ascii="Times New Roman" w:hAnsi="Times New Roman" w:cs="Times New Roman"/>
          <w:b/>
          <w:bCs/>
          <w:sz w:val="28"/>
          <w:szCs w:val="28"/>
        </w:rPr>
      </w:pPr>
      <w:r>
        <w:rPr>
          <w:rFonts w:hint="eastAsia" w:ascii="Times New Roman" w:hAnsi="Times New Roman" w:cs="Times New Roman"/>
          <w:b/>
          <w:bCs/>
          <w:sz w:val="28"/>
          <w:szCs w:val="28"/>
        </w:rPr>
        <w:t xml:space="preserve">A Two-Stage Model for Predicting Postoperative Pulmonary Infection in </w:t>
      </w:r>
      <w:r>
        <w:rPr>
          <w:rFonts w:hint="eastAsia" w:ascii="Times New Roman" w:hAnsi="Times New Roman" w:cs="Times New Roman"/>
          <w:b/>
          <w:bCs/>
          <w:sz w:val="28"/>
          <w:szCs w:val="28"/>
          <w:lang w:val="en-US" w:eastAsia="zh-CN"/>
        </w:rPr>
        <w:t>H</w:t>
      </w:r>
      <w:r>
        <w:rPr>
          <w:rFonts w:hint="eastAsia" w:ascii="Times New Roman" w:hAnsi="Times New Roman" w:cs="Times New Roman"/>
          <w:b/>
          <w:bCs/>
          <w:sz w:val="28"/>
          <w:szCs w:val="28"/>
        </w:rPr>
        <w:t>ead</w:t>
      </w:r>
      <w:r>
        <w:rPr>
          <w:rFonts w:hint="eastAsia" w:ascii="Times New Roman" w:hAnsi="Times New Roman" w:cs="Times New Roman"/>
          <w:b/>
          <w:bCs/>
          <w:sz w:val="28"/>
          <w:szCs w:val="28"/>
          <w:lang w:val="en-US" w:eastAsia="zh-CN"/>
        </w:rPr>
        <w:t xml:space="preserve"> </w:t>
      </w:r>
      <w:r>
        <w:rPr>
          <w:rFonts w:hint="eastAsia" w:ascii="Times New Roman" w:hAnsi="Times New Roman" w:cs="Times New Roman"/>
          <w:b/>
          <w:bCs/>
          <w:sz w:val="28"/>
          <w:szCs w:val="28"/>
        </w:rPr>
        <w:t>and</w:t>
      </w:r>
      <w:r>
        <w:rPr>
          <w:rFonts w:hint="eastAsia" w:ascii="Times New Roman" w:hAnsi="Times New Roman" w:cs="Times New Roman"/>
          <w:b/>
          <w:bCs/>
          <w:sz w:val="28"/>
          <w:szCs w:val="28"/>
          <w:lang w:val="en-US" w:eastAsia="zh-CN"/>
        </w:rPr>
        <w:t xml:space="preserve"> N</w:t>
      </w:r>
      <w:r>
        <w:rPr>
          <w:rFonts w:hint="eastAsia" w:ascii="Times New Roman" w:hAnsi="Times New Roman" w:cs="Times New Roman"/>
          <w:b/>
          <w:bCs/>
          <w:sz w:val="28"/>
          <w:szCs w:val="28"/>
        </w:rPr>
        <w:t>eck Cancer Patients</w:t>
      </w:r>
    </w:p>
    <w:p w14:paraId="1C79BEE3">
      <w:pPr>
        <w:ind w:firstLine="0" w:firstLineChars="0"/>
        <w:jc w:val="center"/>
        <w:rPr>
          <w:rFonts w:ascii="Times New Roman" w:hAnsi="Times New Roman" w:cs="Times New Roman"/>
          <w:sz w:val="18"/>
          <w:szCs w:val="18"/>
          <w:vertAlign w:val="superscript"/>
        </w:rPr>
      </w:pPr>
      <w:r>
        <w:rPr>
          <w:rFonts w:ascii="Times New Roman" w:hAnsi="Times New Roman" w:cs="Times New Roman"/>
          <w:sz w:val="18"/>
          <w:szCs w:val="18"/>
        </w:rPr>
        <w:t>Wang</w:t>
      </w:r>
      <w:r>
        <w:rPr>
          <w:rFonts w:hint="eastAsia" w:ascii="Times New Roman" w:hAnsi="Times New Roman" w:cs="Times New Roman"/>
          <w:sz w:val="18"/>
          <w:szCs w:val="18"/>
        </w:rPr>
        <w:t xml:space="preserve"> Yu</w:t>
      </w:r>
      <w:r>
        <w:rPr>
          <w:rFonts w:hint="eastAsia" w:ascii="Times New Roman" w:hAnsi="Times New Roman" w:cs="Times New Roman"/>
          <w:sz w:val="18"/>
          <w:szCs w:val="18"/>
          <w:vertAlign w:val="superscript"/>
        </w:rPr>
        <w:t>1</w:t>
      </w:r>
      <w:r>
        <w:rPr>
          <w:rFonts w:hint="eastAsia" w:ascii="Times New Roman" w:hAnsi="Times New Roman" w:cs="Times New Roman"/>
          <w:sz w:val="18"/>
          <w:szCs w:val="18"/>
        </w:rPr>
        <w:t xml:space="preserve">  Yin Linxia</w:t>
      </w:r>
      <w:r>
        <w:rPr>
          <w:rFonts w:hint="eastAsia" w:ascii="Times New Roman" w:hAnsi="Times New Roman" w:cs="Times New Roman"/>
          <w:sz w:val="18"/>
          <w:szCs w:val="18"/>
          <w:vertAlign w:val="superscript"/>
        </w:rPr>
        <w:t>2</w:t>
      </w:r>
      <w:r>
        <w:rPr>
          <w:rFonts w:hint="eastAsia" w:ascii="Times New Roman" w:hAnsi="Times New Roman" w:cs="Times New Roman"/>
          <w:sz w:val="18"/>
          <w:szCs w:val="18"/>
        </w:rPr>
        <w:t xml:space="preserve">  Yao Bo</w:t>
      </w:r>
      <w:r>
        <w:rPr>
          <w:rFonts w:hint="eastAsia" w:ascii="Times New Roman" w:hAnsi="Times New Roman" w:cs="Times New Roman"/>
          <w:sz w:val="18"/>
          <w:szCs w:val="18"/>
          <w:vertAlign w:val="superscript"/>
        </w:rPr>
        <w:t>1</w:t>
      </w:r>
      <w:r>
        <w:rPr>
          <w:rFonts w:hint="eastAsia" w:ascii="Times New Roman" w:hAnsi="Times New Roman" w:cs="Times New Roman"/>
          <w:sz w:val="18"/>
          <w:szCs w:val="18"/>
        </w:rPr>
        <w:t xml:space="preserve">  Wu Jiang</w:t>
      </w:r>
      <w:r>
        <w:rPr>
          <w:rFonts w:hint="eastAsia" w:ascii="Times New Roman" w:hAnsi="Times New Roman" w:cs="Times New Roman"/>
          <w:sz w:val="18"/>
          <w:szCs w:val="18"/>
          <w:vertAlign w:val="superscript"/>
        </w:rPr>
        <w:t>3,*</w:t>
      </w:r>
      <w:r>
        <w:rPr>
          <w:rFonts w:hint="eastAsia" w:ascii="Times New Roman" w:hAnsi="Times New Roman" w:cs="Times New Roman"/>
          <w:sz w:val="18"/>
          <w:szCs w:val="18"/>
        </w:rPr>
        <w:t xml:space="preserve">  Pu Jiangbo</w:t>
      </w:r>
      <w:r>
        <w:rPr>
          <w:rFonts w:hint="eastAsia" w:ascii="Times New Roman" w:hAnsi="Times New Roman" w:cs="Times New Roman"/>
          <w:sz w:val="18"/>
          <w:szCs w:val="18"/>
          <w:vertAlign w:val="superscript"/>
        </w:rPr>
        <w:t>1,*</w:t>
      </w:r>
    </w:p>
    <w:p w14:paraId="059CC4C3">
      <w:pPr>
        <w:tabs>
          <w:tab w:val="left" w:pos="312"/>
        </w:tabs>
        <w:ind w:firstLine="0" w:firstLineChars="0"/>
        <w:jc w:val="left"/>
        <w:rPr>
          <w:rFonts w:ascii="Times New Roman" w:hAnsi="Times New Roman" w:cs="等线"/>
          <w:i/>
          <w:iCs/>
          <w:sz w:val="18"/>
          <w:szCs w:val="18"/>
        </w:rPr>
      </w:pPr>
      <w:r>
        <w:rPr>
          <w:rFonts w:hint="eastAsia" w:ascii="Times New Roman" w:hAnsi="Times New Roman" w:cs="等线"/>
          <w:i/>
          <w:iCs/>
          <w:sz w:val="18"/>
          <w:szCs w:val="18"/>
        </w:rPr>
        <w:t>1.Institute of Biomedical Engineering, Chinese Academy of Medical Science and Pecking Union Medical College, Tianjin 300192, P. R. China</w:t>
      </w:r>
    </w:p>
    <w:p w14:paraId="6A352C74">
      <w:pPr>
        <w:tabs>
          <w:tab w:val="left" w:pos="312"/>
        </w:tabs>
        <w:ind w:firstLine="0" w:firstLineChars="0"/>
        <w:jc w:val="left"/>
        <w:rPr>
          <w:rFonts w:ascii="Times New Roman" w:hAnsi="Times New Roman" w:cs="等线"/>
          <w:i/>
          <w:iCs/>
          <w:sz w:val="18"/>
          <w:szCs w:val="18"/>
        </w:rPr>
      </w:pPr>
      <w:r>
        <w:rPr>
          <w:rFonts w:hint="eastAsia" w:ascii="Times New Roman" w:hAnsi="Times New Roman" w:cs="等线"/>
          <w:i/>
          <w:iCs/>
          <w:sz w:val="18"/>
          <w:szCs w:val="18"/>
        </w:rPr>
        <w:t>2.Department of Hospital Infection Management, Cancer Hospitial, Chinese Academy of Medical Sciences and Peking Union Medical College, Beijing 100021, P. R. China</w:t>
      </w:r>
    </w:p>
    <w:p w14:paraId="14F74026">
      <w:pPr>
        <w:tabs>
          <w:tab w:val="left" w:pos="312"/>
        </w:tabs>
        <w:ind w:firstLine="0" w:firstLineChars="0"/>
        <w:jc w:val="left"/>
        <w:rPr>
          <w:rFonts w:ascii="Times New Roman" w:hAnsi="Times New Roman" w:cs="等线"/>
          <w:i/>
          <w:iCs/>
          <w:sz w:val="18"/>
          <w:szCs w:val="18"/>
        </w:rPr>
      </w:pPr>
      <w:r>
        <w:rPr>
          <w:rFonts w:hint="eastAsia" w:ascii="Times New Roman" w:hAnsi="Times New Roman" w:cs="等线"/>
          <w:i/>
          <w:iCs/>
          <w:sz w:val="18"/>
          <w:szCs w:val="18"/>
        </w:rPr>
        <w:t>3.Deep Underground Space Medical Center, West China Hospital, Sichuan University, Chengdu 610041, P. R. China</w:t>
      </w:r>
    </w:p>
    <w:p w14:paraId="6C64BBC2">
      <w:pPr>
        <w:ind w:firstLine="0" w:firstLineChars="0"/>
        <w:rPr>
          <w:rFonts w:ascii="Times New Roman" w:hAnsi="Times New Roman" w:cs="等线"/>
          <w:i/>
          <w:iCs/>
          <w:sz w:val="18"/>
          <w:szCs w:val="18"/>
        </w:rPr>
      </w:pPr>
      <w:r>
        <w:rPr>
          <w:rFonts w:hint="eastAsia" w:ascii="Times New Roman" w:hAnsi="Times New Roman" w:cs="等线"/>
          <w:i/>
          <w:iCs/>
          <w:sz w:val="18"/>
          <w:szCs w:val="18"/>
        </w:rPr>
        <w:t xml:space="preserve">        </w:t>
      </w:r>
      <w:r>
        <w:rPr>
          <w:rFonts w:hint="eastAsia" w:ascii="Times New Roman" w:hAnsi="Times New Roman" w:cs="等线"/>
          <w:i/>
          <w:iCs/>
          <w:sz w:val="18"/>
          <w:szCs w:val="18"/>
          <w:vertAlign w:val="superscript"/>
        </w:rPr>
        <w:t>*</w:t>
      </w:r>
      <w:r>
        <w:rPr>
          <w:rFonts w:hint="eastAsia" w:ascii="Times New Roman" w:hAnsi="Times New Roman" w:cs="等线"/>
          <w:i/>
          <w:iCs/>
          <w:sz w:val="18"/>
          <w:szCs w:val="18"/>
        </w:rPr>
        <w:t xml:space="preserve">Corresponding author: Pu Jiangbo, Email: </w:t>
      </w:r>
      <w:r>
        <w:rPr>
          <w:rFonts w:ascii="Times New Roman" w:hAnsi="Times New Roman" w:cs="等线"/>
          <w:i/>
          <w:iCs/>
          <w:sz w:val="18"/>
          <w:szCs w:val="18"/>
        </w:rPr>
        <w:t>pujb@bme.pumc</w:t>
      </w:r>
      <w:r>
        <w:rPr>
          <w:rFonts w:ascii="Times New Roman" w:hAnsi="Times New Roman" w:cs="等线"/>
          <w:i/>
          <w:iCs/>
          <w:sz w:val="18"/>
          <w:szCs w:val="18"/>
          <w:lang w:val="it-IT"/>
        </w:rPr>
        <w:t>.edu.cn</w:t>
      </w:r>
    </w:p>
    <w:p w14:paraId="1EC7C84B">
      <w:pPr>
        <w:ind w:firstLine="361"/>
        <w:rPr>
          <w:rFonts w:ascii="Times New Roman" w:hAnsi="Times New Roman" w:cs="Times New Roman"/>
          <w:sz w:val="18"/>
          <w:szCs w:val="18"/>
        </w:rPr>
      </w:pPr>
      <w:r>
        <w:rPr>
          <w:rFonts w:ascii="Times New Roman" w:hAnsi="Times New Roman" w:cs="Times New Roman"/>
          <w:b/>
          <w:bCs/>
          <w:sz w:val="18"/>
          <w:szCs w:val="18"/>
        </w:rPr>
        <w:t>【Abstract】</w:t>
      </w:r>
      <w:r>
        <w:rPr>
          <w:rFonts w:hint="eastAsia" w:ascii="Times New Roman" w:hAnsi="Times New Roman" w:cs="Times New Roman"/>
          <w:b/>
          <w:bCs/>
          <w:sz w:val="18"/>
          <w:szCs w:val="18"/>
        </w:rPr>
        <w:t>Objective</w:t>
      </w:r>
      <w:r>
        <w:rPr>
          <w:rFonts w:hint="eastAsia" w:ascii="Times New Roman" w:hAnsi="Times New Roman" w:cs="Times New Roman"/>
          <w:sz w:val="18"/>
          <w:szCs w:val="18"/>
        </w:rPr>
        <w:t xml:space="preserve"> Postoperative pulmonary infection (PPI) has a high incidence of 15%~30% in esophageal cancer patients, severely affecting prognosis. Accurate risk stratification and early intervention are key to reducing PPI incidence, yet most existing models lack stage-based classification of risk factors and fail to reflect the synergy between preoperative baseline susceptibility and perioperative clinical events, thus limiting targeted risk identification and intervention. This study aimed to construct a preoperative-perioperative two-stage individualized PPI risk prediction model for esophageal cancer based on machine learning algorithms, by integrating preoperative baseline characteristics and full-stage perioperative clinical indicators. </w:t>
      </w:r>
      <w:r>
        <w:rPr>
          <w:rFonts w:hint="eastAsia" w:ascii="Times New Roman" w:hAnsi="Times New Roman" w:cs="Times New Roman"/>
          <w:b/>
          <w:bCs/>
          <w:sz w:val="18"/>
          <w:szCs w:val="18"/>
        </w:rPr>
        <w:t>Methods</w:t>
      </w:r>
      <w:r>
        <w:rPr>
          <w:rFonts w:hint="eastAsia" w:ascii="Times New Roman" w:hAnsi="Times New Roman" w:cs="Times New Roman"/>
          <w:sz w:val="18"/>
          <w:szCs w:val="18"/>
        </w:rPr>
        <w:t xml:space="preserve"> We retrospectively enrolled clinical data of 2200 esophageal cancer patients who underwent surgery at the Cancer Hospital of the Chinese Academy of Medical Sciences from October 2022 to August 2024. Least absolute shrinkage and selection operator (LASSO) regression combined with multivariate logistic regression was used to screen independent predictive variables for the pure preoperative and perioperative stages, respectively. The cohort was randomly divided into training and test sets at a 7:3 ratio to construct five machine learning models: generalized linear model (GLM), random forest (RF), support vector machine (SVM), neural network (NNET) and gradient boosting machine (GBM). </w:t>
      </w:r>
      <w:r>
        <w:rPr>
          <w:rFonts w:hint="eastAsia" w:ascii="Times New Roman" w:hAnsi="Times New Roman" w:cs="Times New Roman"/>
          <w:b/>
          <w:bCs/>
          <w:sz w:val="18"/>
          <w:szCs w:val="18"/>
        </w:rPr>
        <w:t>Results</w:t>
      </w:r>
      <w:r>
        <w:rPr>
          <w:rFonts w:hint="eastAsia" w:ascii="Times New Roman" w:hAnsi="Times New Roman" w:cs="Times New Roman"/>
          <w:sz w:val="18"/>
          <w:szCs w:val="18"/>
        </w:rPr>
        <w:t xml:space="preserve"> Six independent predictive variables were identified. The preoperative variables included gender, American Society of Anesthesiologists (ASA) physical status classification and multidrug-resistant organism colonization, with all preoperative models showing an AUC of 0.71~0.72 and a specificity over 98%. For the perioperative stage, operative duration, postoperative ICU admission and peak C-reactive protein (CRP) level within 0-3 days after surgery were added to the preoperative variables, leading to a significant improvement in predictive performance (AUC &gt; 0.82 for all models). Among them, the GBM model achieved a good balance between sensitivity (69.07%) and specificity (82.59%). </w:t>
      </w:r>
      <w:r>
        <w:rPr>
          <w:rFonts w:hint="eastAsia" w:ascii="Times New Roman" w:hAnsi="Times New Roman" w:cs="Times New Roman"/>
          <w:b/>
          <w:bCs/>
          <w:sz w:val="18"/>
          <w:szCs w:val="18"/>
        </w:rPr>
        <w:t>Conclusion</w:t>
      </w:r>
      <w:r>
        <w:rPr>
          <w:rFonts w:hint="eastAsia" w:ascii="Times New Roman" w:hAnsi="Times New Roman" w:cs="Times New Roman"/>
          <w:sz w:val="18"/>
          <w:szCs w:val="18"/>
        </w:rPr>
        <w:t xml:space="preserve"> The machine learning-based two-stage (preoperative-perioperative) risk prediction model enables stage-specific precise prevention and control of PPI. The preoperative model, with high specificity, is suitable for early screening and reducing antibiotic abuse; the perioperative GBM model, featuring balanced predictive performance and interpretability, can support risk stratification and clinical decision-making. Further multicenter studies are required to verify the model</w:t>
      </w:r>
      <w:r>
        <w:rPr>
          <w:rFonts w:ascii="Times New Roman" w:hAnsi="Times New Roman" w:cs="Times New Roman"/>
          <w:sz w:val="18"/>
          <w:szCs w:val="18"/>
        </w:rPr>
        <w:t>’</w:t>
      </w:r>
      <w:r>
        <w:rPr>
          <w:rFonts w:hint="eastAsia" w:ascii="Times New Roman" w:hAnsi="Times New Roman" w:cs="Times New Roman"/>
          <w:sz w:val="18"/>
          <w:szCs w:val="18"/>
        </w:rPr>
        <w:t>s generalization ability.</w:t>
      </w:r>
    </w:p>
    <w:p w14:paraId="321C91C1">
      <w:pPr>
        <w:ind w:firstLine="361"/>
        <w:rPr>
          <w:rFonts w:ascii="Times New Roman" w:hAnsi="Times New Roman" w:cs="Times New Roman"/>
          <w:sz w:val="18"/>
          <w:szCs w:val="18"/>
        </w:rPr>
      </w:pPr>
      <w:r>
        <w:rPr>
          <w:rFonts w:ascii="Times New Roman" w:hAnsi="Times New Roman" w:cs="Times New Roman"/>
          <w:b/>
          <w:bCs/>
          <w:sz w:val="18"/>
          <w:szCs w:val="18"/>
        </w:rPr>
        <w:t xml:space="preserve">【Key words】 </w:t>
      </w:r>
      <w:r>
        <w:rPr>
          <w:rFonts w:hint="eastAsia" w:ascii="Times New Roman" w:hAnsi="Times New Roman" w:cs="Times New Roman"/>
          <w:sz w:val="18"/>
          <w:szCs w:val="18"/>
        </w:rPr>
        <w:t>Esophageal Cancer</w:t>
      </w:r>
      <w:r>
        <w:rPr>
          <w:rFonts w:ascii="Times New Roman" w:hAnsi="Times New Roman" w:cs="Times New Roman"/>
          <w:sz w:val="18"/>
          <w:szCs w:val="18"/>
        </w:rPr>
        <w:t xml:space="preserve">; </w:t>
      </w:r>
      <w:r>
        <w:rPr>
          <w:rFonts w:hint="eastAsia" w:ascii="Times New Roman" w:hAnsi="Times New Roman" w:cs="Times New Roman"/>
          <w:sz w:val="18"/>
          <w:szCs w:val="18"/>
        </w:rPr>
        <w:t>Postoperative Pulmonary Infection</w:t>
      </w:r>
      <w:r>
        <w:rPr>
          <w:rFonts w:ascii="Times New Roman" w:hAnsi="Times New Roman" w:cs="Times New Roman"/>
          <w:sz w:val="18"/>
          <w:szCs w:val="18"/>
        </w:rPr>
        <w:t xml:space="preserve">; </w:t>
      </w:r>
      <w:r>
        <w:rPr>
          <w:rFonts w:hint="eastAsia" w:ascii="Times New Roman" w:hAnsi="Times New Roman" w:cs="Times New Roman"/>
          <w:sz w:val="18"/>
          <w:szCs w:val="18"/>
        </w:rPr>
        <w:t>Machine Learning</w:t>
      </w:r>
      <w:r>
        <w:rPr>
          <w:rFonts w:ascii="Times New Roman" w:hAnsi="Times New Roman" w:cs="Times New Roman"/>
          <w:sz w:val="18"/>
          <w:szCs w:val="18"/>
        </w:rPr>
        <w:t xml:space="preserve">; </w:t>
      </w:r>
      <w:r>
        <w:rPr>
          <w:rFonts w:hint="eastAsia" w:ascii="Times New Roman" w:hAnsi="Times New Roman" w:cs="Times New Roman"/>
          <w:sz w:val="18"/>
          <w:szCs w:val="18"/>
        </w:rPr>
        <w:t>Risk Prediction</w:t>
      </w:r>
    </w:p>
    <w:p w14:paraId="0D1072A8">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引言</w:t>
      </w:r>
    </w:p>
    <w:p w14:paraId="4B0B4CD4">
      <w:pPr>
        <w:ind w:firstLine="420"/>
        <w:rPr>
          <w:rFonts w:ascii="Times New Roman" w:hAnsi="Times New Roman" w:cs="Times New Roman"/>
        </w:rPr>
      </w:pPr>
      <w:bookmarkStart w:id="3" w:name="_Hlk214299068"/>
      <w:r>
        <w:rPr>
          <w:rFonts w:ascii="Times New Roman" w:hAnsi="Times New Roman" w:cs="Times New Roman"/>
        </w:rPr>
        <w:t>食管癌作为全球高发的消化道恶性肿瘤，2020年全球新发食管癌病例约60.4万例，死亡病例约54.4万例，中国作为高发区，占全球病例的53.7%</w:t>
      </w:r>
      <w:r>
        <w:rPr>
          <w:rFonts w:ascii="Times New Roman" w:hAnsi="Times New Roman" w:cs="Times New Roman"/>
        </w:rPr>
        <w:fldChar w:fldCharType="begin"/>
      </w:r>
      <w:r>
        <w:rPr>
          <w:rFonts w:ascii="Times New Roman" w:hAnsi="Times New Roman" w:cs="Times New Roman"/>
        </w:rPr>
        <w:instrText xml:space="preserve"> ADDIN ZOTERO_ITEM CSL_CITATION {"citationID":"viEUKqTV","properties":{"formattedCitation":"\\super [1]\\nosupersub{}","plainCitation":"[1]","noteIndex":0},"citationItems":[{"id":889,"uris":["http://zotero.org/users/16461411/items/68P7LT8F"],"itemData":{"id":889,"type":"article-journal","abstract":"This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control.","container-title":"CA: a cancer journal for clinicians","DOI":"10.3322/caac.21660","ISSN":"1542-4863","issue":"3","journalAbbreviation":"CA Cancer J Clin","language":"eng","page":"209-249","PMID":"33538338","source":"PubMed","title":"Global Cancer Statistics 2020: GLOBOCAN Estimates of Incidence and Mortality Worldwide for 36 Cancers in 185 Countries","title-short":"Global Cancer Statistics 2020","volume":"71","author":[{"family":"Sung","given":"Hyuna"},{"family":"Ferlay","given":"Jacques"},{"family":"Siegel","given":"Rebecca L."},{"family":"Laversanne","given":"Mathieu"},{"family":"Soerjomataram","given":"Isabelle"},{"family":"Jemal","given":"Ahmedin"},{"family":"Bray","given":"Freddie"}],"issued":{"date-parts":[["2021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[1]</w:t>
      </w:r>
      <w:r>
        <w:rPr>
          <w:rFonts w:ascii="Times New Roman" w:hAnsi="Times New Roman" w:cs="Times New Roman"/>
        </w:rPr>
        <w:fldChar w:fldCharType="end"/>
      </w:r>
      <w:r>
        <w:rPr>
          <w:rFonts w:ascii="Times New Roman" w:hAnsi="Times New Roman" w:cs="Times New Roman"/>
        </w:rPr>
        <w:t>。目前，以手术为主的综合治疗仍是食管癌的首选方案，临床常用术式主要包括胸内食管-胃颈部吻合术、颈胸联合切口全食管切除术等</w:t>
      </w:r>
      <w:r>
        <w:rPr>
          <w:rFonts w:ascii="Times New Roman" w:hAnsi="Times New Roman" w:cs="Times New Roman"/>
        </w:rPr>
        <w:fldChar w:fldCharType="begin"/>
      </w:r>
      <w:r>
        <w:rPr>
          <w:rFonts w:ascii="Times New Roman" w:hAnsi="Times New Roman" w:cs="Times New Roman"/>
        </w:rPr>
        <w:instrText xml:space="preserve"> ADDIN ZOTERO_ITEM CSL_CITATION {"citationID":"8UdGXBRk","properties":{"formattedCitation":"\\super [2]\\nosupersub{}","plainCitation":"[2]","noteIndex":0},"citationItems":[{"id":891,"uris":["http://zotero.org/users/16461411/items/D9V8BIMT"],"itemData":{"id":891,"type":"article-journal","abstract":"BACKGROUND: During competition season, races and games can be scheduled multiple times a week or even within 24 hours. This may interfere with macronutrient periodization, carbohydrate loading regimen, hydration status and nutrition. Most of the studies investigating the influence of diet on performance do not take into consideration that an athlete may need to perform closely spaced, repeated events. The study tested whether the fat-adaptation diet would improve performance on the consecutive day of interval exercise.\nMETHODS: Nine healthy, male amateur athletes were randomly assigned to two diets in a single-blinded, crossover study. The fat-adaptation diet consisted of the first five days high-fat diet (2.62 g/kg/d carbohydrates, 2.23 g/kg/d fat). The day six and seven of the fat-adaptation diet consisted of 5.42 g/kg/d carbohydrates. The balanced carbohydrate diet consisted of a seven-day protocol involving consumption of 5.33 g/kg/d. On day seven of each diet protocol, subjects performed an interval treadmill test dependent on exhaustion. Blood glucose and lactate were measured before and immediately after exercise. The identical treadmill test was performed once again after 24 hours on the day eight of each diet.\nRESULTS: There was a significant decrease in the total distance to exhaustion after the fat-adaptation diet (11.2 ±0.6 km vs 10.9 ±0.8 km), p &lt; 0.05 with lactate being lower after exercise on the second day (6.2 ±0.8 mM) compared to the first day (7.4 ±0.9 mM). Glucose was elevated after exercise except on the second test day on the fat-adaptation diet (5.3 ±0.3 mmol/L).\nCONCLUSIONS: Athletes perform better on the balanced carbohydrate diet than short fat-adaptation diet on the consecutive day of interval test.","container-title":"Acta Scientiarum Polonorum. Technologia Alimentaria","DOI":"10.17306/J.AFS.0828","ISSN":"1898-9594","issue":"1","journalAbbreviation":"Acta Sci Pol Technol Aliment","language":"eng","page":"47-54","PMID":"33449519","source":"PubMed","title":"Short fat-adaptation diet impact on a consecutive day of interval exercise performance","volume":"20","author":[{"family":"Bykowska-Derda","given":"Aleksandra"},{"family":"Darr","given":"Rachel"},{"family":"Czlapka-Matyasik","given":"Magdalena"},{"family":"Horvath","given":"Peter"}],"issued":{"date-parts":[["2021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w:t>
      </w:r>
      <w:r>
        <w:rPr>
          <w:rFonts w:ascii="Times New Roman" w:hAnsi="Times New Roman" w:cs="Times New Roman"/>
        </w:rPr>
        <w:fldChar w:fldCharType="end"/>
      </w:r>
      <w:r>
        <w:rPr>
          <w:rFonts w:ascii="Times New Roman" w:hAnsi="Times New Roman" w:cs="Times New Roman"/>
        </w:rPr>
        <w:t>。然而，由于手术范围广泛、操作时间长、胸腹联合切口以及患者基础免疫功能低下等因素，术后肺部感染</w:t>
      </w:r>
      <w:r>
        <w:rPr>
          <w:rFonts w:hint="eastAsia" w:ascii="Times New Roman" w:hAnsi="Times New Roman" w:cs="Times New Roman"/>
        </w:rPr>
        <w:t>（postoperative pulmonary infection，PPI）</w:t>
      </w:r>
      <w:r>
        <w:rPr>
          <w:rFonts w:ascii="Times New Roman" w:hAnsi="Times New Roman" w:cs="Times New Roman"/>
        </w:rPr>
        <w:t>已成为最常见的并发症之一。研究显示，食管癌</w:t>
      </w:r>
      <w:r>
        <w:rPr>
          <w:rFonts w:hint="eastAsia" w:ascii="Times New Roman" w:hAnsi="Times New Roman" w:cs="Times New Roman"/>
        </w:rPr>
        <w:t>PPI</w:t>
      </w:r>
      <w:r>
        <w:rPr>
          <w:rFonts w:ascii="Times New Roman" w:hAnsi="Times New Roman" w:cs="Times New Roman"/>
        </w:rPr>
        <w:t>发生率可达15%～30%，严重影响患者预后，延长住院时间，增加医疗负担，并可能导致呼吸衰竭、多器官功能衰竭甚至死亡</w:t>
      </w:r>
      <w:r>
        <w:rPr>
          <w:rFonts w:ascii="Times New Roman" w:hAnsi="Times New Roman" w:cs="Times New Roman"/>
        </w:rPr>
        <w:fldChar w:fldCharType="begin"/>
      </w:r>
      <w:r>
        <w:rPr>
          <w:rFonts w:ascii="Times New Roman" w:hAnsi="Times New Roman" w:cs="Times New Roman"/>
        </w:rPr>
        <w:instrText xml:space="preserve"> ADDIN ZOTERO_ITEM CSL_CITATION {"citationID":"BXFtR6XQ","properties":{"formattedCitation":"\\super [3,4]\\nosupersub{}","plainCitation":"[3,4]","dontUpdate":true,"noteIndex":0},"citationItems":[{"id":896,"uris":["http://zotero.org/users/16461411/items/B7QP3YN8"],"itemData":{"id":896,"type":"article-journal","abstract":"Newer surgical techniques have reduced complications and mortality following esophagectomy, but they nevertheless remain high. Data regarding complications are frequently inconsistent and, therefore, difficult to compare between groups. As a result, considerable energy is spent trying to identify best practices to minimize complications. This article reviews the rates of complications and attempts to give guidance regarding their management and outcomes.","container-title":"The Surgical Clinics of North America","DOI":"10.1016/j.suc.2021.03.013","ISSN":"1558-3171","issue":"3","journalAbbreviation":"Surg Clin North Am","language":"eng","page":"525-539","PMID":"34048771","source":"PubMed","title":"Management of Postoperative Complications After Esophageal Resection","volume":"101","author":[{"family":"Fabian","given":"Thomas"}],"issued":{"date-parts":[["2021",6]]}}},{"id":894,"uris":["http://zotero.org/users/16461411/items/Z2H6FUHZ"],"itemData":{"id":894,"type":"article-journal","abstract":"BACKGROUND: Pulmonary complications are common in patients who have undergone esophagectomy. There are no good predictive variables for these complications. In addition, the role that preoperative treatment with chemotherapy and radiation may play in postoperative complications remains unclear.\nMETHODS: We performed a retrospective review of all patients who underwent esophagectomy by a single surgeon at our institution over a 6-year period. Data were analyzed for a correlation between patient risk factors and pulmonary complications, including mortality, prolonged mechanical ventilation, and hospital length of stay.\nRESULTS: Complete data were available on 61 patients. Nearly all patients had some pulmonary abnormality (eg, pleural effusion), although most of these were clinically insignificant. Pneumonia was the most common clinically important complication, and 19.7% of patients required prolonged ventilatory support. Significant risk factors identified included impaired pulmonary function, especially for patients with forced expiratory volume in 1 second (FEV1) less than 65% of predicted, preoperative chemoradiotherapy, and age.\nCONCLUSIONS: Impaired lung function is a significant risk factor for pulmonary complications after esophagectomy. Patients with FEV1 less than 65% of predicted appear to be at greatest risk. There also seems to be an associated risk of preoperative chemoradiotherapy for pulmonary complications after esophagectomy.","container-title":"The Annals of Thoracic Surgery","DOI":"10.1016/s0003-4975(01)03584-6","ISSN":"0003-4975","issue":"3","journalAbbreviation":"Ann Thorac Surg","language":"eng","page":"922-926","PMID":"11899202","source":"PubMed","title":"Pulmonary complications after esophagectomy","volume":"73","author":[{"family":"Avendano","given":"Christopher E."},{"family":"Flume","given":"Patrick A."},{"family":"Silvestri","given":"Gerard A."},{"family":"King","given":"Lydia B."},{"family":"Reed","given":"Carolyn E."}],"issued":{"date-parts":[["2002",3]]}}}],"schema":"https://github.com/citation-style-language/schema/raw/master/csl-citation.json"}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[3，4]</w:t>
      </w:r>
      <w:r>
        <w:rPr>
          <w:rFonts w:ascii="Times New Roman" w:hAnsi="Times New Roman" w:cs="Times New Roman"/>
        </w:rPr>
        <w:fldChar w:fldCharType="end"/>
      </w:r>
      <w:r>
        <w:rPr>
          <w:rFonts w:ascii="Times New Roman" w:hAnsi="Times New Roman" w:cs="Times New Roman"/>
        </w:rPr>
        <w:t>。术后肺部感染的发生机制复杂，主要涉及手术创伤诱发的炎症反应、机械性通气相关损伤、黏液纤毛清除功能障碍以及免疫抑制状态等多重因素</w:t>
      </w:r>
      <w:r>
        <w:rPr>
          <w:rFonts w:ascii="Times New Roman" w:hAnsi="Times New Roman" w:cs="Times New Roman"/>
        </w:rPr>
        <w:fldChar w:fldCharType="begin"/>
      </w:r>
      <w:r>
        <w:rPr>
          <w:rFonts w:ascii="Times New Roman" w:hAnsi="Times New Roman" w:cs="Times New Roman"/>
        </w:rPr>
        <w:instrText xml:space="preserve"> ADDIN ZOTERO_ITEM CSL_CITATION {"citationID":"PyBQ28Gb","properties":{"formattedCitation":"\\super [5,6]\\nosupersub{}","plainCitation":"[5,6]","noteIndex":0},"citationItems":[{"id":898,"uris":["http://zotero.org/users/16461411/items/GDN7CA4U"],"itemData":{"id":898,"type":"article-journal","abstract":"BACKGROUND: Biologic pathways and metabolic mechanisms underpinning early systemic disease in cystic fibrosis (CF) are poorly understood. The Baby Observational and Nutrition Study (BONUS) was a prospective multi-center study of infants with CF with a primary aim to examine the current state of nutrition in the first year of life. Its secondary aim was to prospectively explore concurrent nutritional, metabolic, respiratory, infectious, and inflammatory characteristics associated with early CF anthropometric measurements. We report here metabolomics differences within the urine of these infants as compared to infants without CF.\nMETHODS: Urine metabolomics was performed for 85 infants with predefined clinical phenotypes at approximately one year of age enrolled in BONUS via Ultrahigh Performance Liquid Chromatography-Tandem Mass Spectroscopy (UPLC-MS/MS). Samples were stratified by disease status (non-CF controls (n = 22); CF (n = 63, All-CF)) and CF clinical phenotype: respiratory hospitalization (CF Resp, n = 22), low length (CF LL, n = 23), and low weight (CF LW, n = 15).\nRESULTS: Global urine metabolomics profiles in CF were heterogeneous, however there were distinct metabolic differences between the CF and non-CF groups. Top pathways altered in CF included tRNA charging and methionine degradation. ADCYAP1 and huntingtin were identified as predicted unique regulators of altered metabolic pathways in CF compared to non-CF. Infants with CF displayed alterations in metabolites associated with bile acid homeostasis, pentose sugars, and vitamins.\nCONCLUSIONS: Predicted metabolic pathways and regulators were identified in CF infants compared to non-CF, but metabolic profiles were unable to discriminate between CF phenotypes. Targeted metabolomics provides an opportunity for further understanding of early CF disease.\nTRIAL REGISTRATION: United States ClinicalTrials.Gov registry NCT01424696 (clinicaltrials.gov).","container-title":"Journal of Cystic Fibrosis: Official Journal of the European Cystic Fibrosis Society","DOI":"10.1016/j.jcf.2018.10.016","ISSN":"1873-5010","issue":"4","journalAbbreviation":"J Cyst Fibros","language":"eng","page":"507-515","PMID":"30477895","PMCID":"PMC6533170","source":"PubMed","title":"Urinary metabolomics reveals unique metabolic signatures in infants with cystic fibrosis","volume":"18","author":[{"family":"Kopp","given":"B. T."},{"family":"Joseloff","given":"E."},{"family":"Goetz","given":"D."},{"family":"Ingram","given":"B."},{"family":"Heltshe","given":"S. L."},{"family":"Leung","given":"D. H."},{"family":"Ramsey","given":"B. W."},{"family":"McCoy","given":"K."},{"family":"Borowitz","given":"D."}],"issued":{"date-parts":[["2019",7]]}}},{"id":870,"uris":["http://zotero.org/us</w:instrText>
      </w:r>
      <w:r>
        <w:rPr>
          <w:rFonts w:hint="eastAsia" w:ascii="Times New Roman" w:hAnsi="Times New Roman" w:cs="Times New Roman"/>
        </w:rPr>
        <w:instrText xml:space="preserve">ers/16461411/items/CM833LVJ"],"itemData":{"id":870,"type":"article-journal","abstract":"目的 探讨组合优化后的机器学习算法在预测胃癌术后感染性并发症风险模型中的应用及与其他算法的准确性比较，寻找胃癌术后感染早期诊断的可靠生物标志物。方法 回顾性分析2018年5月至2023年4月安徽医科大学第三附属医院420例胃癌患者的临床数据资料，利用分层随机化分组法划分为训练集和验证集。采用单因素分析确定术后感染性并发症发生的危险因素；利用训练集构建6种常规的机器学习模型：linear regression、random forest、支持向量机、梯度反向传播、light gradient boosting machine(LGBM)、XGBoost和一种组合优化的适度贪心XGBoost(modified greedy algorithm-XGBoost,MGA-XGBoost)模型。利用验证集通过准确率、精确率和受试者工作特征曲线下面积（area under curve,AUC）等评价指标对七种模型进行评估。结果 术后感染性并发症与年龄、手术时间、糖尿病、手术切除范围、联合切除、分期、术前白蛋白、围手术期输血、术前预后营养指数、淋巴细胞绝对数与C-反应蛋白比值及外周血中性粒细胞与淋巴细胞比值相关（P&lt;0.05）。在7个机器学习模型中，MGA-XGBoost模型表现最好，在验证集中的AUC为0.936、准确率为0.889、召回率为0.6、F1分数为0.682、精确率为0.79。模型内部结构中影响占比最高的是糖尿病。结论 本研究表明纳入综合性炎症指标的MGA-XGBoost模型可用于预测胃癌患者术后感染性并发症，具有较高的准确性。","container-title":"中国循证医学杂志","ISSN":"1672-2531","issue":"9","language":"zh-CN","note":"original-container-title: Chinese Journal of Evidence-Based Medicine\nfoundation: 安徽省科技厅重大项目科技惠民专项资金（编号：2022e07020060）；\ndownload: 491\nalbum: 医药卫生科技\nCLC: R735.2\ndbcode: CJFQ\ndbname: CJFDLAST2024\nfilename: ZZXZ202409001\npublicationTag: 北大核心, JST, CSCD, WJCI, 卓越期刊\nCIF: 2.63\nAIF: 1.876","page":"993-1003","source":"CNKI","title":"基于组合优化的机器学习模型预测胃癌术后感染性并发症的诊断性研究","volume":"24","author":[{"literal":"田园"},{"literal":"林志浩"},{"literal":"李瑞"},{"literal":"汪贯龙"},{"literal":"李红霞"},{"literal":"何磊"}],"issued":{"date-parts":[["2024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[5,6]</w:t>
      </w:r>
      <w:r>
        <w:rPr>
          <w:rFonts w:ascii="Times New Roman" w:hAnsi="Times New Roman" w:cs="Times New Roman"/>
        </w:rPr>
        <w:fldChar w:fldCharType="end"/>
      </w:r>
      <w:r>
        <w:rPr>
          <w:rFonts w:ascii="Times New Roman" w:hAnsi="Times New Roman" w:cs="Times New Roman"/>
        </w:rPr>
        <w:t>。临床上，</w:t>
      </w:r>
      <w:r>
        <w:rPr>
          <w:rFonts w:hint="eastAsia" w:ascii="Times New Roman" w:hAnsi="Times New Roman" w:cs="Times New Roman"/>
        </w:rPr>
        <w:t>PPI</w:t>
      </w:r>
      <w:r>
        <w:rPr>
          <w:rFonts w:ascii="Times New Roman" w:hAnsi="Times New Roman" w:cs="Times New Roman"/>
        </w:rPr>
        <w:t>的诊断往往依赖胸部</w:t>
      </w:r>
      <w:r>
        <w:rPr>
          <w:rFonts w:hint="eastAsia" w:ascii="Times New Roman" w:hAnsi="Times New Roman" w:cs="Times New Roman"/>
        </w:rPr>
        <w:t>计算机断层扫描（computed tomography，CT）</w:t>
      </w:r>
      <w:r>
        <w:rPr>
          <w:rFonts w:ascii="Times New Roman" w:hAnsi="Times New Roman" w:cs="Times New Roman"/>
        </w:rPr>
        <w:t>等影像学检查和C-反应蛋白（C-reactive protein，CRP）升高等实验室指标，但这些方法存在延迟诊断的风险</w:t>
      </w:r>
      <w:r>
        <w:rPr>
          <w:rFonts w:ascii="Times New Roman" w:hAnsi="Times New Roman" w:cs="Times New Roman"/>
        </w:rPr>
        <w:fldChar w:fldCharType="begin"/>
      </w:r>
      <w:r>
        <w:rPr>
          <w:rFonts w:ascii="Times New Roman" w:hAnsi="Times New Roman" w:cs="Times New Roman"/>
        </w:rPr>
        <w:instrText xml:space="preserve"> ADDIN ZOTERO_ITEM CSL_CITATION {"citationID":"ghsvaVdU","properties":{"formattedCitation":"\\super [7]\\nosupersub{}","plainCitation":"[7]","noteIndex":0},"citationItems":[{"id":901,"uris":["http://zotero.org/users/16461411/items/MB2AF6HP"],"itemData":{"id":901,"type":"article-journal","abstract":"C-reactive protein (CRP) has been shown to be a useful and sensitive indicator of pyogenic infections in many clinical situations, including acute pneumonia and infective pulmonary exacerbations in cystic fibrosis patients. Exacerbations of COPD are often, but not always, associated with demonstrable infection. The value of CRP measurement in this situation has not been assessed. We have evaluated CRP measurement in 50 patients [age 71 +/- 8 (SD) years] who were admitted to hospital with clinical evidence of exacerbation [PaO2 = 7.3 +/- 1.3 (SD) kPa, baseline FEV1 = 0.8 +/- 0.4 (SD) l]. These patients all had serial measurement of CRP [polarizing immunofluorescence (Abbot, TDx)], peripheral white cell count (WCC), body temperature, peak expiratory flow rate, Karnofsky performance status and chest X-ray, in addition to serial sputum bacteriological analysis carried out in a specialized laboratory. CRP was elevated (&gt; 10 mg l-1) in all patients (n = 29) with proven infection [103 +/- 98 (SD) mg l-1]. Levels were markedly elevated in patients infected with Streptococcus pneumoniae (mean 156 mg l-1); there was also a rapid fall in the CRP with therapy. WCC fell with therapy, giving a correlation with CRP level (r = 0.44, P &lt; 0.01). Since CRP elevation was observed in patients having exacerbation with proven infections and also in those where infection was not proven, it is possible that, while it is a marker for COPD exacerbation, it is not necessarily a marker of bacterial infection per se. However, it is evident from our study that it is of value in the assessment of exacerbations of COPD, where routine bacterial culture of sputum is often unreliable, and thus the measurement of serum CRP may provide an additional objective indicator of infection.","container-title":"Respiratory Medicine","DOI":"10.1016/s0954-6111(98)90515-7","ISSN":"0954-6111","issue":"4","journalAbbreviation":"Respir Med","language":"eng","page":"664-667","PMID":"9659534","source":"PubMed","title":"Value of C-reactive protein measurements in exacerbations of chronic obstructive pulmonary disease","volume":"92","author":[{"family":"Dev","given":"D."},{"family":"Wallace","given":"E."},{"family":"Sankaran","given":"R."},{"family":"Cunniffe","given":"J."},{"family":"Govan","given":"J. R."},{"family":"Wathen","given":"C. G."},{"family":"Emmanuel","given":"F. X."}],"issued":{"date-parts":[["1998",4]]}}}],"schema":"https://github.com/citation-style-language/schema/raw/master/csl-citation.json"}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[7]</w:t>
      </w:r>
      <w:r>
        <w:rPr>
          <w:rFonts w:ascii="Times New Roman" w:hAnsi="Times New Roman" w:cs="Times New Roman"/>
        </w:rPr>
        <w:fldChar w:fldCharType="end"/>
      </w:r>
      <w:r>
        <w:rPr>
          <w:rFonts w:ascii="Times New Roman" w:hAnsi="Times New Roman" w:cs="Times New Roman"/>
        </w:rPr>
        <w:t>。</w:t>
      </w:r>
    </w:p>
    <w:p w14:paraId="4D7F0BFB">
      <w:pPr>
        <w:ind w:firstLine="420"/>
        <w:rPr>
          <w:rFonts w:ascii="Times New Roman" w:hAnsi="Times New Roman"/>
        </w:rPr>
      </w:pPr>
      <w:r>
        <w:rPr>
          <w:rFonts w:hint="eastAsia" w:ascii="Times New Roman" w:hAnsi="Times New Roman"/>
        </w:rPr>
        <w:t>目前</w:t>
      </w:r>
      <w:r>
        <w:rPr>
          <w:rFonts w:ascii="Times New Roman" w:hAnsi="Times New Roman"/>
        </w:rPr>
        <w:t>主要基于小样本logistic回归模型</w:t>
      </w:r>
      <w:r>
        <w:rPr>
          <w:rFonts w:hint="eastAsia" w:ascii="Times New Roman" w:hAnsi="Times New Roman"/>
        </w:rPr>
        <w:t>进行感染预测</w:t>
      </w:r>
      <w:r>
        <w:rPr>
          <w:rFonts w:ascii="Times New Roman" w:hAnsi="Times New Roman"/>
        </w:rPr>
        <w:t>，例如，吕明创等</w:t>
      </w:r>
      <w:r>
        <w:rPr>
          <w:rFonts w:ascii="Times New Roman" w:hAnsi="Times New Roman"/>
        </w:rPr>
        <w:fldChar w:fldCharType="begin"/>
      </w:r>
      <w:r>
        <w:rPr>
          <w:rFonts w:ascii="Times New Roman" w:hAnsi="Times New Roman"/>
        </w:rPr>
        <w:instrText xml:space="preserve"> ADDIN ZOTERO_ITEM CSL_CITATION {"citationID":"6N7O1s9L","properties":{"formattedCitation":"\\super [8]\\nosupersub{}","plainCitation":"[8]","noteIndex":0},"citationItems":[{"id":1018,"uris":["http://zotero.org/users/16461411/items/YSK98WJA"],"itemData":{</w:instrText>
      </w:r>
      <w:r>
        <w:rPr>
          <w:rFonts w:hint="eastAsia" w:ascii="Times New Roman" w:hAnsi="Times New Roman"/>
        </w:rPr>
        <w:instrText xml:space="preserve">"id":1018,"type":"article-journal","abstract":"目的 探讨食管癌术后并发肺部感染的病原菌分布及危险因素，并构建风险预测模型，评估其预测价值。方法 以2018年5月-2022年12月南阳市第二人民医院收治的169例食管癌手术患者为研究对象，其中并发肺部感染52例为感染组，未并发肺部感染117例为未感染组，统计食管癌术后并发肺部感染患者的病原菌分布特点，采用多因素Logistic回归筛选危险因素，并构建风险预测模型，受试者工作特征（ROC）曲线和校准曲线评估模型的预测价值。结果 52例并发肺部感染患者共检出61株病原菌，其中以革兰阴性菌为主（37株，60.66%）;多因素Logistic回归分析结果显示，肿瘤部位为上/中段、有吸烟史、合并糖尿病及外周血Toll样受体-4（TLR4）、核因子-κB（NF-κB）mRNA水平偏高与食管癌术后并发肺部感染有关（P&lt;0.05）;构建的预测模型经Hosmer-Lemeshow拟合度检验结果显示，模型拟合的准确度较好（χ2=6.214,P=0.623）,校准曲线发现，模型区分、校准和预测能力良好；ROC曲线结果显示，曲线下面积（AUC）值为0.880（95%CI为0.822～0.938）、模型诊断的灵敏度为75.00%,特异度为87.18%。结论 食管癌术后并发肺部感染的病原菌以革兰阴性菌为主，且其发生与肿瘤部位为上/中段、有吸烟史、合并糖尿病及TLR4/NF-κB信号通路变化有关，据此建立的风险预测模型具有较高的准确度及区分度。","container-title":"中华医院感染学杂志","ISSN":"1005-4529","issue":"10","language":"zh-CN","note":"original-container-title: Chinese Journal of Nosocomiology\nfoundation: 2022年河南省联合共建项目(LHGJ20221046)；\ndownload: 666\nalbum: 医药卫生科技\nCLC: R735.1;R563.1\ndbcode: CJFQ\ndbname: CJFDLAST2024\nfilename: ZHYY202410014\npublicationTag: 北大核心, CAS, JST, CSCD, WJCI, 卓越期刊\nCIF: 1.901\nAIF: 1.611","page":"1507-1511","source":"CNKI","title":"食管癌术后并发肺部感染危险因素和预测模型构建","volume":"34","author":[{"literal":"吕明闯"},{"literal":"曹睿"},{"literal":"丁旭青"},{"literal":"李国梁"},{"literal":"陈基升"}],"issued":{"date-parts":[["2024"]]}}}],"schema":"h</w:instrText>
      </w:r>
      <w:r>
        <w:rPr>
          <w:rFonts w:ascii="Times New Roman" w:hAnsi="Times New Roman"/>
        </w:rPr>
        <w:instrText xml:space="preserve">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[8]</w:t>
      </w:r>
      <w:r>
        <w:rPr>
          <w:rFonts w:ascii="Times New Roman" w:hAnsi="Times New Roman"/>
        </w:rPr>
        <w:fldChar w:fldCharType="end"/>
      </w:r>
      <w:r>
        <w:rPr>
          <w:rFonts w:ascii="Times New Roman" w:hAnsi="Times New Roman"/>
        </w:rPr>
        <w:t>纳入169例食管癌手术患者，采用多因素Logistic回归筛选危险因素，并构建风险预测模型，模型接收者操作特性曲线下面积（the area under the receiver operating characteristic curve，AUC）值为0.88、模型诊断的灵敏度为75.00％，特异度为87.18％。Li等</w:t>
      </w:r>
      <w:r>
        <w:rPr>
          <w:rFonts w:ascii="Times New Roman" w:hAnsi="Times New Roman"/>
        </w:rPr>
        <w:fldChar w:fldCharType="begin"/>
      </w:r>
      <w:r>
        <w:rPr>
          <w:rFonts w:ascii="Times New Roman" w:hAnsi="Times New Roman"/>
        </w:rPr>
        <w:instrText xml:space="preserve"> ADDIN ZOTERO_ITEM CSL_CITATION {"citationID":"7O6szuDC","properties":{"formattedCitation":"\\super [9]\\nosupersub{}","plainCitation":"[9]","noteIndex":0},"citationItems":[{"id":1007,"uris":["http://zotero.org/users/16461411/items/P6IBYBHB"],"itemData":{"id":1007,"type":"article-journal","abstract":"Postoperative pulmonary infections (POPIs) occur in approximately 13–38% of patients who undergo surgery for esophageal cancer, negatively impacting patient outcomes and prolonging hospital stays. This study aims to develop a novel clinical prediction model to identify patients at risk for POPIs early, thereby enabling timely intervention by clinicians.","container-title":"BMC Surgery","DOI":"10.1186/s12893-025-02794-z","ISSN":"1471-2482","issue":"1","journalAbbreviation":"BMC Surg","language":"en","page":"70","source":"Springer Link","title":"A nomogram for postoperative pulmonary infections in esophageal cancer patients: a two-center retrospective clinical study","title-short":"A nomogram for postoperative pulmonary infections in esophageal cancer patients","volume":"25","author":[{"family":"Li","given":"Shuang"},{"family":"Fang","given":"Chen"},{"family":"Tao","given":"Zheng"},{"family":"Zhu","given":"Jingfeng"},{"family":"Ma","given":"Haitao"}],"issued":{"date-parts":[["2025",2,18]]}}}],"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[9]</w:t>
      </w:r>
      <w:r>
        <w:rPr>
          <w:rFonts w:ascii="Times New Roman" w:hAnsi="Times New Roman"/>
        </w:rPr>
        <w:fldChar w:fldCharType="end"/>
      </w:r>
      <w:r>
        <w:rPr>
          <w:rFonts w:ascii="Times New Roman" w:hAnsi="Times New Roman"/>
        </w:rPr>
        <w:t>纳入来自两家医院的910名患者，其中第二家医院115名患者作为外部验证，通过逻辑回归构建列线图的方法预测PPI发生率。训练队列的AUC为0.8</w:t>
      </w:r>
      <w:r>
        <w:rPr>
          <w:rFonts w:hint="eastAsia" w:ascii="Times New Roman" w:hAnsi="Times New Roman"/>
        </w:rPr>
        <w:t>1</w:t>
      </w:r>
      <w:r>
        <w:rPr>
          <w:rFonts w:ascii="Times New Roman" w:hAnsi="Times New Roman"/>
        </w:rPr>
        <w:t>，验证队列的AUC为0.80，外部测试队列的AUC为0.7</w:t>
      </w:r>
      <w:r>
        <w:rPr>
          <w:rFonts w:hint="eastAsia" w:ascii="Times New Roman" w:hAnsi="Times New Roman"/>
        </w:rPr>
        <w:t>2</w:t>
      </w:r>
      <w:r>
        <w:rPr>
          <w:rFonts w:ascii="Times New Roman" w:hAnsi="Times New Roman"/>
        </w:rPr>
        <w:t>。尽管现有感染预测模型已取得一定进展，但部分研究纳入的患者数据相对偏少，模型</w:t>
      </w:r>
      <w:r>
        <w:rPr>
          <w:rFonts w:hint="eastAsia" w:ascii="Times New Roman" w:hAnsi="Times New Roman"/>
        </w:rPr>
        <w:t>外推性差</w:t>
      </w:r>
      <w:r>
        <w:rPr>
          <w:rFonts w:ascii="Times New Roman" w:hAnsi="Times New Roman"/>
        </w:rPr>
        <w:fldChar w:fldCharType="begin"/>
      </w:r>
      <w:r>
        <w:rPr>
          <w:rFonts w:ascii="Times New Roman" w:hAnsi="Times New Roman"/>
        </w:rPr>
        <w:instrText xml:space="preserve"> ADDIN ZOTERO_ITEM CSL_CITATION {"citationID":"mbnUpXO2","properties":{"formattedCitation":"\\super [10]\\nosupersub{}","plainCitation":"[10]","noteIndex":0},"citationItems":[{"id":911,"uris":["http://zotero.org/users/16461411/items/IZ4G62UL"],"itemData":{"id":911,"type":"article-journal","abstract":"BACKGROUND: Oesophagectomy is an operation with a high risk of postoperative complications. The aim of this single-centre retrospective study was to apply machine-learning methods to predict complications (Clavien-Dindo grade IIIa or higher) and specific adverse events.\nMETHODS: Patients with resectable adenocarcinoma or squamous cell carcinoma of the oesophagus and gastro-oesophageal junction who underwent Ivor Lewis oesophagectomy between 2016 and 2021 were included. The tested algorithms were logistic regression after recursive feature elimination, random forest, k-nearest neighbour, support vector machine, and neural network. The algorithms were also compared with a current risk score (the Cologne risk score).\nRESULTS: 457 patients had Clavien-Dindo grade IIIa or higher complications (52.9 per cent) versus 407 patients with Clavien-Dindo grade 0, I, or II complications (47.1 per cent). After 3-fold imputation and 3-fold cross-validation, the overall accuracies were: logistic regression after recursive feature elimination, 0.528; random forest, 0.535; k-nearest neighbour, 0.491; support vector machine, 0.511; neural network, 0.688; and Cologne risk score, 0.510. For medical complications, the results were: logistic regression after recursive feature elimination, 0.688; random forest, 0.664; k-nearest neighbour, 0.673; support vector machine, 0.681; neural network, 0.692; and Cologne risk score, 0.650. For surgical complications, the results were: logistic regression after recursive feature elimination, 0.621; random forest, 0.617; k-nearest neighbour, 0.620; support vector machine, 0.634; neural network, 0.667; and Cologne risk score, 0.624. The calculated area under the curve of the neural network was 0.672 for Clavien-Dindo grade IIIa or higher, 0.695 for medical complications, and 0.653 for surgical complications.\nCONCLUSION: The neural network scored the highest accuracies compared with all of the other models for the prediction of postoperative complications after oesophagectomy.","container-title":"The British Journal of Surgery","DOI":"10.1093/bjs/znad181","ISSN":"1365-2168","issue":"10","journalAbbreviation":"Br J Surg","language":"eng","page":"1361-1366","PMID":"37343072","source":"PubMed","title":"Prediction of postoperative complications after oesophagectomy using machine-learning methods","volume":"110","author":[{"family":"Jung","given":"Jin-On"},{"family":"Pisula","given":"Juan I."},{"family":"Bozek","given":"Kasia"},{"family":"Popp","given":"Felix"},{"family":"Fuchs","given":"Hans F."},{"family":"Schröder","given":"Wolfgang"},{"family":"Bruns","given":"Christiane J."},{"family":"Schmidt","given":"Thomas"}],"issued":{"date-parts":[["2023",9,6]]}}}],"schema":"https://github.com/citation-style-language/schema/raw/master/csl-citation.json"}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[10]</w:t>
      </w:r>
      <w:r>
        <w:rPr>
          <w:rFonts w:ascii="Times New Roman" w:hAnsi="Times New Roman"/>
        </w:rPr>
        <w:fldChar w:fldCharType="end"/>
      </w:r>
      <w:r>
        <w:rPr>
          <w:rFonts w:ascii="Times New Roman" w:hAnsi="Times New Roman"/>
        </w:rPr>
        <w:t>，且线性模型难以捕捉非线性交互作用</w:t>
      </w:r>
      <w:r>
        <w:rPr>
          <w:rFonts w:ascii="Times New Roman" w:hAnsi="Times New Roman"/>
        </w:rPr>
        <w:fldChar w:fldCharType="begin"/>
      </w:r>
      <w:r>
        <w:rPr>
          <w:rFonts w:ascii="Times New Roman" w:hAnsi="Times New Roman"/>
        </w:rPr>
        <w:instrText xml:space="preserve"> ADDIN ZOTERO_ITEM CSL_CITATION {"citationID":"dOUsXQez","properties":{"formattedCitation":"\\super [11]\\nosupersub{}","plainCitation":"[11]","noteIndex":0},"citationItems":[{"id":903,"uris":["http://zotero.org/users/16461411/items/BVPAYLP3"],"itemData":{"id":903,"type":"article-journal","abstract":"OBJECTIVE: The purpose of this study was to estimate the economic burden of postoperative complications after esophagectomy for cancer, in order to optimally allocate resources for quality improvement initiatives in the future.\nMETHODS: A retrospective analysis of prospectively collected clinical and financial outcomes after esophageal cancer surgery in a tertiary referral center in the Netherlands was performed. Data was extracted from consecutive patients registered in the Dutch Upper GI Cancer Audit between 2011 and 2014 (n = 201). Costs were measured up to 90-days after hospital discharge and based on Time-Driven Activity-Based Costing. The additional costs were estimated using multiple linear regression models.\nRESULTS: The average total cost for one patient after esophagectomy was €37,581 (±31,372). The estimated costs of an esophagectomy without complications were €23,476 (±6496). Mean costs after minor (47%) and severe complications (29%) were €31,529 (±23,359) and €59,167 (±42,615) (p &lt; 0.001), respectively. The 5% most expensive patients were responsible for 20.3% of the total hospital costs assessed in this study. Patient characteristics associated with additional costs in multivariable analysis included, age &gt;70 (+€2,922, p = 0.036), female gender (+€4,357, p = 0.005), COPD (+€5,415, p = 0.002), and a history of thromboembolic events (+€6,213, p = 0.028). Complications associated with a significant increase in costs in multivariable analysis included anastomotic leakage (+€4,123, p = 0.008), cardiac complications (+€5,711, p = 0.003), chyle leakage (+€6,188, p &lt; 0.001) and postoperative bleeding (+€31,567, p &lt; 0.001).\nCONCLUSIONS: Complications and severity of complications after esophageal surgery are associated with a substantial increase in costs. Although not all postoperative complications can be prevented, implementation of preventive measures to reduce complications could result in a considerable cost reduction and quality improvement.","container-title":"European Journal of Surgical Oncology: The Journal of the European Society of Surgical Oncology and the British Association of Surgical Oncology","DOI":"10.1016/j.ejso.2016.11.013","ISSN":"1532-2157","issue":"4","journalAbbreviation":"Eur J Surg Oncol","language":"eng","page":"696-702","PMID":"28012715","source":"PubMed","title":"Hospital costs of complications after esophagectomy for cancer","volume":"43","author":[{"family":"Goense","given":"L."},{"family":"Dijk","given":"W. A.","non-dropping-particle":"van"},{"family":"Govaert","given":"J. A."},{"family":"Rossum","given":"P. S. N.","non-dropping-particle":"van"},{"family":"Ruurda","given":"J. P."},{"family":"Hillegersberg","given":"R.","non-dropping-particle":"van"}],"issued":{"date-parts":[["2017",4]]}}}],"schema":"https://github.com/citation-style-language/schema/raw/master/csl-citation.json"}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[11]</w:t>
      </w:r>
      <w:r>
        <w:rPr>
          <w:rFonts w:ascii="Times New Roman" w:hAnsi="Times New Roman"/>
        </w:rPr>
        <w:fldChar w:fldCharType="end"/>
      </w:r>
      <w:r>
        <w:rPr>
          <w:rFonts w:ascii="Times New Roman" w:hAnsi="Times New Roman"/>
        </w:rPr>
        <w:t>。近年来，机器学习（</w:t>
      </w:r>
      <w:bookmarkStart w:id="4" w:name="_Hlk217413674"/>
      <w:r>
        <w:rPr>
          <w:rFonts w:ascii="Times New Roman" w:hAnsi="Times New Roman"/>
        </w:rPr>
        <w:t>Machine Learning</w:t>
      </w:r>
      <w:bookmarkEnd w:id="4"/>
      <w:r>
        <w:rPr>
          <w:rFonts w:ascii="Times New Roman" w:hAnsi="Times New Roman"/>
        </w:rPr>
        <w:t>，ML）技术凭借强大的数据挖掘与复杂关系拟合能力，</w:t>
      </w:r>
      <w:r>
        <w:rPr>
          <w:rFonts w:hint="eastAsia" w:ascii="Times New Roman" w:hAnsi="Times New Roman"/>
        </w:rPr>
        <w:t>在外科围手术期并发症预测领域得到广泛应用</w:t>
      </w:r>
      <w:r>
        <w:rPr>
          <w:rFonts w:ascii="Times New Roman" w:hAnsi="Times New Roman"/>
        </w:rPr>
        <w:fldChar w:fldCharType="begin"/>
      </w:r>
      <w:r>
        <w:rPr>
          <w:rFonts w:ascii="Times New Roman" w:hAnsi="Times New Roman"/>
        </w:rPr>
        <w:instrText xml:space="preserve"> ADDIN ZOTERO_ITEM CSL_CITATION {"citationID":"UH6pbApy","properties":{"formattedCitation":"\\super [12,13]\\nosupersub{}","plainCitation":"[12,13]","noteIndex":0},"citationItems":[{"id":909,"uris":["http://zotero.org/users/16461411/items/L6A5S94C"],"item</w:instrText>
      </w:r>
      <w:r>
        <w:rPr>
          <w:rFonts w:hint="eastAsia" w:ascii="Times New Roman" w:hAnsi="Times New Roman"/>
        </w:rPr>
        <w:instrText xml:space="preserve">Data":{"id":909,"type":"article-journal","abstract":"尘肺病在我国每年报告的新发职业病中居首位，影像学诊断目前仍是其主要的临床诊断方法之一。然而，人工阅片对医生水平要求较高，尘肺影像学分期诊断的判别难度大，而且由于医疗资源分布不均衡等因素的影响，很容易导致基层医疗机构出现误诊和漏诊。计算机辅助诊断系统可以实现尘肺病的快速筛查，以便辅助临床医生进行鉴别和诊断，提高诊断效能。作为深度学习的重要分支，卷积神经网络因具有局部关联、权值共享的特点，擅长处理图像分割、图像分类、目标检测等各种视觉任务，近年来已在尘肺病计算机辅助诊断领域得到广泛应用。本文就卷积神经网络（VGG、U-Net、ResNet、DenseNet、CheXNet、Inception-V3和ShuffleNet）在尘肺病影像学筛查诊断、分期诊断和病灶分割等方面的应用进行文献回顾，旨在总结卷积神经网络的方法、优缺点及优化策略，为尘肺病影像学计算机辅助诊断的进一步研究提供参考。","container-title":"Sheng Wu Yi Xue Gong Cheng Xue Za Zhi = Journal of Biomedical Engineering","DOI":"10.7507/1001-5515.202309079","ISSN":"1001-5515","issue":"2","journalAbbreviation":"Sheng Wu Yi Xue Gong Cheng Xue Za Zhi","page":"413-420","PMID":"38686425","PMCID":"PMC11058508","source":"PubMed Central","title":"卷积神经网络在职业性尘肺病影像学诊断中的应用研究进展","volume":"41","author":[{"family":"王","given":"瑜"},{"family":"吴","given":"江"},{"family":"伍","given":""}],"issued":{"date-parts":[["2024",4,25]]}}},{"id":907,"uris":["http://zotero.org/users/16461411/items/IDGTW234"],"itemData":{</w:instrText>
      </w:r>
      <w:r>
        <w:rPr>
          <w:rFonts w:ascii="Times New Roman" w:hAnsi="Times New Roman"/>
        </w:rPr>
        <w:instrText xml:space="preserve">"id":907,"type":"article-journal","container-title":"The New England Journal of Medicine","DOI":"10.1056/NEJMra1814259","ISSN":"1533-4406","issue":"14","journalAbbreviation":"N Engl J Med","language":"eng","page":"1347-1358","PMID":"30943338","source":"PubMed","title":"Machine Learning in Medicine","volume":"380","author":[{"family":"Rajkomar","given":"Alvin"},{"family":"Dean","given":"Jeffrey"},{"family":"Kohane","given":"Isaac"}],"issued":{"date-parts":[["2019",4,4]]}}}],"schema":"https://github.com/citation-style-language/schema/raw/master/csl-citation.json"}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[12,13]</w:t>
      </w:r>
      <w:r>
        <w:rPr>
          <w:rFonts w:ascii="Times New Roman" w:hAnsi="Times New Roman"/>
        </w:rPr>
        <w:fldChar w:fldCharType="end"/>
      </w:r>
      <w:r>
        <w:rPr>
          <w:rFonts w:ascii="Times New Roman" w:hAnsi="Times New Roman"/>
        </w:rPr>
        <w:t>。</w:t>
      </w:r>
      <w:r>
        <w:rPr>
          <w:rFonts w:hint="eastAsia" w:ascii="Times New Roman" w:hAnsi="Times New Roman"/>
        </w:rPr>
        <w:t>但目前针对食管癌 PPI 的机器学习预测研究仍处于探索阶段，多集中于单一阶段临床特征，对于模型结果的可解释性仍较为有限。基于此，本研究构建并比较了术前和围手术期两阶段下的ML模型在预测食管癌PPI中的表现，并通过 SHAP 方法进行可解释性分析，为围手术期个体化风险分层和精准管理提供</w:t>
      </w:r>
      <w:r>
        <w:rPr>
          <w:rFonts w:ascii="Times New Roman" w:hAnsi="Times New Roman"/>
        </w:rPr>
        <w:t>循证</w:t>
      </w:r>
      <w:r>
        <w:rPr>
          <w:rFonts w:hint="eastAsia" w:ascii="Times New Roman" w:hAnsi="Times New Roman"/>
        </w:rPr>
        <w:t>依据。</w:t>
      </w:r>
      <w:bookmarkEnd w:id="3"/>
    </w:p>
    <w:p w14:paraId="1C97D082">
      <w:pPr>
        <w:pStyle w:val="2"/>
        <w:spacing w:before="156" w:after="156"/>
        <w:rPr>
          <w:rFonts w:hint="eastAsia"/>
        </w:rPr>
      </w:pPr>
      <w:r>
        <w:t>资料和方法</w:t>
      </w:r>
    </w:p>
    <w:p w14:paraId="06FEF66E">
      <w:pPr>
        <w:pStyle w:val="3"/>
        <w:spacing w:before="156" w:after="156"/>
      </w:pPr>
      <w:r>
        <w:t>资料收集</w:t>
      </w:r>
    </w:p>
    <w:p w14:paraId="7E408544">
      <w:pPr>
        <w:ind w:firstLine="420"/>
        <w:rPr>
          <w:rFonts w:ascii="Times New Roman" w:hAnsi="Times New Roman" w:cs="Times New Roman"/>
        </w:rPr>
      </w:pPr>
      <w:r>
        <w:rPr>
          <w:rFonts w:hint="eastAsia" w:ascii="Times New Roman" w:hAnsi="Times New Roman" w:cs="Times New Roman"/>
        </w:rPr>
        <w:t>本研究</w:t>
      </w:r>
      <w:r>
        <w:rPr>
          <w:rFonts w:ascii="Times New Roman" w:hAnsi="Times New Roman" w:cs="Times New Roman"/>
        </w:rPr>
        <w:t>连续收集并回顾性分析了2022年10月至2024年08月期间在中国医学科学院肿瘤医院接受手术的食管癌患者的临床资料</w:t>
      </w:r>
      <w:r>
        <w:rPr>
          <w:rFonts w:hint="eastAsia" w:ascii="Times New Roman" w:hAnsi="Times New Roman" w:cs="Times New Roman"/>
        </w:rPr>
        <w:t>，</w:t>
      </w:r>
      <w:r>
        <w:rPr>
          <w:rFonts w:ascii="Times New Roman" w:hAnsi="Times New Roman" w:cs="Times New Roman"/>
        </w:rPr>
        <w:t>研究共</w:t>
      </w:r>
      <w:bookmarkStart w:id="5" w:name="_Hlk210980490"/>
      <w:r>
        <w:rPr>
          <w:rFonts w:hint="eastAsia" w:ascii="Times New Roman" w:hAnsi="Times New Roman" w:cs="Times New Roman"/>
        </w:rPr>
        <w:t>纳入</w:t>
      </w:r>
      <w:r>
        <w:rPr>
          <w:rFonts w:ascii="Times New Roman" w:hAnsi="Times New Roman" w:cs="Times New Roman"/>
        </w:rPr>
        <w:t>2</w:t>
      </w:r>
      <w:bookmarkEnd w:id="5"/>
      <w:r>
        <w:rPr>
          <w:rFonts w:ascii="Times New Roman" w:hAnsi="Times New Roman" w:cs="Times New Roman"/>
        </w:rPr>
        <w:t>200名患者。纳入标准为：1.具有完整临床及随访资料的患者；2.符合《食管癌诊疗指南》</w:t>
      </w:r>
      <w:r>
        <w:rPr>
          <w:rFonts w:ascii="Times New Roman" w:hAnsi="Times New Roman" w:cs="Times New Roman"/>
        </w:rPr>
        <w:fldChar w:fldCharType="begin"/>
      </w:r>
      <w:r>
        <w:rPr>
          <w:rFonts w:ascii="Times New Roman" w:hAnsi="Times New Roman" w:cs="Times New Roman"/>
        </w:rPr>
        <w:instrText xml:space="preserve"> ADDIN ZOTERO_ITEM CSL_CITATION {"citationID":"Zf3uNHeE","properties":{"formattedCitation":"\\super [14]\\nosupersub{}","plainCitation":"[14]","noteIndex":0},"citationItems":[{"id":1022,"uris":["http://zotero.org/users/16461411/items/7F4YXIJQ"],"itemData"</w:instrText>
      </w:r>
      <w:r>
        <w:rPr>
          <w:rFonts w:hint="eastAsia" w:ascii="Times New Roman" w:hAnsi="Times New Roman" w:cs="Times New Roman"/>
        </w:rPr>
        <w:instrText xml:space="preserve">:{"id":1022,"type":"article-journal","container-title":"中华消化外科杂志","issue":"21","page":"1247-1268","title":"食管癌诊疗指南（2022 年版）","volume":"21","author":[{"family":"中华人民共和国国家卫生健康委员会医政医管局","given":""}],"issued":{"date-parts":[["2022"]]}}}],"schema":"https://git</w:instrText>
      </w:r>
      <w:r>
        <w:rPr>
          <w:rFonts w:ascii="Times New Roman" w:hAnsi="Times New Roman" w:cs="Times New Roman"/>
        </w:rPr>
        <w:instrText xml:space="preserve">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[14]</w:t>
      </w:r>
      <w:r>
        <w:rPr>
          <w:rFonts w:ascii="Times New Roman" w:hAnsi="Times New Roman" w:cs="Times New Roman"/>
        </w:rPr>
        <w:fldChar w:fldCharType="end"/>
      </w:r>
      <w:r>
        <w:rPr>
          <w:rFonts w:ascii="Times New Roman" w:hAnsi="Times New Roman" w:cs="Times New Roman"/>
        </w:rPr>
        <w:t>中所述诊断标准的患者；3.接受如颈部吻合食管切除术、胸部吻合术食管切除术等食管癌相关外科治疗手术的患者。排除标准为：1.存在认知功能及沟通障碍的患者；</w:t>
      </w:r>
      <w:r>
        <w:rPr>
          <w:rFonts w:hint="eastAsia" w:ascii="Times New Roman" w:hAnsi="Times New Roman" w:cs="Times New Roman"/>
        </w:rPr>
        <w:t>2</w:t>
      </w:r>
      <w:r>
        <w:rPr>
          <w:rFonts w:ascii="Times New Roman" w:hAnsi="Times New Roman" w:cs="Times New Roman"/>
        </w:rPr>
        <w:t>.有严重心、肺、肝、肾功能不全的患者；3.入院前已发生肺部感染的患者。本研究无年龄限制。本研究已获得中国医学科学院肿瘤医院伦理批准</w:t>
      </w:r>
      <w:r>
        <w:rPr>
          <w:rFonts w:hint="eastAsia" w:ascii="Times New Roman" w:hAnsi="Times New Roman" w:cs="Times New Roman"/>
        </w:rPr>
        <w:t>本研究通过（批准号：NCC2024C-799）</w:t>
      </w:r>
      <w:r>
        <w:rPr>
          <w:rFonts w:ascii="Times New Roman" w:hAnsi="Times New Roman" w:cs="Times New Roman"/>
        </w:rPr>
        <w:t>。所有方法均按相关指南和规定执行。</w:t>
      </w:r>
    </w:p>
    <w:p w14:paraId="0C458176">
      <w:pPr>
        <w:ind w:firstLine="420"/>
        <w:rPr>
          <w:rFonts w:ascii="Times New Roman" w:hAnsi="Times New Roman" w:cs="Times New Roman"/>
          <w:sz w:val="24"/>
        </w:rPr>
      </w:pPr>
      <w:r>
        <w:rPr>
          <w:rFonts w:hint="eastAsia" w:ascii="Times New Roman" w:hAnsi="Times New Roman" w:cs="Times New Roman"/>
        </w:rPr>
        <w:t>收集的临床变量覆盖围手术期不同阶段，包括术前、术中及术后早期因素。术前变量</w:t>
      </w:r>
      <w:r>
        <w:rPr>
          <w:rFonts w:ascii="Times New Roman" w:hAnsi="Times New Roman" w:cs="Times New Roman"/>
        </w:rPr>
        <w:t>包括患者的年龄、性别、体重指数（body mass index，BMI）、病史（吸烟、饮酒、糖尿病、高血压、冠心病、肺结核病史、慢性阻塞性肺病（chronic obstructive pulmonary disease，COPD）病史）、</w:t>
      </w:r>
      <w:r>
        <w:rPr>
          <w:rFonts w:hint="eastAsia" w:ascii="Times New Roman" w:hAnsi="Times New Roman" w:cs="Times New Roman"/>
        </w:rPr>
        <w:t>及</w:t>
      </w:r>
      <w:r>
        <w:rPr>
          <w:rFonts w:ascii="Times New Roman" w:hAnsi="Times New Roman" w:cs="Times New Roman"/>
        </w:rPr>
        <w:t>术前因素（术前是否有多重耐药菌定植）</w:t>
      </w:r>
      <w:r>
        <w:rPr>
          <w:rFonts w:hint="eastAsia" w:ascii="Times New Roman" w:hAnsi="Times New Roman" w:cs="Times New Roman"/>
        </w:rPr>
        <w:t>、</w:t>
      </w:r>
      <w:r>
        <w:rPr>
          <w:rFonts w:ascii="Times New Roman" w:hAnsi="Times New Roman" w:cs="Times New Roman"/>
        </w:rPr>
        <w:t>美国麻醉医师学会（American Society of Anesthesiologists，ASA）身体状态分级</w:t>
      </w:r>
      <w:r>
        <w:rPr>
          <w:rFonts w:hint="eastAsia" w:ascii="Times New Roman" w:hAnsi="Times New Roman" w:cs="Times New Roman"/>
        </w:rPr>
        <w:t>；围手术期变量在术前变量基础上，新增术中手术持续时间、术后是否入住ICU、术后 0-3 天CRP峰值、是否有非计划二次手术、是否机械通气</w:t>
      </w:r>
      <w:r>
        <w:rPr>
          <w:rFonts w:ascii="Times New Roman" w:hAnsi="Times New Roman" w:cs="Times New Roman"/>
        </w:rPr>
        <w:t>。结局指标为术后30天内肺部感染，</w:t>
      </w:r>
      <w:r>
        <w:rPr>
          <w:rFonts w:ascii="Times New Roman" w:hAnsi="Times New Roman" w:cs="Times New Roman"/>
          <w:szCs w:val="21"/>
        </w:rPr>
        <w:t>诊断标准参照《医院感染诊断标准（2001版）》</w:t>
      </w:r>
      <w:r>
        <w:rPr>
          <w:rFonts w:ascii="Times New Roman" w:hAnsi="Times New Roman" w:cs="Times New Roman"/>
          <w:szCs w:val="21"/>
        </w:rPr>
        <w:fldChar w:fldCharType="begin"/>
      </w:r>
      <w:r>
        <w:rPr>
          <w:rFonts w:ascii="Times New Roman" w:hAnsi="Times New Roman" w:cs="Times New Roman"/>
          <w:szCs w:val="21"/>
        </w:rPr>
        <w:instrText xml:space="preserve"> ADDIN ZOTERO_ITEM CSL_CITATION {"citationID":"2QIqsfJ0","properties":{"formattedCitation":"\\super [15]\\nosupersub{}","plainCitation":"[15]","noteIndex":0},"citationItems":[{"id":1023,"uris":["http://zotero.org/users/16461411/items/ATK9VREK"],"itemData"</w:instrText>
      </w:r>
      <w:r>
        <w:rPr>
          <w:rFonts w:hint="eastAsia" w:ascii="Times New Roman" w:hAnsi="Times New Roman" w:cs="Times New Roman"/>
          <w:szCs w:val="21"/>
        </w:rPr>
        <w:instrText xml:space="preserve">:{"id":1023,"type":"standard","number":"5","publisher":"中华医学杂志","title":"医院感染诊断标准（试行）","author":[{"family":"中华人民共和国卫生部","given":""}],"issued":{"date-parts":[["2001"]]}}}],"schema":"https://github.com/citation-style-language/schema/raw/master/csl-citation.</w:instrText>
      </w:r>
      <w:r>
        <w:rPr>
          <w:rFonts w:ascii="Times New Roman" w:hAnsi="Times New Roman" w:cs="Times New Roman"/>
          <w:szCs w:val="21"/>
        </w:rPr>
        <w:instrText xml:space="preserve">json"} </w:instrText>
      </w:r>
      <w:r>
        <w:rPr>
          <w:rFonts w:ascii="Times New Roman" w:hAnsi="Times New Roman" w:cs="Times New Roman"/>
          <w:szCs w:val="21"/>
        </w:rPr>
        <w:fldChar w:fldCharType="separate"/>
      </w:r>
      <w:r>
        <w:rPr>
          <w:rFonts w:ascii="Times New Roman" w:hAnsi="Times New Roman" w:cs="Times New Roman"/>
          <w:kern w:val="0"/>
          <w:vertAlign w:val="superscript"/>
        </w:rPr>
        <w:t>[15]</w:t>
      </w:r>
      <w:r>
        <w:rPr>
          <w:rFonts w:ascii="Times New Roman" w:hAnsi="Times New Roman" w:cs="Times New Roman"/>
          <w:szCs w:val="21"/>
        </w:rPr>
        <w:fldChar w:fldCharType="end"/>
      </w:r>
      <w:r>
        <w:rPr>
          <w:rFonts w:ascii="Times New Roman" w:hAnsi="Times New Roman" w:cs="Times New Roman"/>
          <w:szCs w:val="21"/>
        </w:rPr>
        <w:t>、《肺炎诊断》</w:t>
      </w:r>
      <w:r>
        <w:rPr>
          <w:rFonts w:ascii="Times New Roman" w:hAnsi="Times New Roman" w:cs="Times New Roman"/>
          <w:szCs w:val="21"/>
        </w:rPr>
        <w:fldChar w:fldCharType="begin"/>
      </w:r>
      <w:r>
        <w:rPr>
          <w:rFonts w:ascii="Times New Roman" w:hAnsi="Times New Roman" w:cs="Times New Roman"/>
          <w:szCs w:val="21"/>
        </w:rPr>
        <w:instrText xml:space="preserve"> ADDIN ZOTERO_ITEM CSL_CITATION {"citationID":"v7hQvMGp","properties":{"formattedCitation":"\\super [16]\\nosupersub{}","plainCitation":"[16]","noteIndex":0},"citationItems":[{"id":1024,"uris":["http://zotero.org/users/16461411/items/GV6YQKXV"],"itemData"</w:instrText>
      </w:r>
      <w:r>
        <w:rPr>
          <w:rFonts w:hint="eastAsia" w:ascii="Times New Roman" w:hAnsi="Times New Roman" w:cs="Times New Roman"/>
          <w:szCs w:val="21"/>
        </w:rPr>
        <w:instrText xml:space="preserve">:{"id":1024,"type":"standard","number":"WS 382 - 2012","title":"肺炎诊断","author":[{"family":"中华人民共和国卫生部","given":""}]}}],"schema":"https://github.com/citation-style-language/schema/raw/master/csl-citation.json"} </w:instrText>
      </w:r>
      <w:r>
        <w:rPr>
          <w:rFonts w:ascii="Times New Roman" w:hAnsi="Times New Roman" w:cs="Times New Roman"/>
          <w:szCs w:val="21"/>
        </w:rPr>
        <w:fldChar w:fldCharType="separate"/>
      </w:r>
      <w:r>
        <w:rPr>
          <w:rFonts w:ascii="Times New Roman" w:hAnsi="Times New Roman" w:cs="Times New Roman"/>
          <w:kern w:val="0"/>
          <w:vertAlign w:val="superscript"/>
        </w:rPr>
        <w:t>[16]</w:t>
      </w:r>
      <w:r>
        <w:rPr>
          <w:rFonts w:ascii="Times New Roman" w:hAnsi="Times New Roman" w:cs="Times New Roman"/>
          <w:szCs w:val="21"/>
        </w:rPr>
        <w:fldChar w:fldCharType="end"/>
      </w:r>
      <w:r>
        <w:rPr>
          <w:rFonts w:ascii="Times New Roman" w:hAnsi="Times New Roman" w:cs="Times New Roman"/>
          <w:sz w:val="24"/>
          <w:shd w:val="clear" w:color="auto" w:fill="FFFFFF"/>
        </w:rPr>
        <w:t>。</w:t>
      </w:r>
    </w:p>
    <w:p w14:paraId="618433CD">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模型构建</w:t>
      </w:r>
    </w:p>
    <w:p w14:paraId="27C4388F">
      <w:pPr>
        <w:ind w:firstLine="420"/>
        <w:rPr>
          <w:rFonts w:ascii="Times New Roman" w:hAnsi="Times New Roman" w:cs="Times New Roman"/>
        </w:rPr>
      </w:pPr>
      <w:r>
        <w:rPr>
          <w:rFonts w:ascii="Times New Roman" w:hAnsi="Times New Roman" w:cs="Times New Roman"/>
        </w:rPr>
        <w:t>采用Python</w:t>
      </w:r>
      <w:r>
        <w:rPr>
          <w:rFonts w:hint="eastAsia" w:ascii="Times New Roman" w:hAnsi="Times New Roman" w:cs="Times New Roman"/>
        </w:rPr>
        <w:t xml:space="preserve"> </w:t>
      </w:r>
      <w:r>
        <w:rPr>
          <w:rFonts w:ascii="Times New Roman" w:hAnsi="Times New Roman" w:cs="Times New Roman"/>
        </w:rPr>
        <w:t>3.8进行数据处理，确保模型稳定性：</w:t>
      </w:r>
      <w:r>
        <w:rPr>
          <w:rFonts w:ascii="Cambria Math" w:hAnsi="Cambria Math" w:cs="Cambria Math"/>
        </w:rPr>
        <w:t>①</w:t>
      </w:r>
      <w:r>
        <w:rPr>
          <w:rFonts w:ascii="Times New Roman" w:hAnsi="Times New Roman" w:cs="Times New Roman"/>
        </w:rPr>
        <w:t>缺失值处理：连续变量用中位数填充，分类变量用众数填充，所有变量缺失率均&lt;5%，符合机器学习建模要求；</w:t>
      </w:r>
      <w:r>
        <w:rPr>
          <w:rFonts w:ascii="Cambria Math" w:hAnsi="Cambria Math" w:cs="Cambria Math"/>
        </w:rPr>
        <w:t>②</w:t>
      </w:r>
      <w:r>
        <w:rPr>
          <w:rFonts w:ascii="Times New Roman" w:hAnsi="Times New Roman" w:cs="Times New Roman"/>
        </w:rPr>
        <w:t>连续变量标准化（Z-score）：消除量纲影响，避免模型过度依赖数值范围大的变量；</w:t>
      </w:r>
      <w:r>
        <w:rPr>
          <w:rFonts w:ascii="Cambria Math" w:hAnsi="Cambria Math" w:cs="Cambria Math"/>
        </w:rPr>
        <w:t>③</w:t>
      </w:r>
      <w:r>
        <w:rPr>
          <w:rFonts w:ascii="Times New Roman" w:hAnsi="Times New Roman" w:cs="Times New Roman"/>
        </w:rPr>
        <w:t>分类变量编码：二分类变量用0/1编码，多分类变量用序列编码；</w:t>
      </w:r>
    </w:p>
    <w:p w14:paraId="6804FE37">
      <w:pPr>
        <w:ind w:firstLine="420"/>
        <w:rPr>
          <w:rFonts w:ascii="Times New Roman" w:hAnsi="Times New Roman"/>
        </w:rPr>
      </w:pPr>
      <w:r>
        <w:rPr>
          <w:rFonts w:hint="eastAsia" w:ascii="Times New Roman" w:hAnsi="Times New Roman"/>
        </w:rPr>
        <w:t>本研究构建了两种不同阶段的机器学习预测模型：术前模型仅纳入术前变量，围手术期模型纳入围手术期全阶段变量，包括术前、术中及术后早期因素。研究采用分层抽样的方法，按照7∶3比例将患者随机分为训练集和测试集，保证两组样本阴阳比例均与原始数据集保持一致，</w:t>
      </w:r>
      <w:r>
        <w:rPr>
          <w:rFonts w:ascii="Times New Roman" w:hAnsi="Times New Roman"/>
        </w:rPr>
        <w:t>整个特征选择的过程都在训练集进行</w:t>
      </w:r>
      <w:r>
        <w:rPr>
          <w:rFonts w:hint="eastAsia" w:ascii="Times New Roman" w:hAnsi="Times New Roman"/>
        </w:rPr>
        <w:t>。首先，</w:t>
      </w:r>
      <w:r>
        <w:rPr>
          <w:rFonts w:ascii="Times New Roman" w:hAnsi="Times New Roman"/>
        </w:rPr>
        <w:t>应用LASSO进行特征变量选择，保留回归系数非0的变量。然后基于最小绝对收缩与选择算子（least absolute shrinkage and selection operator</w:t>
      </w:r>
      <w:r>
        <w:rPr>
          <w:rFonts w:hint="eastAsia" w:ascii="Times New Roman" w:hAnsi="Times New Roman"/>
        </w:rPr>
        <w:t>，</w:t>
      </w:r>
      <w:r>
        <w:rPr>
          <w:rFonts w:ascii="Times New Roman" w:hAnsi="Times New Roman"/>
        </w:rPr>
        <w:t>LASSO）回归筛选出的特征进行相关性分析，当两个变量的</w:t>
      </w:r>
      <w:r>
        <w:rPr>
          <w:rFonts w:hint="eastAsia" w:ascii="Times New Roman" w:hAnsi="Times New Roman"/>
        </w:rPr>
        <w:t>Spearman</w:t>
      </w:r>
      <w:r>
        <w:rPr>
          <w:rFonts w:ascii="Times New Roman" w:hAnsi="Times New Roman"/>
        </w:rPr>
        <w:t>绝对值大于0.6，则移除</w:t>
      </w:r>
      <w:r>
        <w:rPr>
          <w:rFonts w:hint="eastAsia" w:ascii="Times New Roman" w:hAnsi="Times New Roman"/>
        </w:rPr>
        <w:t>其</w:t>
      </w:r>
      <w:r>
        <w:rPr>
          <w:rFonts w:ascii="Times New Roman" w:hAnsi="Times New Roman"/>
        </w:rPr>
        <w:t>中LASSO回归系数较低的变量。</w:t>
      </w:r>
      <w:r>
        <w:rPr>
          <w:rFonts w:hint="eastAsia" w:ascii="Times New Roman" w:hAnsi="Times New Roman"/>
        </w:rPr>
        <w:t>进一步的</w:t>
      </w:r>
      <w:r>
        <w:rPr>
          <w:rFonts w:ascii="Times New Roman" w:hAnsi="Times New Roman"/>
        </w:rPr>
        <w:t>，进行多因素logistic分析，筛选出独立预测因素。</w:t>
      </w:r>
      <w:r>
        <w:rPr>
          <w:rFonts w:hint="eastAsia" w:ascii="Times New Roman" w:hAnsi="Times New Roman"/>
        </w:rPr>
        <w:t>最后，构建</w:t>
      </w:r>
      <w:r>
        <w:rPr>
          <w:rFonts w:hint="eastAsia" w:ascii="Times New Roman" w:hAnsi="Times New Roman"/>
          <w:lang w:val="en-US" w:eastAsia="zh-CN"/>
        </w:rPr>
        <w:t>6</w:t>
      </w:r>
      <w:r>
        <w:rPr>
          <w:rFonts w:hint="eastAsia" w:ascii="Times New Roman" w:hAnsi="Times New Roman"/>
        </w:rPr>
        <w:t>种机器学习模型用于预测分析：广义线性模型（generalized linear model, GLM）通过链接函数拓展线性回归，适配非正态结局并量化变量线性关联；随机森林（random forest, RF）以多棵随机抽样生成的决策树集成投票，降低过拟合且提升稳定性；支持向量机（support vector machine, SVM）借助核函数映射高维空间，以最优超平面实现类别划分，适配高维数据；神经网络（neural network, NNET）模拟神经元多层网络结构，通过权重更新学习复杂非线性关系；梯度增强机（gradient boosting machine, GBM）迭代优化残差构建弱学习器，以梯度下降最小化损失函数提升预测精度；极端梯度提升（extreme gradient boosting, XGBo</w:t>
      </w:r>
      <w:bookmarkStart w:id="16" w:name="_GoBack"/>
      <w:bookmarkEnd w:id="16"/>
      <w:r>
        <w:rPr>
          <w:rFonts w:hint="eastAsia" w:ascii="Times New Roman" w:hAnsi="Times New Roman"/>
        </w:rPr>
        <w:t>ost）在梯度增强机基础上引入正则化与二阶导数信息，通过并行化树结构提升计算效率与模型泛化能力</w:t>
      </w:r>
      <w:r>
        <w:rPr>
          <w:rFonts w:ascii="Times New Roman" w:hAnsi="Times New Roman"/>
        </w:rPr>
        <w:fldChar w:fldCharType="begin"/>
      </w:r>
      <w:r>
        <w:rPr>
          <w:rFonts w:ascii="Times New Roman" w:hAnsi="Times New Roman"/>
        </w:rPr>
        <w:instrText xml:space="preserve"> ADDIN ZOTERO_ITEM CSL_CITATION {"citationID":"EVqSjTGk","properties":{"formattedCitation":"\\super [17,18]\\nosupersub{}","plainCitation":"[17,18]","noteIndex":0},"citationItems":[{"id":1037,"uris":["http://zotero.org/users/16461411/items/NJ4UQP4D"],"ite</w:instrText>
      </w:r>
      <w:r>
        <w:rPr>
          <w:rFonts w:hint="eastAsia" w:ascii="Times New Roman" w:hAnsi="Times New Roman"/>
        </w:rPr>
        <w:instrText xml:space="preserve">mData":{"id":1037,"type":"article-journal","abstract":"终末期肾病(end stage renal disease,ESRD)患者持续增长，腹膜透析(peritoneal dialysis, PD)因其居家治疗的特性，为患者提供更为便捷的选择。但其引发的感染性和非感染性并发症严重影响患者生活质量和生存率。因此，准确预测PD患者并发症风险并及时干预至关重要。机器学习(machine learning,ML)构建预测模型能够预估个体患病概率，其分支深度学习(deep learning,DL)通过多层神经网络结构，能自动从原始数据中学习深层次特征，预测准确性和效率更高。本文综述了ML及其子学科的基本概念，阐述ML在PD并发症风险预测中的应用，通过总结最新研究进展，为未来PD患者并发症管理提供借鉴。","container-title":"中国血液净化","ISSN":"1671-4091","issue":"10","language":"zh-CN","note":"original-container-title: Chinese Journal of Blood Purification\nfoundation: 慢性肾脏病患者营养管理方案的构建及应用（2024029）；\nalbum: 医药卫生科技;信息科技\nCLC: TP181;R692.5\ndbcode: CJFQ\ndbname: CJFDLAST2025\nfilename: ZGJH202510009\npublicationTag: JST, CSCD\nCIF: 1.527\nAIF: 1.239","source":"CNKI","title":"机器学习在腹膜透析并发症风险预测模型中的研究进展","URL":"https://kns.cnki.net/KCMS/detail/detail.aspx?dbcode=CJFQ&amp;dbname=CJFDLAST2025&amp;filename=ZGJH202510009","volume":"24","author":[{"literal":"刘欣悦"},{"literal":"姜改英"},{"literal":"王晓娟"},{"literal":"王菊子"},{"literal":"左妙荷"},{"literal":"刘志艳"}],"accessed":{"date-parts":[["2026",3,11]]},"issued":{"date-parts":[["2025"]]}}},{"id":1038,"uris":["http://zotero.org/users/16461411/items/5UEKXKBZ"],"itemData":{"id":1038,"type":"article-journal","abstract":"机器学习作为一门源于人工智能和统计学的学科,是当前数据分析领域重点研究方向之一。首先通过追溯机器学习起源和介绍不同算法在求解策略上的启发性思路,讨论五类机器学习的发展及其主要算法在评价方法和优化方式上的实现,进一步总结归纳各算法适用领域和算法优劣,最后指出各算法克服自身缺陷的最新进展和未来实现多算法融合的研究方向。","container-title":"软件导刊","ISSN":"1672-7800","issue":"7","language":"zh-CN","note":"original-container-title: Software Guide\nalbum: 信息科技\nCLC: TP181\ndbcode: CJFQ\ndbname: CJFDLAST2019\nfilename: RJDK201907003\nCIF: 1.064\nAIF: 0.574","source":"CNKI","title":"机器学习的五大类别及其主要算法综述","URL":"https://kns.cnki.net/KCMS/detail/detail.aspx?dbcode=CJFQ&amp;dbname=CJFDLAST2019&amp;filename=RJDK201907003","volume":"18","author":[{"literal":"李旭然"},{"literal":"丁晓红"}],"accessed":{"date-parts":[["2026",3,11]]},"issued":{"date-parts":[["2019"]]}}}],"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[17,18]</w:t>
      </w:r>
      <w:r>
        <w:rPr>
          <w:rFonts w:ascii="Times New Roman" w:hAnsi="Times New Roman"/>
        </w:rPr>
        <w:fldChar w:fldCharType="end"/>
      </w:r>
      <w:r>
        <w:rPr>
          <w:rFonts w:hint="eastAsia" w:ascii="Times New Roman" w:hAnsi="Times New Roman"/>
        </w:rPr>
        <w:t>。本研究</w:t>
      </w:r>
      <w:r>
        <w:rPr>
          <w:rFonts w:ascii="Times New Roman" w:hAnsi="Times New Roman"/>
        </w:rPr>
        <w:t>使用AUC、准确度、灵敏度、特异度和F1分数评估模型信度。</w:t>
      </w:r>
      <w:r>
        <w:rPr>
          <w:rFonts w:hint="eastAsia" w:ascii="Times New Roman" w:hAnsi="Times New Roman"/>
        </w:rPr>
        <w:t>其中，AUC 为模型 100 次重复 10 折交叉验证所得的平均值。</w:t>
      </w:r>
      <w:r>
        <w:rPr>
          <w:rFonts w:ascii="Times New Roman" w:hAnsi="Times New Roman"/>
        </w:rPr>
        <w:t>通过</w:t>
      </w:r>
      <w:r>
        <w:rPr>
          <w:rFonts w:hint="eastAsia" w:ascii="Times New Roman" w:hAnsi="Times New Roman"/>
        </w:rPr>
        <w:t>Bootstrap进行内部验证，重复抽样1000次并重建模型，计算AUC的置信区间，以提供更可靠、更稳定的性能估计。针对表现最优的模型，采用沙普利加性解释（Shapley Additive exPlanations, SHAP）方法进行结果解读，明确关键预测因素的作用机制与贡献度。</w:t>
      </w:r>
    </w:p>
    <w:p w14:paraId="4C806932">
      <w:pPr>
        <w:ind w:firstLine="420"/>
        <w:rPr>
          <w:rFonts w:hint="eastAsia" w:ascii="Times New Roman" w:hAnsi="Times New Roman"/>
        </w:rPr>
      </w:pPr>
      <w:r>
        <w:rPr>
          <w:rFonts w:hint="eastAsia" w:ascii="Times New Roman" w:hAnsi="Times New Roman"/>
        </w:rPr>
        <w:t>所有统计与机器学习分析均使用 Python 3.8 完成。关键库包括用于模型构建的 Scikit-learn、用于数据预处理的 Pandas 和 NumPy，以及用于模型可解释性分析的 SHAP。所有计算均在配备 Intel Core i5-13600KF CPU 和 64 GB 内存 的 Windows 10 电脑上进行，以确保结果稳定且可复现。</w:t>
      </w:r>
    </w:p>
    <w:p w14:paraId="68DEF917">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统计学方法</w:t>
      </w:r>
    </w:p>
    <w:p w14:paraId="1B9AF9E2">
      <w:pPr>
        <w:ind w:firstLine="420"/>
        <w:rPr>
          <w:rFonts w:ascii="Times New Roman" w:hAnsi="Times New Roman" w:cs="Times New Roman"/>
        </w:rPr>
      </w:pPr>
      <w:r>
        <w:rPr>
          <w:rFonts w:ascii="Times New Roman" w:hAnsi="Times New Roman" w:cs="Times New Roman"/>
        </w:rPr>
        <w:t>使用SPSS</w:t>
      </w:r>
      <w:r>
        <w:rPr>
          <w:rFonts w:hint="eastAsia" w:ascii="Times New Roman" w:hAnsi="Times New Roman" w:cs="Times New Roman"/>
        </w:rPr>
        <w:t xml:space="preserve"> </w:t>
      </w:r>
      <w:r>
        <w:rPr>
          <w:rFonts w:ascii="Times New Roman" w:hAnsi="Times New Roman" w:cs="Times New Roman"/>
        </w:rPr>
        <w:t>26.0进行描述性统计：连续变量以“均值±标准差”或“中位数（四分位数）”表示，连续变量比较用t检验或Mann-Whitney</w:t>
      </w:r>
      <w:r>
        <w:rPr>
          <w:rFonts w:hint="eastAsia" w:ascii="Times New Roman" w:hAnsi="Times New Roman" w:cs="Times New Roman"/>
        </w:rPr>
        <w:t xml:space="preserve"> </w:t>
      </w:r>
      <w:r>
        <w:rPr>
          <w:rFonts w:ascii="Times New Roman" w:hAnsi="Times New Roman" w:cs="Times New Roman"/>
        </w:rPr>
        <w:t>U检验；分类变量以“例数（百分比）”表示，组间比较用χ²检验或Fisher精确检验。</w:t>
      </w:r>
      <w:r>
        <w:rPr>
          <w:rFonts w:hint="eastAsia" w:ascii="Times New Roman" w:hAnsi="Times New Roman" w:cs="Times New Roman"/>
        </w:rPr>
        <w:t>模型间使用DeLong 检验。</w:t>
      </w:r>
      <w:r>
        <w:rPr>
          <w:rFonts w:ascii="Times New Roman" w:hAnsi="Times New Roman" w:cs="Times New Roman"/>
        </w:rPr>
        <w:t>所有统计检验均为双侧检验，P&lt;0.05为差异有统计学意义。</w:t>
      </w:r>
    </w:p>
    <w:p w14:paraId="198A783A">
      <w:pPr>
        <w:pStyle w:val="2"/>
        <w:spacing w:before="156" w:after="156"/>
        <w:rPr>
          <w:rFonts w:hint="eastAsia" w:eastAsia="宋体"/>
          <w:color w:val="auto"/>
          <w:lang w:eastAsia="zh-CN"/>
        </w:rPr>
      </w:pPr>
      <w:r>
        <w:rPr>
          <w:rFonts w:hint="eastAsia"/>
        </w:rPr>
        <w:t>结果</w:t>
      </w:r>
    </w:p>
    <w:p w14:paraId="2371200E">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患者基本特征</w:t>
      </w:r>
    </w:p>
    <w:p w14:paraId="45E78177">
      <w:pPr>
        <w:ind w:firstLine="420"/>
        <w:rPr>
          <w:rFonts w:ascii="Times New Roman" w:hAnsi="Times New Roman" w:cs="Times New Roman"/>
        </w:rPr>
      </w:pPr>
      <w:r>
        <w:rPr>
          <w:rFonts w:ascii="Times New Roman" w:hAnsi="Times New Roman" w:cs="Times New Roman"/>
        </w:rPr>
        <w:t>共纳入2200例患者，整体PPI发生率为14.7%，其中颈部吻合食管切除术占比最高（69.3%），其次为胸部吻合食管切除术（15.6%）、颈胸联合切口全食管切除术（8.2%），其他术式（如食管-空肠吻合术）占6.9%。患者的人口统计学特征差异如表1所示。</w:t>
      </w:r>
    </w:p>
    <w:p w14:paraId="5D5E9DE7">
      <w:pPr>
        <w:ind w:firstLine="360"/>
        <w:jc w:val="center"/>
        <w:rPr>
          <w:rFonts w:ascii="Times New Roman" w:hAnsi="Times New Roman" w:cs="Times New Roman"/>
          <w:sz w:val="18"/>
          <w:szCs w:val="20"/>
        </w:rPr>
      </w:pPr>
      <w:r>
        <w:rPr>
          <w:rFonts w:ascii="Times New Roman" w:hAnsi="Times New Roman" w:cs="Times New Roman"/>
          <w:sz w:val="18"/>
          <w:szCs w:val="20"/>
        </w:rPr>
        <w:t>表1 患者的人口统计学特征差异</w:t>
      </w:r>
    </w:p>
    <w:p w14:paraId="11DC816F">
      <w:pPr>
        <w:ind w:firstLine="360"/>
        <w:jc w:val="center"/>
        <w:rPr>
          <w:rFonts w:ascii="Times New Roman" w:hAnsi="Times New Roman" w:cs="Times New Roman"/>
          <w:sz w:val="18"/>
          <w:szCs w:val="20"/>
        </w:rPr>
      </w:pPr>
      <w:r>
        <w:rPr>
          <w:rFonts w:hint="eastAsia" w:ascii="Times New Roman" w:hAnsi="Times New Roman" w:cs="Times New Roman"/>
          <w:sz w:val="18"/>
          <w:szCs w:val="20"/>
        </w:rPr>
        <w:t>Table 1 Differences in Demographic Characteristics of Patients</w:t>
      </w:r>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0"/>
        <w:gridCol w:w="2174"/>
        <w:gridCol w:w="2455"/>
        <w:gridCol w:w="1200"/>
      </w:tblGrid>
      <w:tr w14:paraId="2681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vMerge w:val="restart"/>
            <w:tcBorders>
              <w:top w:val="single" w:color="000000" w:sz="12" w:space="0"/>
              <w:left w:val="nil"/>
              <w:right w:val="nil"/>
              <w:tl2br w:val="nil"/>
            </w:tcBorders>
            <w:shd w:val="clear" w:color="auto" w:fill="FFFFFF"/>
            <w:vAlign w:val="center"/>
          </w:tcPr>
          <w:p w14:paraId="535E42FC">
            <w:pPr>
              <w:spacing w:line="240" w:lineRule="auto"/>
              <w:ind w:firstLine="320"/>
              <w:jc w:val="center"/>
              <w:rPr>
                <w:rFonts w:ascii="Times New Roman" w:hAnsi="Times New Roman" w:cs="Times New Roman"/>
                <w:sz w:val="16"/>
                <w:szCs w:val="20"/>
                <w14:ligatures w14:val="standardContextual"/>
              </w:rPr>
            </w:pPr>
          </w:p>
        </w:tc>
        <w:tc>
          <w:tcPr>
            <w:tcW w:w="1276" w:type="pct"/>
            <w:tcBorders>
              <w:top w:val="single" w:color="000000" w:sz="12" w:space="0"/>
              <w:left w:val="nil"/>
              <w:bottom w:val="single" w:color="000000" w:sz="4" w:space="0"/>
              <w:right w:val="nil"/>
            </w:tcBorders>
            <w:shd w:val="clear" w:color="auto" w:fill="FFFFFF"/>
            <w:vAlign w:val="center"/>
          </w:tcPr>
          <w:p w14:paraId="623C9835">
            <w:pPr>
              <w:spacing w:line="240" w:lineRule="auto"/>
              <w:ind w:firstLine="321"/>
              <w:jc w:val="center"/>
              <w:rPr>
                <w:rFonts w:ascii="Times New Roman" w:hAnsi="Times New Roman" w:cs="Times New Roman"/>
                <w:b/>
                <w:bCs/>
                <w:sz w:val="16"/>
                <w:szCs w:val="20"/>
                <w14:ligatures w14:val="standardContextual"/>
              </w:rPr>
            </w:pPr>
            <w:r>
              <w:rPr>
                <w:rFonts w:ascii="Times New Roman" w:hAnsi="Times New Roman" w:cs="Times New Roman"/>
                <w:b/>
                <w:bCs/>
                <w:sz w:val="16"/>
                <w:szCs w:val="20"/>
                <w14:ligatures w14:val="standardContextual"/>
              </w:rPr>
              <w:t>肺部感染</w:t>
            </w:r>
          </w:p>
        </w:tc>
        <w:tc>
          <w:tcPr>
            <w:tcW w:w="1441" w:type="pct"/>
            <w:tcBorders>
              <w:top w:val="single" w:color="000000" w:sz="12" w:space="0"/>
              <w:left w:val="nil"/>
              <w:bottom w:val="single" w:color="000000" w:sz="4" w:space="0"/>
              <w:right w:val="nil"/>
            </w:tcBorders>
            <w:shd w:val="clear" w:color="auto" w:fill="FFFFFF"/>
            <w:vAlign w:val="center"/>
          </w:tcPr>
          <w:p w14:paraId="49A82137">
            <w:pPr>
              <w:spacing w:line="240" w:lineRule="auto"/>
              <w:ind w:firstLine="321"/>
              <w:jc w:val="center"/>
              <w:rPr>
                <w:rFonts w:ascii="Times New Roman" w:hAnsi="Times New Roman" w:cs="Times New Roman"/>
                <w:b/>
                <w:bCs/>
                <w:sz w:val="16"/>
                <w:szCs w:val="20"/>
                <w14:ligatures w14:val="standardContextual"/>
              </w:rPr>
            </w:pPr>
            <w:r>
              <w:rPr>
                <w:rFonts w:hint="eastAsia" w:ascii="Times New Roman" w:hAnsi="Times New Roman" w:cs="Times New Roman"/>
                <w:b/>
                <w:bCs/>
                <w:sz w:val="16"/>
                <w:szCs w:val="20"/>
                <w14:ligatures w14:val="standardContextual"/>
              </w:rPr>
              <w:t>非</w:t>
            </w:r>
            <w:r>
              <w:rPr>
                <w:rFonts w:ascii="Times New Roman" w:hAnsi="Times New Roman" w:cs="Times New Roman"/>
                <w:b/>
                <w:bCs/>
                <w:sz w:val="16"/>
                <w:szCs w:val="20"/>
                <w14:ligatures w14:val="standardContextual"/>
              </w:rPr>
              <w:t>肺部感染</w:t>
            </w:r>
          </w:p>
        </w:tc>
        <w:tc>
          <w:tcPr>
            <w:tcW w:w="704" w:type="pct"/>
            <w:vMerge w:val="restart"/>
            <w:tcBorders>
              <w:top w:val="single" w:color="000000" w:sz="12" w:space="0"/>
              <w:left w:val="nil"/>
              <w:right w:val="nil"/>
            </w:tcBorders>
            <w:shd w:val="clear" w:color="auto" w:fill="FFFFFF"/>
            <w:vAlign w:val="center"/>
          </w:tcPr>
          <w:p w14:paraId="520F0D67">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P-value</w:t>
            </w:r>
          </w:p>
        </w:tc>
      </w:tr>
      <w:tr w14:paraId="004A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9" w:type="pct"/>
            <w:vMerge w:val="continue"/>
            <w:tcBorders>
              <w:left w:val="nil"/>
              <w:bottom w:val="single" w:color="auto" w:sz="4" w:space="0"/>
              <w:right w:val="nil"/>
            </w:tcBorders>
            <w:shd w:val="clear" w:color="auto" w:fill="FFFFFF"/>
            <w:vAlign w:val="center"/>
          </w:tcPr>
          <w:p w14:paraId="637DFC94">
            <w:pPr>
              <w:spacing w:line="240" w:lineRule="auto"/>
              <w:ind w:firstLine="320"/>
              <w:jc w:val="center"/>
              <w:rPr>
                <w:rFonts w:ascii="Times New Roman" w:hAnsi="Times New Roman" w:cs="Times New Roman"/>
                <w:sz w:val="16"/>
                <w:szCs w:val="20"/>
                <w14:ligatures w14:val="standardContextual"/>
              </w:rPr>
            </w:pPr>
          </w:p>
        </w:tc>
        <w:tc>
          <w:tcPr>
            <w:tcW w:w="1276" w:type="pct"/>
            <w:tcBorders>
              <w:top w:val="single" w:color="000000" w:sz="4" w:space="0"/>
              <w:left w:val="nil"/>
              <w:bottom w:val="single" w:color="auto" w:sz="4" w:space="0"/>
              <w:right w:val="nil"/>
            </w:tcBorders>
            <w:shd w:val="clear" w:color="auto" w:fill="FFFFFF"/>
            <w:vAlign w:val="center"/>
          </w:tcPr>
          <w:p w14:paraId="734FAFA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N=325</w:t>
            </w:r>
          </w:p>
        </w:tc>
        <w:tc>
          <w:tcPr>
            <w:tcW w:w="1441" w:type="pct"/>
            <w:tcBorders>
              <w:top w:val="single" w:color="000000" w:sz="4" w:space="0"/>
              <w:left w:val="nil"/>
              <w:bottom w:val="single" w:color="auto" w:sz="4" w:space="0"/>
              <w:right w:val="nil"/>
            </w:tcBorders>
            <w:shd w:val="clear" w:color="auto" w:fill="FFFFFF"/>
            <w:vAlign w:val="center"/>
          </w:tcPr>
          <w:p w14:paraId="5311829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N=1875</w:t>
            </w:r>
          </w:p>
        </w:tc>
        <w:tc>
          <w:tcPr>
            <w:tcW w:w="704" w:type="pct"/>
            <w:vMerge w:val="continue"/>
            <w:tcBorders>
              <w:left w:val="nil"/>
              <w:bottom w:val="single" w:color="auto" w:sz="4" w:space="0"/>
              <w:right w:val="nil"/>
            </w:tcBorders>
            <w:shd w:val="clear" w:color="auto" w:fill="FFFFFF"/>
            <w:vAlign w:val="center"/>
          </w:tcPr>
          <w:p w14:paraId="61CC93AE">
            <w:pPr>
              <w:spacing w:line="240" w:lineRule="auto"/>
              <w:ind w:firstLine="320"/>
              <w:jc w:val="center"/>
              <w:rPr>
                <w:rFonts w:ascii="Times New Roman" w:hAnsi="Times New Roman" w:cs="Times New Roman"/>
                <w:sz w:val="16"/>
                <w:szCs w:val="20"/>
                <w14:ligatures w14:val="standardContextual"/>
              </w:rPr>
            </w:pPr>
          </w:p>
        </w:tc>
      </w:tr>
      <w:tr w14:paraId="7A0B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9" w:type="pct"/>
            <w:tcBorders>
              <w:top w:val="single" w:color="auto" w:sz="4" w:space="0"/>
              <w:left w:val="nil"/>
              <w:bottom w:val="single" w:color="auto" w:sz="4" w:space="0"/>
              <w:right w:val="nil"/>
            </w:tcBorders>
            <w:shd w:val="clear" w:color="auto" w:fill="FFFFFF"/>
            <w:vAlign w:val="center"/>
          </w:tcPr>
          <w:p w14:paraId="4089D13F">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性别</w:t>
            </w:r>
          </w:p>
        </w:tc>
        <w:tc>
          <w:tcPr>
            <w:tcW w:w="1276" w:type="pct"/>
            <w:tcBorders>
              <w:top w:val="single" w:color="auto" w:sz="4" w:space="0"/>
              <w:left w:val="nil"/>
              <w:bottom w:val="nil"/>
              <w:right w:val="nil"/>
            </w:tcBorders>
            <w:shd w:val="clear" w:color="auto" w:fill="FFFFFF"/>
            <w:vAlign w:val="center"/>
          </w:tcPr>
          <w:p w14:paraId="022D2E84">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1A5E2A8A">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2992A689">
            <w:pPr>
              <w:spacing w:line="240" w:lineRule="auto"/>
              <w:ind w:firstLine="320"/>
              <w:jc w:val="center"/>
              <w:rPr>
                <w:rFonts w:ascii="Times New Roman" w:hAnsi="Times New Roman" w:cs="Times New Roman"/>
                <w:sz w:val="16"/>
                <w:szCs w:val="20"/>
                <w14:ligatures w14:val="standardContextual"/>
              </w:rPr>
            </w:pPr>
          </w:p>
        </w:tc>
      </w:tr>
      <w:tr w14:paraId="4637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2A51C86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女</w:t>
            </w:r>
          </w:p>
        </w:tc>
        <w:tc>
          <w:tcPr>
            <w:tcW w:w="1276" w:type="pct"/>
            <w:tcBorders>
              <w:top w:val="nil"/>
              <w:left w:val="nil"/>
              <w:bottom w:val="nil"/>
              <w:right w:val="nil"/>
            </w:tcBorders>
            <w:shd w:val="clear" w:color="auto" w:fill="FFFFFF"/>
            <w:vAlign w:val="center"/>
          </w:tcPr>
          <w:p w14:paraId="1E81821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12 （3.7%）</w:t>
            </w:r>
          </w:p>
        </w:tc>
        <w:tc>
          <w:tcPr>
            <w:tcW w:w="1441" w:type="pct"/>
            <w:tcBorders>
              <w:top w:val="nil"/>
              <w:left w:val="nil"/>
              <w:bottom w:val="nil"/>
              <w:right w:val="nil"/>
            </w:tcBorders>
            <w:shd w:val="clear" w:color="auto" w:fill="FFFFFF"/>
            <w:vAlign w:val="center"/>
          </w:tcPr>
          <w:p w14:paraId="6967829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446 （23.8%）</w:t>
            </w:r>
          </w:p>
        </w:tc>
        <w:tc>
          <w:tcPr>
            <w:tcW w:w="704" w:type="pct"/>
            <w:tcBorders>
              <w:top w:val="nil"/>
              <w:left w:val="nil"/>
              <w:bottom w:val="nil"/>
              <w:right w:val="nil"/>
            </w:tcBorders>
            <w:shd w:val="clear" w:color="auto" w:fill="FFFFFF"/>
            <w:vAlign w:val="center"/>
          </w:tcPr>
          <w:p w14:paraId="4308DDF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64C1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5D5B5BF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男</w:t>
            </w:r>
          </w:p>
        </w:tc>
        <w:tc>
          <w:tcPr>
            <w:tcW w:w="1276" w:type="pct"/>
            <w:tcBorders>
              <w:top w:val="nil"/>
              <w:left w:val="nil"/>
              <w:bottom w:val="single" w:color="auto" w:sz="4" w:space="0"/>
              <w:right w:val="nil"/>
            </w:tcBorders>
            <w:shd w:val="clear" w:color="auto" w:fill="FFFFFF"/>
            <w:vAlign w:val="center"/>
          </w:tcPr>
          <w:p w14:paraId="14E4EDF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313 （96.3%）</w:t>
            </w:r>
          </w:p>
        </w:tc>
        <w:tc>
          <w:tcPr>
            <w:tcW w:w="1441" w:type="pct"/>
            <w:tcBorders>
              <w:top w:val="nil"/>
              <w:left w:val="nil"/>
              <w:bottom w:val="single" w:color="auto" w:sz="4" w:space="0"/>
              <w:right w:val="nil"/>
            </w:tcBorders>
            <w:shd w:val="clear" w:color="auto" w:fill="FFFFFF"/>
            <w:vAlign w:val="center"/>
          </w:tcPr>
          <w:p w14:paraId="2D89527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1429 （76.2%）</w:t>
            </w:r>
          </w:p>
        </w:tc>
        <w:tc>
          <w:tcPr>
            <w:tcW w:w="704" w:type="pct"/>
            <w:tcBorders>
              <w:top w:val="nil"/>
              <w:left w:val="nil"/>
              <w:bottom w:val="single" w:color="auto" w:sz="4" w:space="0"/>
              <w:right w:val="nil"/>
            </w:tcBorders>
            <w:shd w:val="clear" w:color="auto" w:fill="FFFFFF"/>
            <w:vAlign w:val="center"/>
          </w:tcPr>
          <w:p w14:paraId="082DEBF0">
            <w:pPr>
              <w:spacing w:line="240" w:lineRule="auto"/>
              <w:ind w:firstLine="320"/>
              <w:jc w:val="center"/>
              <w:rPr>
                <w:rFonts w:ascii="Times New Roman" w:hAnsi="Times New Roman" w:cs="Times New Roman"/>
                <w:sz w:val="16"/>
                <w:szCs w:val="20"/>
                <w14:ligatures w14:val="standardContextual"/>
              </w:rPr>
            </w:pPr>
          </w:p>
        </w:tc>
      </w:tr>
      <w:tr w14:paraId="343F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5E010064">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BMI（kg/m²）</w:t>
            </w:r>
          </w:p>
        </w:tc>
        <w:tc>
          <w:tcPr>
            <w:tcW w:w="1276" w:type="pct"/>
            <w:tcBorders>
              <w:top w:val="single" w:color="auto" w:sz="4" w:space="0"/>
              <w:left w:val="nil"/>
              <w:bottom w:val="nil"/>
              <w:right w:val="nil"/>
            </w:tcBorders>
            <w:shd w:val="clear" w:color="auto" w:fill="FFFFFF"/>
            <w:vAlign w:val="center"/>
          </w:tcPr>
          <w:p w14:paraId="6778EFCA">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25941511">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3CF8EA3E">
            <w:pPr>
              <w:spacing w:line="240" w:lineRule="auto"/>
              <w:ind w:firstLine="320"/>
              <w:jc w:val="center"/>
              <w:rPr>
                <w:rFonts w:ascii="Times New Roman" w:hAnsi="Times New Roman" w:cs="Times New Roman"/>
                <w:sz w:val="16"/>
                <w:szCs w:val="20"/>
                <w14:ligatures w14:val="standardContextual"/>
              </w:rPr>
            </w:pPr>
          </w:p>
        </w:tc>
      </w:tr>
      <w:tr w14:paraId="2BCB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75E62CF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BMI&lt;18.5</w:t>
            </w:r>
          </w:p>
        </w:tc>
        <w:tc>
          <w:tcPr>
            <w:tcW w:w="1276" w:type="pct"/>
            <w:tcBorders>
              <w:top w:val="nil"/>
              <w:left w:val="nil"/>
              <w:bottom w:val="nil"/>
              <w:right w:val="nil"/>
            </w:tcBorders>
            <w:shd w:val="clear" w:color="auto" w:fill="FFFFFF"/>
            <w:vAlign w:val="center"/>
          </w:tcPr>
          <w:p w14:paraId="1A5930D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13 （4.</w:t>
            </w:r>
            <w:r>
              <w:rPr>
                <w:rFonts w:hint="eastAsia" w:ascii="Times New Roman" w:hAnsi="Times New Roman" w:cs="Times New Roman"/>
                <w:sz w:val="16"/>
                <w:szCs w:val="20"/>
                <w14:ligatures w14:val="standardContextual"/>
              </w:rPr>
              <w:t>0</w:t>
            </w:r>
            <w:r>
              <w:rPr>
                <w:rFonts w:ascii="Times New Roman" w:hAnsi="Times New Roman" w:cs="Times New Roman"/>
                <w:sz w:val="16"/>
                <w:szCs w:val="20"/>
                <w14:ligatures w14:val="standardContextual"/>
              </w:rPr>
              <w:t>%）</w:t>
            </w:r>
          </w:p>
        </w:tc>
        <w:tc>
          <w:tcPr>
            <w:tcW w:w="1441" w:type="pct"/>
            <w:tcBorders>
              <w:top w:val="nil"/>
              <w:left w:val="nil"/>
              <w:bottom w:val="nil"/>
              <w:right w:val="nil"/>
            </w:tcBorders>
            <w:shd w:val="clear" w:color="auto" w:fill="FFFFFF"/>
            <w:vAlign w:val="center"/>
          </w:tcPr>
          <w:p w14:paraId="6AB2974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69 （3.7%）</w:t>
            </w:r>
          </w:p>
        </w:tc>
        <w:tc>
          <w:tcPr>
            <w:tcW w:w="704" w:type="pct"/>
            <w:tcBorders>
              <w:top w:val="nil"/>
              <w:left w:val="nil"/>
              <w:bottom w:val="nil"/>
              <w:right w:val="nil"/>
            </w:tcBorders>
            <w:shd w:val="clear" w:color="auto" w:fill="FFFFFF"/>
            <w:vAlign w:val="center"/>
          </w:tcPr>
          <w:p w14:paraId="606207A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0.844</w:t>
            </w:r>
          </w:p>
        </w:tc>
      </w:tr>
      <w:tr w14:paraId="66FB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nil"/>
              <w:right w:val="nil"/>
            </w:tcBorders>
            <w:shd w:val="clear" w:color="auto" w:fill="FFFFFF"/>
            <w:vAlign w:val="center"/>
          </w:tcPr>
          <w:p w14:paraId="42049A4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18.5≤BMI&lt;24</w:t>
            </w:r>
          </w:p>
        </w:tc>
        <w:tc>
          <w:tcPr>
            <w:tcW w:w="1276" w:type="pct"/>
            <w:tcBorders>
              <w:top w:val="nil"/>
              <w:left w:val="nil"/>
              <w:bottom w:val="nil"/>
              <w:right w:val="nil"/>
            </w:tcBorders>
            <w:shd w:val="clear" w:color="auto" w:fill="FFFFFF"/>
            <w:vAlign w:val="center"/>
          </w:tcPr>
          <w:p w14:paraId="459EDB9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190 （58.5%）</w:t>
            </w:r>
          </w:p>
        </w:tc>
        <w:tc>
          <w:tcPr>
            <w:tcW w:w="1441" w:type="pct"/>
            <w:tcBorders>
              <w:top w:val="nil"/>
              <w:left w:val="nil"/>
              <w:bottom w:val="nil"/>
              <w:right w:val="nil"/>
            </w:tcBorders>
            <w:shd w:val="clear" w:color="auto" w:fill="FFFFFF"/>
            <w:vAlign w:val="center"/>
          </w:tcPr>
          <w:p w14:paraId="7A5A6B1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1072 （57.2%）</w:t>
            </w:r>
          </w:p>
        </w:tc>
        <w:tc>
          <w:tcPr>
            <w:tcW w:w="704" w:type="pct"/>
            <w:tcBorders>
              <w:top w:val="nil"/>
              <w:left w:val="nil"/>
              <w:bottom w:val="nil"/>
              <w:right w:val="nil"/>
            </w:tcBorders>
            <w:shd w:val="clear" w:color="auto" w:fill="FFFFFF"/>
            <w:vAlign w:val="center"/>
          </w:tcPr>
          <w:p w14:paraId="79CA751E">
            <w:pPr>
              <w:spacing w:line="240" w:lineRule="auto"/>
              <w:ind w:firstLine="320"/>
              <w:jc w:val="center"/>
              <w:rPr>
                <w:rFonts w:ascii="Times New Roman" w:hAnsi="Times New Roman" w:cs="Times New Roman"/>
                <w:sz w:val="16"/>
                <w:szCs w:val="20"/>
                <w14:ligatures w14:val="standardContextual"/>
              </w:rPr>
            </w:pPr>
          </w:p>
        </w:tc>
      </w:tr>
      <w:tr w14:paraId="6CCC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692D1EC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BMI≥24</w:t>
            </w:r>
          </w:p>
        </w:tc>
        <w:tc>
          <w:tcPr>
            <w:tcW w:w="1276" w:type="pct"/>
            <w:tcBorders>
              <w:top w:val="nil"/>
              <w:left w:val="nil"/>
              <w:bottom w:val="single" w:color="auto" w:sz="4" w:space="0"/>
              <w:right w:val="nil"/>
            </w:tcBorders>
            <w:shd w:val="clear" w:color="auto" w:fill="FFFFFF"/>
            <w:vAlign w:val="center"/>
          </w:tcPr>
          <w:p w14:paraId="0302209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122 （37.5%）</w:t>
            </w:r>
          </w:p>
        </w:tc>
        <w:tc>
          <w:tcPr>
            <w:tcW w:w="1441" w:type="pct"/>
            <w:tcBorders>
              <w:top w:val="nil"/>
              <w:left w:val="nil"/>
              <w:bottom w:val="single" w:color="auto" w:sz="4" w:space="0"/>
              <w:right w:val="nil"/>
            </w:tcBorders>
            <w:shd w:val="clear" w:color="auto" w:fill="FFFFFF"/>
            <w:vAlign w:val="center"/>
          </w:tcPr>
          <w:p w14:paraId="03AA17F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734 （39.1%）</w:t>
            </w:r>
          </w:p>
        </w:tc>
        <w:tc>
          <w:tcPr>
            <w:tcW w:w="704" w:type="pct"/>
            <w:tcBorders>
              <w:top w:val="nil"/>
              <w:left w:val="nil"/>
              <w:bottom w:val="single" w:color="auto" w:sz="4" w:space="0"/>
              <w:right w:val="nil"/>
            </w:tcBorders>
            <w:shd w:val="clear" w:color="auto" w:fill="FFFFFF"/>
            <w:vAlign w:val="center"/>
          </w:tcPr>
          <w:p w14:paraId="2F65BB38">
            <w:pPr>
              <w:spacing w:line="240" w:lineRule="auto"/>
              <w:ind w:firstLine="320"/>
              <w:jc w:val="center"/>
              <w:rPr>
                <w:rFonts w:ascii="Times New Roman" w:hAnsi="Times New Roman" w:cs="Times New Roman"/>
                <w:sz w:val="16"/>
                <w:szCs w:val="20"/>
                <w14:ligatures w14:val="standardContextual"/>
              </w:rPr>
            </w:pPr>
          </w:p>
        </w:tc>
      </w:tr>
      <w:tr w14:paraId="7659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6D10DABF">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冠心病</w:t>
            </w:r>
          </w:p>
        </w:tc>
        <w:tc>
          <w:tcPr>
            <w:tcW w:w="1276" w:type="pct"/>
            <w:tcBorders>
              <w:top w:val="single" w:color="auto" w:sz="4" w:space="0"/>
              <w:left w:val="nil"/>
              <w:bottom w:val="nil"/>
              <w:right w:val="nil"/>
            </w:tcBorders>
            <w:shd w:val="clear" w:color="auto" w:fill="FFFFFF"/>
            <w:vAlign w:val="center"/>
          </w:tcPr>
          <w:p w14:paraId="3AA4CE71">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5F90A508">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4B1817E5">
            <w:pPr>
              <w:spacing w:line="240" w:lineRule="auto"/>
              <w:ind w:firstLine="320"/>
              <w:jc w:val="center"/>
              <w:rPr>
                <w:rFonts w:ascii="Times New Roman" w:hAnsi="Times New Roman" w:cs="Times New Roman"/>
                <w:sz w:val="16"/>
                <w:szCs w:val="20"/>
                <w14:ligatures w14:val="standardContextual"/>
              </w:rPr>
            </w:pPr>
          </w:p>
        </w:tc>
      </w:tr>
      <w:tr w14:paraId="5973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648026AE">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2358BF3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14 （4.3%）</w:t>
            </w:r>
          </w:p>
        </w:tc>
        <w:tc>
          <w:tcPr>
            <w:tcW w:w="1441" w:type="pct"/>
            <w:tcBorders>
              <w:top w:val="nil"/>
              <w:left w:val="nil"/>
              <w:bottom w:val="nil"/>
              <w:right w:val="nil"/>
            </w:tcBorders>
            <w:shd w:val="clear" w:color="auto" w:fill="FFFFFF"/>
            <w:vAlign w:val="center"/>
          </w:tcPr>
          <w:p w14:paraId="1EADAC2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45 （2.4%）</w:t>
            </w:r>
          </w:p>
        </w:tc>
        <w:tc>
          <w:tcPr>
            <w:tcW w:w="704" w:type="pct"/>
            <w:tcBorders>
              <w:top w:val="nil"/>
              <w:left w:val="nil"/>
              <w:bottom w:val="nil"/>
              <w:right w:val="nil"/>
            </w:tcBorders>
            <w:shd w:val="clear" w:color="auto" w:fill="FFFFFF"/>
            <w:vAlign w:val="center"/>
          </w:tcPr>
          <w:p w14:paraId="07B22CF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0.049</w:t>
            </w:r>
          </w:p>
        </w:tc>
      </w:tr>
      <w:tr w14:paraId="7582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42565BF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06134ECE">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311 （95.7%）</w:t>
            </w:r>
          </w:p>
        </w:tc>
        <w:tc>
          <w:tcPr>
            <w:tcW w:w="1441" w:type="pct"/>
            <w:tcBorders>
              <w:top w:val="nil"/>
              <w:left w:val="nil"/>
              <w:bottom w:val="single" w:color="auto" w:sz="4" w:space="0"/>
              <w:right w:val="nil"/>
            </w:tcBorders>
            <w:shd w:val="clear" w:color="auto" w:fill="FFFFFF"/>
            <w:vAlign w:val="center"/>
          </w:tcPr>
          <w:p w14:paraId="2DC2E52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1830 （97.6%）</w:t>
            </w:r>
          </w:p>
        </w:tc>
        <w:tc>
          <w:tcPr>
            <w:tcW w:w="704" w:type="pct"/>
            <w:tcBorders>
              <w:top w:val="nil"/>
              <w:left w:val="nil"/>
              <w:bottom w:val="single" w:color="auto" w:sz="4" w:space="0"/>
              <w:right w:val="nil"/>
            </w:tcBorders>
            <w:shd w:val="clear" w:color="auto" w:fill="FFFFFF"/>
            <w:vAlign w:val="center"/>
          </w:tcPr>
          <w:p w14:paraId="28DE5C2B">
            <w:pPr>
              <w:spacing w:line="240" w:lineRule="auto"/>
              <w:ind w:firstLine="320"/>
              <w:jc w:val="center"/>
              <w:rPr>
                <w:rFonts w:ascii="Times New Roman" w:hAnsi="Times New Roman" w:cs="Times New Roman"/>
                <w:sz w:val="16"/>
                <w:szCs w:val="20"/>
                <w14:ligatures w14:val="standardContextual"/>
              </w:rPr>
            </w:pPr>
          </w:p>
        </w:tc>
      </w:tr>
      <w:tr w14:paraId="6EA4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2FE51CA6">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高血压</w:t>
            </w:r>
          </w:p>
        </w:tc>
        <w:tc>
          <w:tcPr>
            <w:tcW w:w="1276" w:type="pct"/>
            <w:tcBorders>
              <w:top w:val="single" w:color="auto" w:sz="4" w:space="0"/>
              <w:left w:val="nil"/>
              <w:bottom w:val="nil"/>
              <w:right w:val="nil"/>
            </w:tcBorders>
            <w:shd w:val="clear" w:color="auto" w:fill="FFFFFF"/>
            <w:vAlign w:val="center"/>
          </w:tcPr>
          <w:p w14:paraId="0388D2AB">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33068CBD">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1D52055B">
            <w:pPr>
              <w:spacing w:line="240" w:lineRule="auto"/>
              <w:ind w:firstLine="320"/>
              <w:jc w:val="center"/>
              <w:rPr>
                <w:rFonts w:ascii="Times New Roman" w:hAnsi="Times New Roman" w:cs="Times New Roman"/>
                <w:sz w:val="16"/>
                <w:szCs w:val="20"/>
                <w14:ligatures w14:val="standardContextual"/>
              </w:rPr>
            </w:pPr>
          </w:p>
        </w:tc>
      </w:tr>
      <w:tr w14:paraId="6C28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2B7659F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76663DA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106 （32.6%）</w:t>
            </w:r>
          </w:p>
        </w:tc>
        <w:tc>
          <w:tcPr>
            <w:tcW w:w="1441" w:type="pct"/>
            <w:tcBorders>
              <w:top w:val="nil"/>
              <w:left w:val="nil"/>
              <w:bottom w:val="nil"/>
              <w:right w:val="nil"/>
            </w:tcBorders>
            <w:shd w:val="clear" w:color="auto" w:fill="FFFFFF"/>
            <w:vAlign w:val="center"/>
          </w:tcPr>
          <w:p w14:paraId="4B58499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545 （29.1%）</w:t>
            </w:r>
          </w:p>
        </w:tc>
        <w:tc>
          <w:tcPr>
            <w:tcW w:w="704" w:type="pct"/>
            <w:tcBorders>
              <w:top w:val="nil"/>
              <w:left w:val="nil"/>
              <w:bottom w:val="nil"/>
              <w:right w:val="nil"/>
            </w:tcBorders>
            <w:shd w:val="clear" w:color="auto" w:fill="FFFFFF"/>
            <w:vAlign w:val="center"/>
          </w:tcPr>
          <w:p w14:paraId="150B437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0.196</w:t>
            </w:r>
          </w:p>
        </w:tc>
      </w:tr>
      <w:tr w14:paraId="70E8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64E5AC4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5A0F4CC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219 （67.4%）</w:t>
            </w:r>
          </w:p>
        </w:tc>
        <w:tc>
          <w:tcPr>
            <w:tcW w:w="1441" w:type="pct"/>
            <w:tcBorders>
              <w:top w:val="nil"/>
              <w:left w:val="nil"/>
              <w:bottom w:val="single" w:color="auto" w:sz="4" w:space="0"/>
              <w:right w:val="nil"/>
            </w:tcBorders>
            <w:shd w:val="clear" w:color="auto" w:fill="FFFFFF"/>
            <w:vAlign w:val="center"/>
          </w:tcPr>
          <w:p w14:paraId="18023DF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1330 （70.9%）</w:t>
            </w:r>
          </w:p>
        </w:tc>
        <w:tc>
          <w:tcPr>
            <w:tcW w:w="704" w:type="pct"/>
            <w:tcBorders>
              <w:top w:val="nil"/>
              <w:left w:val="nil"/>
              <w:bottom w:val="nil"/>
              <w:right w:val="nil"/>
            </w:tcBorders>
            <w:shd w:val="clear" w:color="auto" w:fill="FFFFFF"/>
            <w:vAlign w:val="center"/>
          </w:tcPr>
          <w:p w14:paraId="291049B5">
            <w:pPr>
              <w:spacing w:line="240" w:lineRule="auto"/>
              <w:ind w:firstLine="320"/>
              <w:jc w:val="center"/>
              <w:rPr>
                <w:rFonts w:ascii="Times New Roman" w:hAnsi="Times New Roman" w:cs="Times New Roman"/>
                <w:sz w:val="16"/>
                <w:szCs w:val="20"/>
                <w14:ligatures w14:val="standardContextual"/>
              </w:rPr>
            </w:pPr>
          </w:p>
        </w:tc>
      </w:tr>
      <w:tr w14:paraId="0371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1FA41D8B">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糖尿病</w:t>
            </w:r>
          </w:p>
        </w:tc>
        <w:tc>
          <w:tcPr>
            <w:tcW w:w="1276" w:type="pct"/>
            <w:tcBorders>
              <w:top w:val="single" w:color="auto" w:sz="4" w:space="0"/>
              <w:left w:val="nil"/>
              <w:bottom w:val="nil"/>
              <w:right w:val="nil"/>
            </w:tcBorders>
            <w:shd w:val="clear" w:color="auto" w:fill="FFFFFF"/>
            <w:vAlign w:val="center"/>
          </w:tcPr>
          <w:p w14:paraId="760E2234">
            <w:pPr>
              <w:spacing w:line="240" w:lineRule="auto"/>
              <w:ind w:firstLine="320"/>
              <w:jc w:val="center"/>
              <w:rPr>
                <w:rFonts w:ascii="Times New Roman" w:hAnsi="Times New Roman" w:cs="Times New Roman"/>
                <w:sz w:val="16"/>
                <w:szCs w:val="20"/>
                <w14:ligatures w14:val="standardContextual"/>
              </w:rPr>
            </w:pPr>
          </w:p>
        </w:tc>
        <w:tc>
          <w:tcPr>
            <w:tcW w:w="2145" w:type="pct"/>
            <w:gridSpan w:val="2"/>
            <w:tcBorders>
              <w:top w:val="single" w:color="auto" w:sz="4" w:space="0"/>
              <w:left w:val="nil"/>
              <w:bottom w:val="nil"/>
              <w:right w:val="nil"/>
            </w:tcBorders>
            <w:shd w:val="clear" w:color="auto" w:fill="FFFFFF"/>
            <w:vAlign w:val="center"/>
          </w:tcPr>
          <w:p w14:paraId="17431463">
            <w:pPr>
              <w:spacing w:line="240" w:lineRule="auto"/>
              <w:ind w:firstLine="320"/>
              <w:jc w:val="center"/>
              <w:rPr>
                <w:rFonts w:ascii="Times New Roman" w:hAnsi="Times New Roman" w:cs="Times New Roman"/>
                <w:sz w:val="16"/>
                <w:szCs w:val="20"/>
                <w14:ligatures w14:val="standardContextual"/>
              </w:rPr>
            </w:pPr>
          </w:p>
        </w:tc>
      </w:tr>
      <w:tr w14:paraId="2DE9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4181271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12C5D7D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56 （17.2%）</w:t>
            </w:r>
          </w:p>
        </w:tc>
        <w:tc>
          <w:tcPr>
            <w:tcW w:w="1441" w:type="pct"/>
            <w:tcBorders>
              <w:top w:val="nil"/>
              <w:left w:val="nil"/>
              <w:bottom w:val="nil"/>
              <w:right w:val="nil"/>
            </w:tcBorders>
            <w:shd w:val="clear" w:color="auto" w:fill="FFFFFF"/>
            <w:vAlign w:val="center"/>
          </w:tcPr>
          <w:p w14:paraId="4AF6A40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252 （13.4%）</w:t>
            </w:r>
          </w:p>
        </w:tc>
        <w:tc>
          <w:tcPr>
            <w:tcW w:w="704" w:type="pct"/>
            <w:tcBorders>
              <w:top w:val="nil"/>
              <w:left w:val="nil"/>
              <w:bottom w:val="nil"/>
              <w:right w:val="nil"/>
            </w:tcBorders>
            <w:shd w:val="clear" w:color="auto" w:fill="FFFFFF"/>
            <w:vAlign w:val="center"/>
          </w:tcPr>
          <w:p w14:paraId="72FEA41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0.069</w:t>
            </w:r>
          </w:p>
        </w:tc>
      </w:tr>
      <w:tr w14:paraId="051B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7C3CFEA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4B02EB5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269 （82.8%）</w:t>
            </w:r>
          </w:p>
        </w:tc>
        <w:tc>
          <w:tcPr>
            <w:tcW w:w="1441" w:type="pct"/>
            <w:tcBorders>
              <w:top w:val="nil"/>
              <w:left w:val="nil"/>
              <w:bottom w:val="single" w:color="auto" w:sz="4" w:space="0"/>
              <w:right w:val="nil"/>
            </w:tcBorders>
            <w:shd w:val="clear" w:color="auto" w:fill="FFFFFF"/>
            <w:vAlign w:val="center"/>
          </w:tcPr>
          <w:p w14:paraId="4A0B674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1623 （86.6%）</w:t>
            </w:r>
          </w:p>
        </w:tc>
        <w:tc>
          <w:tcPr>
            <w:tcW w:w="704" w:type="pct"/>
            <w:tcBorders>
              <w:top w:val="nil"/>
              <w:left w:val="nil"/>
              <w:bottom w:val="single" w:color="auto" w:sz="4" w:space="0"/>
              <w:right w:val="nil"/>
            </w:tcBorders>
            <w:shd w:val="clear" w:color="auto" w:fill="FFFFFF"/>
            <w:vAlign w:val="center"/>
          </w:tcPr>
          <w:p w14:paraId="32872175">
            <w:pPr>
              <w:spacing w:line="240" w:lineRule="auto"/>
              <w:ind w:firstLine="320"/>
              <w:jc w:val="center"/>
              <w:rPr>
                <w:rFonts w:ascii="Times New Roman" w:hAnsi="Times New Roman" w:cs="Times New Roman"/>
                <w:sz w:val="16"/>
                <w:szCs w:val="20"/>
                <w14:ligatures w14:val="standardContextual"/>
              </w:rPr>
            </w:pPr>
          </w:p>
        </w:tc>
      </w:tr>
      <w:tr w14:paraId="237E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06EEBB97">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肺结核病史</w:t>
            </w:r>
          </w:p>
        </w:tc>
        <w:tc>
          <w:tcPr>
            <w:tcW w:w="1276" w:type="pct"/>
            <w:tcBorders>
              <w:top w:val="single" w:color="auto" w:sz="4" w:space="0"/>
              <w:left w:val="nil"/>
              <w:bottom w:val="nil"/>
              <w:right w:val="nil"/>
            </w:tcBorders>
            <w:shd w:val="clear" w:color="auto" w:fill="FFFFFF"/>
            <w:vAlign w:val="center"/>
          </w:tcPr>
          <w:p w14:paraId="0F9F5551">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6E98C683">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7604715E">
            <w:pPr>
              <w:spacing w:line="240" w:lineRule="auto"/>
              <w:ind w:firstLine="320"/>
              <w:jc w:val="center"/>
              <w:rPr>
                <w:rFonts w:ascii="Times New Roman" w:hAnsi="Times New Roman" w:cs="Times New Roman"/>
                <w:sz w:val="16"/>
                <w:szCs w:val="20"/>
                <w14:ligatures w14:val="standardContextual"/>
              </w:rPr>
            </w:pPr>
          </w:p>
        </w:tc>
      </w:tr>
      <w:tr w14:paraId="7BB2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395E429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702DBA0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9 （2.8%）</w:t>
            </w:r>
          </w:p>
        </w:tc>
        <w:tc>
          <w:tcPr>
            <w:tcW w:w="1441" w:type="pct"/>
            <w:tcBorders>
              <w:top w:val="nil"/>
              <w:left w:val="nil"/>
              <w:bottom w:val="nil"/>
              <w:right w:val="nil"/>
            </w:tcBorders>
            <w:shd w:val="clear" w:color="auto" w:fill="FFFFFF"/>
            <w:vAlign w:val="center"/>
          </w:tcPr>
          <w:p w14:paraId="25458AB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21 （1.1%）</w:t>
            </w:r>
          </w:p>
        </w:tc>
        <w:tc>
          <w:tcPr>
            <w:tcW w:w="704" w:type="pct"/>
            <w:tcBorders>
              <w:top w:val="nil"/>
              <w:left w:val="nil"/>
              <w:bottom w:val="nil"/>
              <w:right w:val="nil"/>
            </w:tcBorders>
            <w:shd w:val="clear" w:color="auto" w:fill="FFFFFF"/>
            <w:vAlign w:val="center"/>
          </w:tcPr>
          <w:p w14:paraId="77E7339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0.018</w:t>
            </w:r>
          </w:p>
        </w:tc>
      </w:tr>
      <w:tr w14:paraId="0A51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0014CC6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38F1864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316 （97.2%）</w:t>
            </w:r>
          </w:p>
        </w:tc>
        <w:tc>
          <w:tcPr>
            <w:tcW w:w="1441" w:type="pct"/>
            <w:tcBorders>
              <w:top w:val="nil"/>
              <w:left w:val="nil"/>
              <w:bottom w:val="single" w:color="auto" w:sz="4" w:space="0"/>
              <w:right w:val="nil"/>
            </w:tcBorders>
            <w:shd w:val="clear" w:color="auto" w:fill="FFFFFF"/>
            <w:vAlign w:val="center"/>
          </w:tcPr>
          <w:p w14:paraId="24B8E787">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1854 （98.9%）</w:t>
            </w:r>
          </w:p>
        </w:tc>
        <w:tc>
          <w:tcPr>
            <w:tcW w:w="704" w:type="pct"/>
            <w:tcBorders>
              <w:top w:val="nil"/>
              <w:left w:val="nil"/>
              <w:bottom w:val="single" w:color="auto" w:sz="4" w:space="0"/>
              <w:right w:val="nil"/>
            </w:tcBorders>
            <w:shd w:val="clear" w:color="auto" w:fill="FFFFFF"/>
            <w:vAlign w:val="center"/>
          </w:tcPr>
          <w:p w14:paraId="6496DAB7">
            <w:pPr>
              <w:spacing w:line="240" w:lineRule="auto"/>
              <w:ind w:firstLine="320"/>
              <w:jc w:val="center"/>
              <w:rPr>
                <w:rFonts w:ascii="Times New Roman" w:hAnsi="Times New Roman" w:cs="Times New Roman"/>
                <w:sz w:val="16"/>
                <w:szCs w:val="20"/>
                <w14:ligatures w14:val="standardContextual"/>
              </w:rPr>
            </w:pPr>
          </w:p>
        </w:tc>
      </w:tr>
      <w:tr w14:paraId="3EAF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767E258C">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COPD病史</w:t>
            </w:r>
          </w:p>
        </w:tc>
        <w:tc>
          <w:tcPr>
            <w:tcW w:w="1276" w:type="pct"/>
            <w:tcBorders>
              <w:top w:val="single" w:color="auto" w:sz="4" w:space="0"/>
              <w:left w:val="nil"/>
              <w:bottom w:val="nil"/>
              <w:right w:val="nil"/>
            </w:tcBorders>
            <w:shd w:val="clear" w:color="auto" w:fill="FFFFFF"/>
            <w:vAlign w:val="center"/>
          </w:tcPr>
          <w:p w14:paraId="60736671">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462DDD2F">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688B2FA2">
            <w:pPr>
              <w:spacing w:line="240" w:lineRule="auto"/>
              <w:ind w:firstLine="320"/>
              <w:jc w:val="center"/>
              <w:rPr>
                <w:rFonts w:ascii="Times New Roman" w:hAnsi="Times New Roman" w:cs="Times New Roman"/>
                <w:sz w:val="16"/>
                <w:szCs w:val="20"/>
                <w14:ligatures w14:val="standardContextual"/>
              </w:rPr>
            </w:pPr>
          </w:p>
        </w:tc>
      </w:tr>
      <w:tr w14:paraId="5827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67EADF1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387D25D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 （0.6%）</w:t>
            </w:r>
          </w:p>
        </w:tc>
        <w:tc>
          <w:tcPr>
            <w:tcW w:w="1441" w:type="pct"/>
            <w:tcBorders>
              <w:top w:val="nil"/>
              <w:left w:val="nil"/>
              <w:bottom w:val="nil"/>
              <w:right w:val="nil"/>
            </w:tcBorders>
            <w:shd w:val="clear" w:color="auto" w:fill="FFFFFF"/>
            <w:vAlign w:val="center"/>
          </w:tcPr>
          <w:p w14:paraId="34214A3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 （0.1%）</w:t>
            </w:r>
          </w:p>
        </w:tc>
        <w:tc>
          <w:tcPr>
            <w:tcW w:w="704" w:type="pct"/>
            <w:tcBorders>
              <w:top w:val="nil"/>
              <w:left w:val="nil"/>
              <w:bottom w:val="nil"/>
              <w:right w:val="nil"/>
            </w:tcBorders>
            <w:shd w:val="clear" w:color="auto" w:fill="FFFFFF"/>
            <w:vAlign w:val="center"/>
          </w:tcPr>
          <w:p w14:paraId="7C29517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0.106</w:t>
            </w:r>
          </w:p>
        </w:tc>
      </w:tr>
      <w:tr w14:paraId="3DBE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1579" w:type="pct"/>
            <w:tcBorders>
              <w:top w:val="nil"/>
              <w:left w:val="nil"/>
              <w:bottom w:val="single" w:color="auto" w:sz="4" w:space="0"/>
              <w:right w:val="nil"/>
            </w:tcBorders>
            <w:shd w:val="clear" w:color="auto" w:fill="FFFFFF"/>
            <w:vAlign w:val="center"/>
          </w:tcPr>
          <w:p w14:paraId="0DEEB0D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1902B9F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w:t>
            </w:r>
            <w:r>
              <w:rPr>
                <w:rFonts w:hint="eastAsia" w:ascii="Times New Roman" w:hAnsi="Times New Roman" w:cs="Times New Roman"/>
                <w:sz w:val="16"/>
                <w:szCs w:val="20"/>
                <w14:ligatures w14:val="standardContextual"/>
              </w:rPr>
              <w:t>23</w:t>
            </w:r>
            <w:r>
              <w:rPr>
                <w:rFonts w:ascii="Times New Roman" w:hAnsi="Times New Roman" w:cs="Times New Roman"/>
                <w:sz w:val="16"/>
                <w:szCs w:val="20"/>
                <w14:ligatures w14:val="standardContextual"/>
              </w:rPr>
              <w:t xml:space="preserve"> （99.4%）</w:t>
            </w:r>
          </w:p>
        </w:tc>
        <w:tc>
          <w:tcPr>
            <w:tcW w:w="1441" w:type="pct"/>
            <w:tcBorders>
              <w:top w:val="nil"/>
              <w:left w:val="nil"/>
              <w:bottom w:val="single" w:color="auto" w:sz="4" w:space="0"/>
              <w:right w:val="nil"/>
            </w:tcBorders>
            <w:shd w:val="clear" w:color="auto" w:fill="FFFFFF"/>
            <w:vAlign w:val="center"/>
          </w:tcPr>
          <w:p w14:paraId="18A40EDF">
            <w:pPr>
              <w:spacing w:line="240" w:lineRule="auto"/>
              <w:ind w:firstLine="320"/>
              <w:jc w:val="center"/>
              <w:rPr>
                <w:rFonts w:ascii="Times New Roman" w:hAnsi="Times New Roman" w:cs="Times New Roman"/>
                <w:sz w:val="16"/>
                <w:szCs w:val="20"/>
                <w14:ligatures w14:val="standardContextual"/>
              </w:rPr>
            </w:pPr>
            <w:r>
              <w:rPr>
                <w:rFonts w:hint="eastAsia" w:ascii="Times New Roman" w:hAnsi="Times New Roman" w:cs="Times New Roman"/>
                <w:sz w:val="16"/>
                <w:szCs w:val="20"/>
                <w14:ligatures w14:val="standardContextual"/>
              </w:rPr>
              <w:t>1873</w:t>
            </w:r>
            <w:r>
              <w:rPr>
                <w:rFonts w:ascii="Times New Roman" w:hAnsi="Times New Roman" w:cs="Times New Roman"/>
                <w:sz w:val="16"/>
                <w:szCs w:val="20"/>
                <w14:ligatures w14:val="standardContextual"/>
              </w:rPr>
              <w:t xml:space="preserve"> （99.9%）</w:t>
            </w:r>
          </w:p>
        </w:tc>
        <w:tc>
          <w:tcPr>
            <w:tcW w:w="704" w:type="pct"/>
            <w:tcBorders>
              <w:top w:val="nil"/>
              <w:left w:val="nil"/>
              <w:bottom w:val="single" w:color="auto" w:sz="4" w:space="0"/>
              <w:right w:val="nil"/>
            </w:tcBorders>
            <w:shd w:val="clear" w:color="auto" w:fill="FFFFFF"/>
            <w:vAlign w:val="center"/>
          </w:tcPr>
          <w:p w14:paraId="68DB3CF4">
            <w:pPr>
              <w:spacing w:line="240" w:lineRule="auto"/>
              <w:ind w:firstLine="320"/>
              <w:jc w:val="center"/>
              <w:rPr>
                <w:rFonts w:ascii="Times New Roman" w:hAnsi="Times New Roman" w:cs="Times New Roman"/>
                <w:sz w:val="16"/>
                <w:szCs w:val="20"/>
                <w14:ligatures w14:val="standardContextual"/>
              </w:rPr>
            </w:pPr>
          </w:p>
        </w:tc>
      </w:tr>
      <w:tr w14:paraId="38FA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vAlign w:val="center"/>
          </w:tcPr>
          <w:p w14:paraId="4708C9AA">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吸烟史</w:t>
            </w:r>
          </w:p>
        </w:tc>
        <w:tc>
          <w:tcPr>
            <w:tcW w:w="1276" w:type="pct"/>
            <w:tcBorders>
              <w:top w:val="single" w:color="auto" w:sz="4" w:space="0"/>
              <w:left w:val="nil"/>
              <w:bottom w:val="nil"/>
              <w:right w:val="nil"/>
            </w:tcBorders>
            <w:shd w:val="clear" w:color="auto" w:fill="FFFFFF"/>
            <w:vAlign w:val="center"/>
          </w:tcPr>
          <w:p w14:paraId="372D50F4">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60878472">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49F0E128">
            <w:pPr>
              <w:spacing w:line="240" w:lineRule="auto"/>
              <w:ind w:firstLine="320"/>
              <w:jc w:val="center"/>
              <w:rPr>
                <w:rFonts w:ascii="Times New Roman" w:hAnsi="Times New Roman" w:cs="Times New Roman"/>
                <w:sz w:val="16"/>
                <w:szCs w:val="20"/>
                <w14:ligatures w14:val="standardContextual"/>
              </w:rPr>
            </w:pPr>
          </w:p>
        </w:tc>
      </w:tr>
      <w:tr w14:paraId="0380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7E8962F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77A6AE3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88 （27.1%）</w:t>
            </w:r>
          </w:p>
        </w:tc>
        <w:tc>
          <w:tcPr>
            <w:tcW w:w="1441" w:type="pct"/>
            <w:tcBorders>
              <w:top w:val="nil"/>
              <w:left w:val="nil"/>
              <w:bottom w:val="nil"/>
              <w:right w:val="nil"/>
            </w:tcBorders>
            <w:shd w:val="clear" w:color="auto" w:fill="FFFFFF"/>
            <w:vAlign w:val="center"/>
          </w:tcPr>
          <w:p w14:paraId="50756F6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845 （45.1%）</w:t>
            </w:r>
          </w:p>
        </w:tc>
        <w:tc>
          <w:tcPr>
            <w:tcW w:w="704" w:type="pct"/>
            <w:tcBorders>
              <w:top w:val="nil"/>
              <w:left w:val="nil"/>
              <w:bottom w:val="nil"/>
              <w:right w:val="nil"/>
            </w:tcBorders>
            <w:shd w:val="clear" w:color="auto" w:fill="FFFFFF"/>
            <w:vAlign w:val="center"/>
          </w:tcPr>
          <w:p w14:paraId="4440C2E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4172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02E360C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6804B62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24</w:t>
            </w:r>
            <w:r>
              <w:rPr>
                <w:rFonts w:hint="eastAsia" w:ascii="Times New Roman" w:hAnsi="Times New Roman" w:cs="Times New Roman"/>
                <w:sz w:val="16"/>
                <w:szCs w:val="20"/>
                <w14:ligatures w14:val="standardContextual"/>
              </w:rPr>
              <w:t>7</w:t>
            </w:r>
            <w:r>
              <w:rPr>
                <w:rFonts w:ascii="Times New Roman" w:hAnsi="Times New Roman" w:cs="Times New Roman"/>
                <w:sz w:val="16"/>
                <w:szCs w:val="20"/>
                <w14:ligatures w14:val="standardContextual"/>
              </w:rPr>
              <w:t xml:space="preserve"> （</w:t>
            </w:r>
            <w:r>
              <w:rPr>
                <w:rFonts w:hint="eastAsia" w:ascii="Times New Roman" w:hAnsi="Times New Roman" w:cs="Times New Roman"/>
                <w:sz w:val="16"/>
                <w:szCs w:val="20"/>
                <w14:ligatures w14:val="standardContextual"/>
              </w:rPr>
              <w:t>72.9</w:t>
            </w:r>
            <w:r>
              <w:rPr>
                <w:rFonts w:ascii="Times New Roman" w:hAnsi="Times New Roman" w:cs="Times New Roman"/>
                <w:sz w:val="16"/>
                <w:szCs w:val="20"/>
                <w14:ligatures w14:val="standardContextual"/>
              </w:rPr>
              <w:t>%）</w:t>
            </w:r>
          </w:p>
        </w:tc>
        <w:tc>
          <w:tcPr>
            <w:tcW w:w="1441" w:type="pct"/>
            <w:tcBorders>
              <w:top w:val="nil"/>
              <w:left w:val="nil"/>
              <w:bottom w:val="single" w:color="auto" w:sz="4" w:space="0"/>
              <w:right w:val="nil"/>
            </w:tcBorders>
            <w:shd w:val="clear" w:color="auto" w:fill="FFFFFF"/>
            <w:vAlign w:val="center"/>
          </w:tcPr>
          <w:p w14:paraId="17CD5D7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1030 （54.9%）</w:t>
            </w:r>
          </w:p>
        </w:tc>
        <w:tc>
          <w:tcPr>
            <w:tcW w:w="704" w:type="pct"/>
            <w:tcBorders>
              <w:top w:val="nil"/>
              <w:left w:val="nil"/>
              <w:bottom w:val="single" w:color="auto" w:sz="4" w:space="0"/>
              <w:right w:val="nil"/>
            </w:tcBorders>
            <w:shd w:val="clear" w:color="auto" w:fill="FFFFFF"/>
            <w:vAlign w:val="center"/>
          </w:tcPr>
          <w:p w14:paraId="3C87D13C">
            <w:pPr>
              <w:spacing w:line="240" w:lineRule="auto"/>
              <w:ind w:firstLine="320"/>
              <w:jc w:val="center"/>
              <w:rPr>
                <w:rFonts w:ascii="Times New Roman" w:hAnsi="Times New Roman" w:cs="Times New Roman"/>
                <w:sz w:val="16"/>
                <w:szCs w:val="20"/>
                <w14:ligatures w14:val="standardContextual"/>
              </w:rPr>
            </w:pPr>
          </w:p>
        </w:tc>
      </w:tr>
      <w:tr w14:paraId="026E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6A9556E5">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饮酒史</w:t>
            </w:r>
          </w:p>
        </w:tc>
        <w:tc>
          <w:tcPr>
            <w:tcW w:w="1276" w:type="pct"/>
            <w:tcBorders>
              <w:top w:val="nil"/>
              <w:left w:val="nil"/>
              <w:bottom w:val="nil"/>
              <w:right w:val="nil"/>
            </w:tcBorders>
            <w:shd w:val="clear" w:color="auto" w:fill="FFFFFF"/>
            <w:vAlign w:val="center"/>
          </w:tcPr>
          <w:p w14:paraId="7E33753E">
            <w:pPr>
              <w:spacing w:line="240" w:lineRule="auto"/>
              <w:ind w:firstLine="320"/>
              <w:jc w:val="center"/>
              <w:rPr>
                <w:rFonts w:ascii="Times New Roman" w:hAnsi="Times New Roman" w:cs="Times New Roman"/>
                <w:sz w:val="16"/>
                <w:szCs w:val="20"/>
                <w14:ligatures w14:val="standardContextual"/>
              </w:rPr>
            </w:pPr>
          </w:p>
        </w:tc>
        <w:tc>
          <w:tcPr>
            <w:tcW w:w="1441" w:type="pct"/>
            <w:tcBorders>
              <w:top w:val="nil"/>
              <w:left w:val="nil"/>
              <w:bottom w:val="nil"/>
              <w:right w:val="nil"/>
            </w:tcBorders>
            <w:shd w:val="clear" w:color="auto" w:fill="FFFFFF"/>
            <w:vAlign w:val="center"/>
          </w:tcPr>
          <w:p w14:paraId="1725B480">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1C8A5869">
            <w:pPr>
              <w:spacing w:line="240" w:lineRule="auto"/>
              <w:ind w:firstLine="320"/>
              <w:jc w:val="center"/>
              <w:rPr>
                <w:rFonts w:ascii="Times New Roman" w:hAnsi="Times New Roman" w:cs="Times New Roman"/>
                <w:sz w:val="16"/>
                <w:szCs w:val="20"/>
                <w14:ligatures w14:val="standardContextual"/>
              </w:rPr>
            </w:pPr>
          </w:p>
        </w:tc>
      </w:tr>
      <w:tr w14:paraId="6572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633ED14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7BEEFB5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83 （25.5%）</w:t>
            </w:r>
          </w:p>
        </w:tc>
        <w:tc>
          <w:tcPr>
            <w:tcW w:w="1441" w:type="pct"/>
            <w:tcBorders>
              <w:top w:val="nil"/>
              <w:left w:val="nil"/>
              <w:bottom w:val="nil"/>
              <w:right w:val="nil"/>
            </w:tcBorders>
            <w:shd w:val="clear" w:color="auto" w:fill="FFFFFF"/>
            <w:vAlign w:val="center"/>
          </w:tcPr>
          <w:p w14:paraId="1A2E119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762 （40.6%）</w:t>
            </w:r>
          </w:p>
        </w:tc>
        <w:tc>
          <w:tcPr>
            <w:tcW w:w="704" w:type="pct"/>
            <w:tcBorders>
              <w:top w:val="nil"/>
              <w:left w:val="nil"/>
              <w:bottom w:val="nil"/>
              <w:right w:val="nil"/>
            </w:tcBorders>
            <w:shd w:val="clear" w:color="auto" w:fill="FFFFFF"/>
            <w:vAlign w:val="center"/>
          </w:tcPr>
          <w:p w14:paraId="746518B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2CA1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79746A6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02228EF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242 （74.5%）</w:t>
            </w:r>
          </w:p>
        </w:tc>
        <w:tc>
          <w:tcPr>
            <w:tcW w:w="1441" w:type="pct"/>
            <w:tcBorders>
              <w:top w:val="nil"/>
              <w:left w:val="nil"/>
              <w:bottom w:val="single" w:color="auto" w:sz="4" w:space="0"/>
              <w:right w:val="nil"/>
            </w:tcBorders>
            <w:shd w:val="clear" w:color="auto" w:fill="FFFFFF"/>
            <w:vAlign w:val="center"/>
          </w:tcPr>
          <w:p w14:paraId="02D27CE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1113 （59.4%）</w:t>
            </w:r>
          </w:p>
        </w:tc>
        <w:tc>
          <w:tcPr>
            <w:tcW w:w="704" w:type="pct"/>
            <w:tcBorders>
              <w:top w:val="nil"/>
              <w:left w:val="nil"/>
              <w:bottom w:val="single" w:color="auto" w:sz="4" w:space="0"/>
              <w:right w:val="nil"/>
            </w:tcBorders>
            <w:shd w:val="clear" w:color="auto" w:fill="FFFFFF"/>
            <w:vAlign w:val="center"/>
          </w:tcPr>
          <w:p w14:paraId="600EA374">
            <w:pPr>
              <w:spacing w:line="240" w:lineRule="auto"/>
              <w:ind w:firstLine="320"/>
              <w:jc w:val="center"/>
              <w:rPr>
                <w:rFonts w:ascii="Times New Roman" w:hAnsi="Times New Roman" w:cs="Times New Roman"/>
                <w:sz w:val="16"/>
                <w:szCs w:val="20"/>
                <w14:ligatures w14:val="standardContextual"/>
              </w:rPr>
            </w:pPr>
          </w:p>
        </w:tc>
      </w:tr>
      <w:tr w14:paraId="303C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4A097C3C">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ASA分级</w:t>
            </w:r>
          </w:p>
        </w:tc>
        <w:tc>
          <w:tcPr>
            <w:tcW w:w="1276" w:type="pct"/>
            <w:tcBorders>
              <w:top w:val="single" w:color="auto" w:sz="4" w:space="0"/>
              <w:left w:val="nil"/>
              <w:bottom w:val="nil"/>
              <w:right w:val="nil"/>
            </w:tcBorders>
            <w:shd w:val="clear" w:color="auto" w:fill="FFFFFF"/>
            <w:vAlign w:val="center"/>
          </w:tcPr>
          <w:p w14:paraId="68EFEFFF">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57D7008C">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6E3CDED0">
            <w:pPr>
              <w:spacing w:line="240" w:lineRule="auto"/>
              <w:ind w:firstLine="320"/>
              <w:jc w:val="center"/>
              <w:rPr>
                <w:rFonts w:ascii="Times New Roman" w:hAnsi="Times New Roman" w:cs="Times New Roman"/>
                <w:sz w:val="16"/>
                <w:szCs w:val="20"/>
                <w14:ligatures w14:val="standardContextual"/>
              </w:rPr>
            </w:pPr>
          </w:p>
        </w:tc>
      </w:tr>
      <w:tr w14:paraId="7029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244E8BBC">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Ⅰ</w:t>
            </w:r>
          </w:p>
        </w:tc>
        <w:tc>
          <w:tcPr>
            <w:tcW w:w="1276" w:type="pct"/>
            <w:tcBorders>
              <w:top w:val="nil"/>
              <w:left w:val="nil"/>
              <w:bottom w:val="nil"/>
              <w:right w:val="nil"/>
            </w:tcBorders>
            <w:shd w:val="clear" w:color="auto" w:fill="FFFFFF"/>
            <w:vAlign w:val="center"/>
          </w:tcPr>
          <w:p w14:paraId="7453665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 （0.0%）</w:t>
            </w:r>
          </w:p>
        </w:tc>
        <w:tc>
          <w:tcPr>
            <w:tcW w:w="1441" w:type="pct"/>
            <w:tcBorders>
              <w:top w:val="nil"/>
              <w:left w:val="nil"/>
              <w:bottom w:val="nil"/>
              <w:right w:val="nil"/>
            </w:tcBorders>
            <w:shd w:val="clear" w:color="auto" w:fill="FFFFFF"/>
            <w:vAlign w:val="center"/>
          </w:tcPr>
          <w:p w14:paraId="3E89F68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153 （8.2%）</w:t>
            </w:r>
          </w:p>
        </w:tc>
        <w:tc>
          <w:tcPr>
            <w:tcW w:w="704" w:type="pct"/>
            <w:tcBorders>
              <w:top w:val="nil"/>
              <w:left w:val="nil"/>
              <w:bottom w:val="nil"/>
              <w:right w:val="nil"/>
            </w:tcBorders>
            <w:shd w:val="clear" w:color="auto" w:fill="FFFFFF"/>
            <w:vAlign w:val="center"/>
          </w:tcPr>
          <w:p w14:paraId="4DC3EB5E">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6494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nil"/>
              <w:right w:val="nil"/>
            </w:tcBorders>
            <w:shd w:val="clear" w:color="auto" w:fill="FFFFFF"/>
            <w:vAlign w:val="center"/>
          </w:tcPr>
          <w:p w14:paraId="7B01BA8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Ⅱ</w:t>
            </w:r>
          </w:p>
        </w:tc>
        <w:tc>
          <w:tcPr>
            <w:tcW w:w="1276" w:type="pct"/>
            <w:tcBorders>
              <w:top w:val="nil"/>
              <w:left w:val="nil"/>
              <w:bottom w:val="nil"/>
              <w:right w:val="nil"/>
            </w:tcBorders>
            <w:shd w:val="clear" w:color="auto" w:fill="FFFFFF"/>
            <w:vAlign w:val="center"/>
          </w:tcPr>
          <w:p w14:paraId="0C5CD02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251 （77.2%）</w:t>
            </w:r>
          </w:p>
        </w:tc>
        <w:tc>
          <w:tcPr>
            <w:tcW w:w="1441" w:type="pct"/>
            <w:tcBorders>
              <w:top w:val="nil"/>
              <w:left w:val="nil"/>
              <w:bottom w:val="nil"/>
              <w:right w:val="nil"/>
            </w:tcBorders>
            <w:shd w:val="clear" w:color="auto" w:fill="FFFFFF"/>
            <w:vAlign w:val="center"/>
          </w:tcPr>
          <w:p w14:paraId="5FA9B07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1668 （89.0%）</w:t>
            </w:r>
          </w:p>
        </w:tc>
        <w:tc>
          <w:tcPr>
            <w:tcW w:w="704" w:type="pct"/>
            <w:tcBorders>
              <w:top w:val="nil"/>
              <w:left w:val="nil"/>
              <w:bottom w:val="nil"/>
              <w:right w:val="nil"/>
            </w:tcBorders>
            <w:shd w:val="clear" w:color="auto" w:fill="FFFFFF"/>
            <w:vAlign w:val="center"/>
          </w:tcPr>
          <w:p w14:paraId="0BE4D38E">
            <w:pPr>
              <w:spacing w:line="240" w:lineRule="auto"/>
              <w:ind w:firstLine="320"/>
              <w:jc w:val="center"/>
              <w:rPr>
                <w:rFonts w:ascii="Times New Roman" w:hAnsi="Times New Roman" w:cs="Times New Roman"/>
                <w:sz w:val="16"/>
                <w:szCs w:val="20"/>
                <w14:ligatures w14:val="standardContextual"/>
              </w:rPr>
            </w:pPr>
          </w:p>
        </w:tc>
      </w:tr>
      <w:tr w14:paraId="275C6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nil"/>
              <w:right w:val="nil"/>
            </w:tcBorders>
            <w:shd w:val="clear" w:color="auto" w:fill="FFFFFF"/>
            <w:vAlign w:val="center"/>
          </w:tcPr>
          <w:p w14:paraId="32CFABDE">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Ⅲ</w:t>
            </w:r>
          </w:p>
        </w:tc>
        <w:tc>
          <w:tcPr>
            <w:tcW w:w="1276" w:type="pct"/>
            <w:tcBorders>
              <w:top w:val="nil"/>
              <w:left w:val="nil"/>
              <w:bottom w:val="nil"/>
              <w:right w:val="nil"/>
            </w:tcBorders>
            <w:shd w:val="clear" w:color="auto" w:fill="FFFFFF"/>
            <w:vAlign w:val="center"/>
          </w:tcPr>
          <w:p w14:paraId="640139B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70 （21.5%）</w:t>
            </w:r>
          </w:p>
        </w:tc>
        <w:tc>
          <w:tcPr>
            <w:tcW w:w="1441" w:type="pct"/>
            <w:tcBorders>
              <w:top w:val="nil"/>
              <w:left w:val="nil"/>
              <w:bottom w:val="nil"/>
              <w:right w:val="nil"/>
            </w:tcBorders>
            <w:shd w:val="clear" w:color="auto" w:fill="FFFFFF"/>
            <w:vAlign w:val="center"/>
          </w:tcPr>
          <w:p w14:paraId="1E10FC8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54 （2.9%）</w:t>
            </w:r>
          </w:p>
        </w:tc>
        <w:tc>
          <w:tcPr>
            <w:tcW w:w="704" w:type="pct"/>
            <w:tcBorders>
              <w:top w:val="nil"/>
              <w:left w:val="nil"/>
              <w:bottom w:val="nil"/>
              <w:right w:val="nil"/>
            </w:tcBorders>
            <w:shd w:val="clear" w:color="auto" w:fill="FFFFFF"/>
            <w:vAlign w:val="center"/>
          </w:tcPr>
          <w:p w14:paraId="0CB56E7D">
            <w:pPr>
              <w:spacing w:line="240" w:lineRule="auto"/>
              <w:ind w:firstLine="320"/>
              <w:jc w:val="center"/>
              <w:rPr>
                <w:rFonts w:ascii="Times New Roman" w:hAnsi="Times New Roman" w:cs="Times New Roman"/>
                <w:sz w:val="16"/>
                <w:szCs w:val="20"/>
                <w14:ligatures w14:val="standardContextual"/>
              </w:rPr>
            </w:pPr>
          </w:p>
        </w:tc>
      </w:tr>
      <w:tr w14:paraId="2004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1FCABC4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Ⅳ</w:t>
            </w:r>
          </w:p>
        </w:tc>
        <w:tc>
          <w:tcPr>
            <w:tcW w:w="1276" w:type="pct"/>
            <w:tcBorders>
              <w:top w:val="nil"/>
              <w:left w:val="nil"/>
              <w:bottom w:val="single" w:color="auto" w:sz="4" w:space="0"/>
              <w:right w:val="nil"/>
            </w:tcBorders>
            <w:shd w:val="clear" w:color="auto" w:fill="FFFFFF"/>
            <w:vAlign w:val="center"/>
          </w:tcPr>
          <w:p w14:paraId="3FA69C68">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 （1.2%）</w:t>
            </w:r>
          </w:p>
        </w:tc>
        <w:tc>
          <w:tcPr>
            <w:tcW w:w="1441" w:type="pct"/>
            <w:tcBorders>
              <w:top w:val="nil"/>
              <w:left w:val="nil"/>
              <w:bottom w:val="single" w:color="auto" w:sz="4" w:space="0"/>
              <w:right w:val="nil"/>
            </w:tcBorders>
            <w:shd w:val="clear" w:color="auto" w:fill="FFFFFF"/>
            <w:vAlign w:val="center"/>
          </w:tcPr>
          <w:p w14:paraId="75CB11BA">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 （0.0%）</w:t>
            </w:r>
          </w:p>
        </w:tc>
        <w:tc>
          <w:tcPr>
            <w:tcW w:w="704" w:type="pct"/>
            <w:tcBorders>
              <w:top w:val="nil"/>
              <w:left w:val="nil"/>
              <w:bottom w:val="single" w:color="auto" w:sz="4" w:space="0"/>
              <w:right w:val="nil"/>
            </w:tcBorders>
            <w:shd w:val="clear" w:color="auto" w:fill="FFFFFF"/>
            <w:vAlign w:val="center"/>
          </w:tcPr>
          <w:p w14:paraId="0A740582">
            <w:pPr>
              <w:spacing w:line="240" w:lineRule="auto"/>
              <w:ind w:firstLine="320"/>
              <w:jc w:val="center"/>
              <w:rPr>
                <w:rFonts w:ascii="Times New Roman" w:hAnsi="Times New Roman" w:cs="Times New Roman"/>
                <w:sz w:val="16"/>
                <w:szCs w:val="20"/>
                <w14:ligatures w14:val="standardContextual"/>
              </w:rPr>
            </w:pPr>
          </w:p>
        </w:tc>
      </w:tr>
      <w:tr w14:paraId="5456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557262AE">
            <w:pPr>
              <w:spacing w:line="240" w:lineRule="auto"/>
              <w:ind w:firstLine="321"/>
              <w:jc w:val="center"/>
              <w:rPr>
                <w:rFonts w:ascii="Times New Roman" w:hAnsi="Times New Roman" w:cs="Times New Roman"/>
                <w:b/>
                <w:bCs/>
                <w:sz w:val="16"/>
                <w:szCs w:val="20"/>
                <w14:ligatures w14:val="standardContextual"/>
              </w:rPr>
            </w:pPr>
            <w:r>
              <w:rPr>
                <w:rFonts w:ascii="Times New Roman" w:hAnsi="Times New Roman" w:cs="Times New Roman"/>
                <w:b/>
                <w:bCs/>
                <w:sz w:val="16"/>
                <w:szCs w:val="20"/>
                <w14:ligatures w14:val="standardContextual"/>
              </w:rPr>
              <w:t>手术时长（h）</w:t>
            </w:r>
          </w:p>
        </w:tc>
        <w:tc>
          <w:tcPr>
            <w:tcW w:w="1276" w:type="pct"/>
            <w:tcBorders>
              <w:top w:val="single" w:color="auto" w:sz="4" w:space="0"/>
              <w:left w:val="nil"/>
              <w:bottom w:val="single" w:color="auto" w:sz="4" w:space="0"/>
              <w:right w:val="nil"/>
            </w:tcBorders>
            <w:vAlign w:val="center"/>
          </w:tcPr>
          <w:p w14:paraId="20409B9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330.4±73.9</w:t>
            </w:r>
          </w:p>
        </w:tc>
        <w:tc>
          <w:tcPr>
            <w:tcW w:w="1441" w:type="pct"/>
            <w:tcBorders>
              <w:top w:val="single" w:color="auto" w:sz="4" w:space="0"/>
              <w:left w:val="nil"/>
              <w:bottom w:val="single" w:color="auto" w:sz="4" w:space="0"/>
              <w:right w:val="nil"/>
            </w:tcBorders>
            <w:shd w:val="clear" w:color="auto" w:fill="FFFFFF"/>
            <w:vAlign w:val="center"/>
          </w:tcPr>
          <w:p w14:paraId="699D6BF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276.2±69.6</w:t>
            </w:r>
          </w:p>
        </w:tc>
        <w:tc>
          <w:tcPr>
            <w:tcW w:w="704" w:type="pct"/>
            <w:tcBorders>
              <w:top w:val="single" w:color="auto" w:sz="4" w:space="0"/>
              <w:left w:val="nil"/>
              <w:bottom w:val="single" w:color="auto" w:sz="4" w:space="0"/>
              <w:right w:val="nil"/>
            </w:tcBorders>
            <w:shd w:val="clear" w:color="auto" w:fill="FFFFFF"/>
            <w:vAlign w:val="center"/>
          </w:tcPr>
          <w:p w14:paraId="5743851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4285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239F4E6B">
            <w:pPr>
              <w:spacing w:line="240" w:lineRule="auto"/>
              <w:ind w:firstLine="321"/>
              <w:jc w:val="center"/>
              <w:rPr>
                <w:rFonts w:ascii="Times New Roman" w:hAnsi="Times New Roman" w:cs="Times New Roman"/>
                <w:b/>
                <w:bCs/>
                <w:sz w:val="16"/>
                <w:szCs w:val="20"/>
                <w14:ligatures w14:val="standardContextual"/>
              </w:rPr>
            </w:pPr>
            <w:r>
              <w:rPr>
                <w:rFonts w:ascii="Times New Roman" w:hAnsi="Times New Roman" w:cs="Times New Roman"/>
                <w:b/>
                <w:bCs/>
                <w:sz w:val="16"/>
                <w:szCs w:val="20"/>
                <w14:ligatures w14:val="standardContextual"/>
              </w:rPr>
              <w:t>非计划二次手术</w:t>
            </w:r>
          </w:p>
        </w:tc>
        <w:tc>
          <w:tcPr>
            <w:tcW w:w="1276" w:type="pct"/>
            <w:tcBorders>
              <w:top w:val="single" w:color="auto" w:sz="4" w:space="0"/>
              <w:left w:val="nil"/>
              <w:bottom w:val="nil"/>
              <w:right w:val="nil"/>
            </w:tcBorders>
            <w:shd w:val="clear" w:color="auto" w:fill="FFFFFF"/>
            <w:vAlign w:val="center"/>
          </w:tcPr>
          <w:p w14:paraId="31902468">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01D172D7">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5B2F5967">
            <w:pPr>
              <w:spacing w:line="240" w:lineRule="auto"/>
              <w:ind w:firstLine="320"/>
              <w:jc w:val="center"/>
              <w:rPr>
                <w:rFonts w:ascii="Times New Roman" w:hAnsi="Times New Roman" w:cs="Times New Roman"/>
                <w:sz w:val="16"/>
                <w:szCs w:val="20"/>
                <w14:ligatures w14:val="standardContextual"/>
              </w:rPr>
            </w:pPr>
          </w:p>
        </w:tc>
      </w:tr>
      <w:tr w14:paraId="3369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1B5FEF4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l2br w:val="nil"/>
            </w:tcBorders>
            <w:shd w:val="clear" w:color="auto" w:fill="FFFFFF"/>
            <w:vAlign w:val="center"/>
          </w:tcPr>
          <w:p w14:paraId="4A6BC22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 （2.2%）</w:t>
            </w:r>
          </w:p>
        </w:tc>
        <w:tc>
          <w:tcPr>
            <w:tcW w:w="1441" w:type="pct"/>
            <w:tcBorders>
              <w:top w:val="nil"/>
              <w:left w:val="nil"/>
              <w:bottom w:val="nil"/>
              <w:right w:val="nil"/>
            </w:tcBorders>
            <w:shd w:val="clear" w:color="auto" w:fill="FFFFFF"/>
            <w:vAlign w:val="center"/>
          </w:tcPr>
          <w:p w14:paraId="2304049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87 （4.6%）</w:t>
            </w:r>
          </w:p>
        </w:tc>
        <w:tc>
          <w:tcPr>
            <w:tcW w:w="704" w:type="pct"/>
            <w:tcBorders>
              <w:top w:val="nil"/>
              <w:left w:val="nil"/>
              <w:bottom w:val="nil"/>
              <w:right w:val="nil"/>
            </w:tcBorders>
            <w:shd w:val="clear" w:color="auto" w:fill="FFFFFF"/>
            <w:vAlign w:val="center"/>
          </w:tcPr>
          <w:p w14:paraId="6C311E6C">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0.041</w:t>
            </w:r>
          </w:p>
        </w:tc>
      </w:tr>
      <w:tr w14:paraId="224A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5E7CDD0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7739661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318 （97.8%）</w:t>
            </w:r>
          </w:p>
        </w:tc>
        <w:tc>
          <w:tcPr>
            <w:tcW w:w="1441" w:type="pct"/>
            <w:tcBorders>
              <w:top w:val="nil"/>
              <w:left w:val="nil"/>
              <w:bottom w:val="single" w:color="auto" w:sz="4" w:space="0"/>
              <w:right w:val="nil"/>
            </w:tcBorders>
            <w:shd w:val="clear" w:color="auto" w:fill="FFFFFF"/>
            <w:vAlign w:val="center"/>
          </w:tcPr>
          <w:p w14:paraId="700F1BF5">
            <w:pPr>
              <w:spacing w:line="240" w:lineRule="auto"/>
              <w:ind w:firstLine="320"/>
              <w:jc w:val="center"/>
              <w:rPr>
                <w:rFonts w:ascii="Times New Roman" w:hAnsi="Times New Roman" w:cs="Times New Roman"/>
                <w:sz w:val="16"/>
                <w:szCs w:val="20"/>
                <w14:ligatures w14:val="standardContextual"/>
              </w:rPr>
            </w:pPr>
            <w:r>
              <w:rPr>
                <w:rFonts w:hint="eastAsia" w:ascii="Times New Roman" w:hAnsi="Times New Roman" w:cs="Times New Roman"/>
                <w:sz w:val="16"/>
                <w:szCs w:val="20"/>
                <w14:ligatures w14:val="standardContextual"/>
              </w:rPr>
              <w:t>1788</w:t>
            </w:r>
            <w:r>
              <w:rPr>
                <w:rFonts w:ascii="Times New Roman" w:hAnsi="Times New Roman" w:cs="Times New Roman"/>
                <w:sz w:val="16"/>
                <w:szCs w:val="20"/>
                <w14:ligatures w14:val="standardContextual"/>
              </w:rPr>
              <w:t xml:space="preserve"> （95.</w:t>
            </w:r>
            <w:r>
              <w:rPr>
                <w:rFonts w:hint="eastAsia" w:ascii="Times New Roman" w:hAnsi="Times New Roman" w:cs="Times New Roman"/>
                <w:sz w:val="16"/>
                <w:szCs w:val="20"/>
                <w14:ligatures w14:val="standardContextual"/>
              </w:rPr>
              <w:t>4</w:t>
            </w:r>
            <w:r>
              <w:rPr>
                <w:rFonts w:ascii="Times New Roman" w:hAnsi="Times New Roman" w:cs="Times New Roman"/>
                <w:sz w:val="16"/>
                <w:szCs w:val="20"/>
                <w14:ligatures w14:val="standardContextual"/>
              </w:rPr>
              <w:t>%）</w:t>
            </w:r>
          </w:p>
        </w:tc>
        <w:tc>
          <w:tcPr>
            <w:tcW w:w="704" w:type="pct"/>
            <w:tcBorders>
              <w:top w:val="nil"/>
              <w:left w:val="nil"/>
              <w:bottom w:val="single" w:color="auto" w:sz="4" w:space="0"/>
              <w:right w:val="nil"/>
            </w:tcBorders>
            <w:shd w:val="clear" w:color="auto" w:fill="FFFFFF"/>
            <w:vAlign w:val="center"/>
          </w:tcPr>
          <w:p w14:paraId="0EB0737A">
            <w:pPr>
              <w:spacing w:line="240" w:lineRule="auto"/>
              <w:ind w:firstLine="320"/>
              <w:jc w:val="center"/>
              <w:rPr>
                <w:rFonts w:ascii="Times New Roman" w:hAnsi="Times New Roman" w:cs="Times New Roman"/>
                <w:sz w:val="16"/>
                <w:szCs w:val="20"/>
                <w14:ligatures w14:val="standardContextual"/>
              </w:rPr>
            </w:pPr>
          </w:p>
        </w:tc>
      </w:tr>
      <w:tr w14:paraId="13C6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2B4D84B2">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术后是否入住ICU</w:t>
            </w:r>
          </w:p>
        </w:tc>
        <w:tc>
          <w:tcPr>
            <w:tcW w:w="1276" w:type="pct"/>
            <w:tcBorders>
              <w:top w:val="single" w:color="auto" w:sz="4" w:space="0"/>
              <w:left w:val="nil"/>
              <w:bottom w:val="nil"/>
              <w:right w:val="nil"/>
            </w:tcBorders>
            <w:shd w:val="clear" w:color="auto" w:fill="FFFFFF"/>
            <w:vAlign w:val="center"/>
          </w:tcPr>
          <w:p w14:paraId="57E859D5">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07CB30ED">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1920A0D5">
            <w:pPr>
              <w:spacing w:line="240" w:lineRule="auto"/>
              <w:ind w:firstLine="320"/>
              <w:jc w:val="center"/>
              <w:rPr>
                <w:rFonts w:ascii="Times New Roman" w:hAnsi="Times New Roman" w:cs="Times New Roman"/>
                <w:sz w:val="16"/>
                <w:szCs w:val="20"/>
                <w14:ligatures w14:val="standardContextual"/>
              </w:rPr>
            </w:pPr>
          </w:p>
        </w:tc>
      </w:tr>
      <w:tr w14:paraId="163E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nil"/>
              <w:right w:val="nil"/>
            </w:tcBorders>
            <w:shd w:val="clear" w:color="auto" w:fill="FFFFFF"/>
            <w:vAlign w:val="center"/>
          </w:tcPr>
          <w:p w14:paraId="4D1B6C2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3010273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94 （28.9%）</w:t>
            </w:r>
          </w:p>
        </w:tc>
        <w:tc>
          <w:tcPr>
            <w:tcW w:w="1441" w:type="pct"/>
            <w:tcBorders>
              <w:top w:val="nil"/>
              <w:left w:val="nil"/>
              <w:bottom w:val="nil"/>
              <w:right w:val="nil"/>
            </w:tcBorders>
            <w:shd w:val="clear" w:color="auto" w:fill="FFFFFF"/>
            <w:vAlign w:val="center"/>
          </w:tcPr>
          <w:p w14:paraId="76BD8B7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32 （1.7%）</w:t>
            </w:r>
          </w:p>
        </w:tc>
        <w:tc>
          <w:tcPr>
            <w:tcW w:w="704" w:type="pct"/>
            <w:tcBorders>
              <w:top w:val="nil"/>
              <w:left w:val="nil"/>
              <w:bottom w:val="nil"/>
              <w:right w:val="nil"/>
            </w:tcBorders>
            <w:shd w:val="clear" w:color="auto" w:fill="FFFFFF"/>
            <w:vAlign w:val="center"/>
          </w:tcPr>
          <w:p w14:paraId="609D8683">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61C1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nil"/>
              <w:left w:val="nil"/>
              <w:bottom w:val="single" w:color="auto" w:sz="4" w:space="0"/>
              <w:right w:val="nil"/>
            </w:tcBorders>
            <w:shd w:val="clear" w:color="auto" w:fill="FFFFFF"/>
            <w:vAlign w:val="center"/>
          </w:tcPr>
          <w:p w14:paraId="6E517E6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476A6612">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231 （71.1%）</w:t>
            </w:r>
          </w:p>
        </w:tc>
        <w:tc>
          <w:tcPr>
            <w:tcW w:w="1441" w:type="pct"/>
            <w:tcBorders>
              <w:top w:val="nil"/>
              <w:left w:val="nil"/>
              <w:bottom w:val="single" w:color="auto" w:sz="4" w:space="0"/>
              <w:right w:val="nil"/>
            </w:tcBorders>
            <w:shd w:val="clear" w:color="auto" w:fill="FFFFFF"/>
            <w:vAlign w:val="center"/>
          </w:tcPr>
          <w:p w14:paraId="57DA8CBD">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1843 （98.3%）</w:t>
            </w:r>
          </w:p>
        </w:tc>
        <w:tc>
          <w:tcPr>
            <w:tcW w:w="704" w:type="pct"/>
            <w:tcBorders>
              <w:top w:val="nil"/>
              <w:left w:val="nil"/>
              <w:bottom w:val="single" w:color="auto" w:sz="4" w:space="0"/>
              <w:right w:val="nil"/>
            </w:tcBorders>
            <w:shd w:val="clear" w:color="auto" w:fill="FFFFFF"/>
            <w:vAlign w:val="center"/>
          </w:tcPr>
          <w:p w14:paraId="76562472">
            <w:pPr>
              <w:spacing w:line="240" w:lineRule="auto"/>
              <w:ind w:firstLine="320"/>
              <w:jc w:val="center"/>
              <w:rPr>
                <w:rFonts w:ascii="Times New Roman" w:hAnsi="Times New Roman" w:cs="Times New Roman"/>
                <w:sz w:val="16"/>
                <w:szCs w:val="20"/>
                <w14:ligatures w14:val="standardContextual"/>
              </w:rPr>
            </w:pPr>
          </w:p>
        </w:tc>
      </w:tr>
      <w:tr w14:paraId="677E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47C002AA">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术后0-3d CRP峰值</w:t>
            </w:r>
          </w:p>
        </w:tc>
        <w:tc>
          <w:tcPr>
            <w:tcW w:w="1276" w:type="pct"/>
            <w:tcBorders>
              <w:top w:val="single" w:color="auto" w:sz="4" w:space="0"/>
              <w:left w:val="nil"/>
              <w:bottom w:val="single" w:color="auto" w:sz="4" w:space="0"/>
              <w:right w:val="nil"/>
            </w:tcBorders>
            <w:shd w:val="clear" w:color="auto" w:fill="FFFFFF"/>
            <w:vAlign w:val="center"/>
          </w:tcPr>
          <w:p w14:paraId="2C33219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4.653±7.796</w:t>
            </w:r>
          </w:p>
        </w:tc>
        <w:tc>
          <w:tcPr>
            <w:tcW w:w="1441" w:type="pct"/>
            <w:tcBorders>
              <w:top w:val="single" w:color="auto" w:sz="4" w:space="0"/>
              <w:left w:val="nil"/>
              <w:bottom w:val="single" w:color="auto" w:sz="4" w:space="0"/>
              <w:right w:val="nil"/>
            </w:tcBorders>
            <w:shd w:val="clear" w:color="auto" w:fill="FFFFFF"/>
            <w:vAlign w:val="center"/>
          </w:tcPr>
          <w:p w14:paraId="409CF5B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2.097±4.526</w:t>
            </w:r>
          </w:p>
        </w:tc>
        <w:tc>
          <w:tcPr>
            <w:tcW w:w="704" w:type="pct"/>
            <w:tcBorders>
              <w:top w:val="single" w:color="auto" w:sz="4" w:space="0"/>
              <w:left w:val="nil"/>
              <w:bottom w:val="single" w:color="auto" w:sz="4" w:space="0"/>
              <w:right w:val="nil"/>
            </w:tcBorders>
            <w:shd w:val="clear" w:color="auto" w:fill="FFFFFF"/>
            <w:vAlign w:val="center"/>
          </w:tcPr>
          <w:p w14:paraId="608B9FCF">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7B26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01DB9722">
            <w:pPr>
              <w:spacing w:line="240" w:lineRule="auto"/>
              <w:ind w:firstLine="321"/>
              <w:jc w:val="center"/>
              <w:rPr>
                <w:rFonts w:ascii="Times New Roman" w:hAnsi="Times New Roman" w:cs="Times New Roman"/>
                <w:sz w:val="16"/>
                <w:szCs w:val="20"/>
                <w14:ligatures w14:val="standardContextual"/>
              </w:rPr>
            </w:pPr>
            <w:r>
              <w:rPr>
                <w:rFonts w:ascii="Times New Roman" w:hAnsi="Times New Roman" w:cs="Times New Roman"/>
                <w:b/>
                <w:bCs/>
                <w:sz w:val="16"/>
                <w:szCs w:val="20"/>
                <w14:ligatures w14:val="standardContextual"/>
              </w:rPr>
              <w:t>机械通气</w:t>
            </w:r>
          </w:p>
        </w:tc>
        <w:tc>
          <w:tcPr>
            <w:tcW w:w="1276" w:type="pct"/>
            <w:tcBorders>
              <w:top w:val="single" w:color="auto" w:sz="4" w:space="0"/>
              <w:left w:val="nil"/>
              <w:bottom w:val="nil"/>
              <w:right w:val="nil"/>
            </w:tcBorders>
            <w:shd w:val="clear" w:color="auto" w:fill="FFFFFF"/>
            <w:vAlign w:val="center"/>
          </w:tcPr>
          <w:p w14:paraId="6041AFAB">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52FD156E">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522BF36D">
            <w:pPr>
              <w:spacing w:line="240" w:lineRule="auto"/>
              <w:ind w:firstLine="320"/>
              <w:jc w:val="center"/>
              <w:rPr>
                <w:rFonts w:ascii="Times New Roman" w:hAnsi="Times New Roman" w:cs="Times New Roman"/>
                <w:sz w:val="16"/>
                <w:szCs w:val="20"/>
                <w14:ligatures w14:val="standardContextual"/>
              </w:rPr>
            </w:pPr>
          </w:p>
        </w:tc>
      </w:tr>
      <w:tr w14:paraId="5C7F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nil"/>
              <w:right w:val="nil"/>
            </w:tcBorders>
            <w:shd w:val="clear" w:color="auto" w:fill="FFFFFF"/>
            <w:vAlign w:val="center"/>
          </w:tcPr>
          <w:p w14:paraId="11210FC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3C661C7B">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75 （23.1%）</w:t>
            </w:r>
          </w:p>
        </w:tc>
        <w:tc>
          <w:tcPr>
            <w:tcW w:w="1441" w:type="pct"/>
            <w:tcBorders>
              <w:top w:val="nil"/>
              <w:left w:val="nil"/>
              <w:bottom w:val="nil"/>
              <w:right w:val="nil"/>
            </w:tcBorders>
            <w:shd w:val="clear" w:color="auto" w:fill="FFFFFF"/>
            <w:vAlign w:val="center"/>
          </w:tcPr>
          <w:p w14:paraId="345F6B75">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24 （1.3%）</w:t>
            </w:r>
          </w:p>
        </w:tc>
        <w:tc>
          <w:tcPr>
            <w:tcW w:w="704" w:type="pct"/>
            <w:tcBorders>
              <w:top w:val="nil"/>
              <w:left w:val="nil"/>
              <w:bottom w:val="nil"/>
              <w:right w:val="nil"/>
            </w:tcBorders>
            <w:shd w:val="clear" w:color="auto" w:fill="FFFFFF"/>
            <w:vAlign w:val="center"/>
          </w:tcPr>
          <w:p w14:paraId="4BAA3A0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5951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79" w:type="pct"/>
            <w:tcBorders>
              <w:top w:val="nil"/>
              <w:left w:val="nil"/>
              <w:bottom w:val="single" w:color="auto" w:sz="4" w:space="0"/>
              <w:right w:val="nil"/>
            </w:tcBorders>
            <w:shd w:val="clear" w:color="auto" w:fill="FFFFFF"/>
            <w:vAlign w:val="center"/>
          </w:tcPr>
          <w:p w14:paraId="327349AF">
            <w:pPr>
              <w:spacing w:line="240" w:lineRule="auto"/>
              <w:ind w:firstLine="320"/>
              <w:jc w:val="center"/>
              <w:rPr>
                <w:rFonts w:ascii="Times New Roman" w:hAnsi="Times New Roman" w:cs="Times New Roman"/>
                <w:b/>
                <w:bCs/>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auto" w:sz="4" w:space="0"/>
              <w:right w:val="nil"/>
            </w:tcBorders>
            <w:shd w:val="clear" w:color="auto" w:fill="FFFFFF"/>
            <w:vAlign w:val="center"/>
          </w:tcPr>
          <w:p w14:paraId="0BDE8E7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250 （76.9%）</w:t>
            </w:r>
          </w:p>
        </w:tc>
        <w:tc>
          <w:tcPr>
            <w:tcW w:w="1441" w:type="pct"/>
            <w:tcBorders>
              <w:top w:val="nil"/>
              <w:left w:val="nil"/>
              <w:bottom w:val="single" w:color="auto" w:sz="4" w:space="0"/>
              <w:right w:val="nil"/>
            </w:tcBorders>
            <w:shd w:val="clear" w:color="auto" w:fill="FFFFFF"/>
            <w:vAlign w:val="center"/>
          </w:tcPr>
          <w:p w14:paraId="740B9D61">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1851 （98.7%）</w:t>
            </w:r>
          </w:p>
        </w:tc>
        <w:tc>
          <w:tcPr>
            <w:tcW w:w="704" w:type="pct"/>
            <w:tcBorders>
              <w:top w:val="nil"/>
              <w:left w:val="nil"/>
              <w:bottom w:val="single" w:color="auto" w:sz="4" w:space="0"/>
              <w:right w:val="nil"/>
            </w:tcBorders>
            <w:shd w:val="clear" w:color="auto" w:fill="FFFFFF"/>
            <w:vAlign w:val="center"/>
          </w:tcPr>
          <w:p w14:paraId="7CA176A4">
            <w:pPr>
              <w:spacing w:line="240" w:lineRule="auto"/>
              <w:ind w:firstLine="320"/>
              <w:jc w:val="center"/>
              <w:rPr>
                <w:rFonts w:ascii="Times New Roman" w:hAnsi="Times New Roman" w:cs="Times New Roman"/>
                <w:sz w:val="16"/>
                <w:szCs w:val="20"/>
                <w14:ligatures w14:val="standardContextual"/>
              </w:rPr>
            </w:pPr>
          </w:p>
        </w:tc>
      </w:tr>
      <w:tr w14:paraId="66D9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9" w:type="pct"/>
            <w:tcBorders>
              <w:top w:val="single" w:color="auto" w:sz="4" w:space="0"/>
              <w:left w:val="nil"/>
              <w:bottom w:val="single" w:color="auto" w:sz="4" w:space="0"/>
              <w:right w:val="nil"/>
            </w:tcBorders>
            <w:shd w:val="clear" w:color="auto" w:fill="FFFFFF"/>
            <w:vAlign w:val="center"/>
          </w:tcPr>
          <w:p w14:paraId="21117F3D">
            <w:pPr>
              <w:spacing w:line="240" w:lineRule="auto"/>
              <w:ind w:firstLine="321"/>
              <w:jc w:val="center"/>
              <w:rPr>
                <w:rFonts w:ascii="Times New Roman" w:hAnsi="Times New Roman" w:cs="Times New Roman"/>
                <w:b/>
                <w:bCs/>
                <w:sz w:val="16"/>
                <w:szCs w:val="20"/>
                <w14:ligatures w14:val="standardContextual"/>
              </w:rPr>
            </w:pPr>
            <w:r>
              <w:rPr>
                <w:rFonts w:ascii="Times New Roman" w:hAnsi="Times New Roman" w:cs="Times New Roman"/>
                <w:b/>
                <w:bCs/>
                <w:sz w:val="16"/>
                <w:szCs w:val="20"/>
                <w14:ligatures w14:val="standardContextual"/>
              </w:rPr>
              <w:t>多重耐药菌</w:t>
            </w:r>
            <w:r>
              <w:rPr>
                <w:rFonts w:hint="eastAsia" w:ascii="Times New Roman" w:hAnsi="Times New Roman" w:cs="Times New Roman"/>
                <w:b/>
                <w:bCs/>
                <w:sz w:val="16"/>
                <w:szCs w:val="20"/>
                <w14:ligatures w14:val="standardContextual"/>
              </w:rPr>
              <w:t>是否</w:t>
            </w:r>
            <w:r>
              <w:rPr>
                <w:rFonts w:ascii="Times New Roman" w:hAnsi="Times New Roman" w:cs="Times New Roman"/>
                <w:b/>
                <w:bCs/>
                <w:sz w:val="16"/>
                <w:szCs w:val="20"/>
                <w14:ligatures w14:val="standardContextual"/>
              </w:rPr>
              <w:t>定植</w:t>
            </w:r>
          </w:p>
        </w:tc>
        <w:tc>
          <w:tcPr>
            <w:tcW w:w="1276" w:type="pct"/>
            <w:tcBorders>
              <w:top w:val="single" w:color="auto" w:sz="4" w:space="0"/>
              <w:left w:val="nil"/>
              <w:bottom w:val="nil"/>
              <w:right w:val="nil"/>
            </w:tcBorders>
            <w:shd w:val="clear" w:color="auto" w:fill="FFFFFF"/>
            <w:vAlign w:val="center"/>
          </w:tcPr>
          <w:p w14:paraId="374B0474">
            <w:pPr>
              <w:spacing w:line="240" w:lineRule="auto"/>
              <w:ind w:firstLine="320"/>
              <w:jc w:val="center"/>
              <w:rPr>
                <w:rFonts w:ascii="Times New Roman" w:hAnsi="Times New Roman" w:cs="Times New Roman"/>
                <w:sz w:val="16"/>
                <w:szCs w:val="20"/>
                <w14:ligatures w14:val="standardContextual"/>
              </w:rPr>
            </w:pPr>
          </w:p>
        </w:tc>
        <w:tc>
          <w:tcPr>
            <w:tcW w:w="1441" w:type="pct"/>
            <w:tcBorders>
              <w:top w:val="single" w:color="auto" w:sz="4" w:space="0"/>
              <w:left w:val="nil"/>
              <w:bottom w:val="nil"/>
              <w:right w:val="nil"/>
            </w:tcBorders>
            <w:shd w:val="clear" w:color="auto" w:fill="FFFFFF"/>
            <w:vAlign w:val="center"/>
          </w:tcPr>
          <w:p w14:paraId="53F69FF2">
            <w:pPr>
              <w:spacing w:line="240" w:lineRule="auto"/>
              <w:ind w:firstLine="320"/>
              <w:jc w:val="center"/>
              <w:rPr>
                <w:rFonts w:ascii="Times New Roman" w:hAnsi="Times New Roman" w:cs="Times New Roman"/>
                <w:sz w:val="16"/>
                <w:szCs w:val="20"/>
                <w14:ligatures w14:val="standardContextual"/>
              </w:rPr>
            </w:pPr>
          </w:p>
        </w:tc>
        <w:tc>
          <w:tcPr>
            <w:tcW w:w="704" w:type="pct"/>
            <w:tcBorders>
              <w:top w:val="single" w:color="auto" w:sz="4" w:space="0"/>
              <w:left w:val="nil"/>
              <w:bottom w:val="nil"/>
              <w:right w:val="nil"/>
            </w:tcBorders>
            <w:shd w:val="clear" w:color="auto" w:fill="FFFFFF"/>
            <w:vAlign w:val="center"/>
          </w:tcPr>
          <w:p w14:paraId="3762DD88">
            <w:pPr>
              <w:spacing w:line="240" w:lineRule="auto"/>
              <w:ind w:firstLine="320"/>
              <w:jc w:val="center"/>
              <w:rPr>
                <w:rFonts w:ascii="Times New Roman" w:hAnsi="Times New Roman" w:cs="Times New Roman"/>
                <w:sz w:val="16"/>
                <w:szCs w:val="20"/>
                <w14:ligatures w14:val="standardContextual"/>
              </w:rPr>
            </w:pPr>
          </w:p>
        </w:tc>
      </w:tr>
      <w:tr w14:paraId="4EE0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9" w:type="pct"/>
            <w:tcBorders>
              <w:top w:val="single" w:color="auto" w:sz="4" w:space="0"/>
              <w:left w:val="nil"/>
              <w:bottom w:val="nil"/>
              <w:right w:val="nil"/>
            </w:tcBorders>
            <w:shd w:val="clear" w:color="auto" w:fill="FFFFFF"/>
            <w:vAlign w:val="center"/>
          </w:tcPr>
          <w:p w14:paraId="4190B81C">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是</w:t>
            </w:r>
          </w:p>
        </w:tc>
        <w:tc>
          <w:tcPr>
            <w:tcW w:w="1276" w:type="pct"/>
            <w:tcBorders>
              <w:top w:val="nil"/>
              <w:left w:val="nil"/>
              <w:bottom w:val="nil"/>
              <w:right w:val="nil"/>
            </w:tcBorders>
            <w:shd w:val="clear" w:color="auto" w:fill="FFFFFF"/>
            <w:vAlign w:val="center"/>
          </w:tcPr>
          <w:p w14:paraId="67F3EEA6">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44 （13.5%）</w:t>
            </w:r>
          </w:p>
        </w:tc>
        <w:tc>
          <w:tcPr>
            <w:tcW w:w="1441" w:type="pct"/>
            <w:tcBorders>
              <w:top w:val="nil"/>
              <w:left w:val="nil"/>
              <w:bottom w:val="nil"/>
              <w:right w:val="nil"/>
            </w:tcBorders>
            <w:shd w:val="clear" w:color="auto" w:fill="FFFFFF"/>
            <w:vAlign w:val="center"/>
          </w:tcPr>
          <w:p w14:paraId="14174667">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14 （0.7%）</w:t>
            </w:r>
          </w:p>
        </w:tc>
        <w:tc>
          <w:tcPr>
            <w:tcW w:w="704" w:type="pct"/>
            <w:tcBorders>
              <w:top w:val="nil"/>
              <w:left w:val="nil"/>
              <w:bottom w:val="nil"/>
              <w:right w:val="nil"/>
            </w:tcBorders>
            <w:shd w:val="clear" w:color="auto" w:fill="FFFFFF"/>
            <w:vAlign w:val="center"/>
          </w:tcPr>
          <w:p w14:paraId="5BF486B4">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&lt;0.001</w:t>
            </w:r>
          </w:p>
        </w:tc>
      </w:tr>
      <w:tr w14:paraId="3C622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79" w:type="pct"/>
            <w:tcBorders>
              <w:top w:val="nil"/>
              <w:left w:val="nil"/>
              <w:bottom w:val="single" w:color="000000" w:sz="12" w:space="0"/>
              <w:right w:val="nil"/>
            </w:tcBorders>
            <w:shd w:val="clear" w:color="auto" w:fill="FFFFFF"/>
            <w:vAlign w:val="center"/>
          </w:tcPr>
          <w:p w14:paraId="1646208C">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否</w:t>
            </w:r>
          </w:p>
        </w:tc>
        <w:tc>
          <w:tcPr>
            <w:tcW w:w="1276" w:type="pct"/>
            <w:tcBorders>
              <w:top w:val="nil"/>
              <w:left w:val="nil"/>
              <w:bottom w:val="single" w:color="000000" w:sz="12" w:space="0"/>
              <w:right w:val="nil"/>
            </w:tcBorders>
            <w:shd w:val="clear" w:color="auto" w:fill="FFFFFF"/>
            <w:vAlign w:val="center"/>
          </w:tcPr>
          <w:p w14:paraId="1B5B5C80">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281 （86.5%）</w:t>
            </w:r>
          </w:p>
        </w:tc>
        <w:tc>
          <w:tcPr>
            <w:tcW w:w="1441" w:type="pct"/>
            <w:tcBorders>
              <w:top w:val="nil"/>
              <w:left w:val="nil"/>
              <w:bottom w:val="single" w:color="000000" w:sz="12" w:space="0"/>
              <w:right w:val="nil"/>
            </w:tcBorders>
            <w:shd w:val="clear" w:color="auto" w:fill="FFFFFF"/>
            <w:vAlign w:val="center"/>
          </w:tcPr>
          <w:p w14:paraId="1AF85279">
            <w:pPr>
              <w:spacing w:line="240" w:lineRule="auto"/>
              <w:ind w:firstLine="320"/>
              <w:jc w:val="center"/>
              <w:rPr>
                <w:rFonts w:ascii="Times New Roman" w:hAnsi="Times New Roman" w:cs="Times New Roman"/>
                <w:sz w:val="16"/>
                <w:szCs w:val="20"/>
                <w14:ligatures w14:val="standardContextual"/>
              </w:rPr>
            </w:pPr>
            <w:r>
              <w:rPr>
                <w:rFonts w:ascii="Times New Roman" w:hAnsi="Times New Roman" w:cs="Times New Roman"/>
                <w:sz w:val="16"/>
                <w:szCs w:val="20"/>
                <w14:ligatures w14:val="standardContextual"/>
              </w:rPr>
              <w:t>1861 （99.3%）</w:t>
            </w:r>
          </w:p>
        </w:tc>
        <w:tc>
          <w:tcPr>
            <w:tcW w:w="704" w:type="pct"/>
            <w:tcBorders>
              <w:top w:val="nil"/>
              <w:left w:val="nil"/>
              <w:bottom w:val="single" w:color="000000" w:sz="12" w:space="0"/>
              <w:right w:val="nil"/>
            </w:tcBorders>
            <w:shd w:val="clear" w:color="auto" w:fill="FFFFFF"/>
            <w:vAlign w:val="center"/>
          </w:tcPr>
          <w:p w14:paraId="4380B9BC">
            <w:pPr>
              <w:spacing w:line="240" w:lineRule="auto"/>
              <w:ind w:firstLine="320"/>
              <w:jc w:val="center"/>
              <w:rPr>
                <w:rFonts w:ascii="Times New Roman" w:hAnsi="Times New Roman" w:cs="Times New Roman"/>
                <w:sz w:val="16"/>
                <w:szCs w:val="20"/>
                <w14:ligatures w14:val="standardContextual"/>
              </w:rPr>
            </w:pPr>
          </w:p>
        </w:tc>
      </w:tr>
    </w:tbl>
    <w:p w14:paraId="1CE2DDA7">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变量筛选结果</w:t>
      </w:r>
    </w:p>
    <w:p w14:paraId="465E07F0">
      <w:pPr>
        <w:ind w:firstLine="210" w:firstLineChars="100"/>
        <w:rPr>
          <w:rFonts w:ascii="Times New Roman" w:hAnsi="Times New Roman" w:cs="Times New Roman"/>
        </w:rPr>
      </w:pPr>
      <w:r>
        <w:rPr>
          <w:rFonts w:hint="eastAsia" w:ascii="Times New Roman" w:hAnsi="Times New Roman" w:cs="Times New Roman"/>
        </w:rPr>
        <w:t>以纳入围手术期的全部变量16个的分析场景为例，</w:t>
      </w:r>
      <w:r>
        <w:rPr>
          <w:rFonts w:ascii="Times New Roman" w:hAnsi="Times New Roman" w:cs="Times New Roman"/>
        </w:rPr>
        <w:t>变量筛选流程如下：</w:t>
      </w:r>
      <w:r>
        <w:rPr>
          <w:rFonts w:hint="eastAsia" w:ascii="Times New Roman" w:hAnsi="Times New Roman" w:cs="Times New Roman"/>
        </w:rPr>
        <w:t>首先</w:t>
      </w:r>
      <w:r>
        <w:rPr>
          <w:rFonts w:ascii="Times New Roman" w:hAnsi="Times New Roman" w:cs="Times New Roman"/>
        </w:rPr>
        <w:t>采用 LASSO 回归分析进行变量初筛，最终筛选出回归系数非零的变量共13个，分别为：性别、BMI、吸烟史、饮酒史、糖尿病史、COPD病史、ASA分级、手术持续时间、术后是否入住ICU、是否发生非计划二次手术、术后 3 天内 CRP峰值、是否接受机械通气、多重耐药菌是否定植。。</w:t>
      </w:r>
      <w:r>
        <w:rPr>
          <w:rFonts w:hint="eastAsia" w:ascii="Times New Roman" w:hAnsi="Times New Roman" w:cs="Times New Roman"/>
        </w:rPr>
        <w:t>随后</w:t>
      </w:r>
      <w:r>
        <w:rPr>
          <w:rFonts w:ascii="Times New Roman" w:hAnsi="Times New Roman" w:cs="Times New Roman"/>
        </w:rPr>
        <w:t>，</w:t>
      </w:r>
      <w:r>
        <w:rPr>
          <w:rFonts w:hint="eastAsia" w:ascii="Times New Roman" w:hAnsi="Times New Roman" w:cs="Times New Roman"/>
        </w:rPr>
        <w:t>通过相关性热力图（图 1）对上述 13个变量进行多重共线性检验。由图 1 可见，“是否机械通气” 与 “术后是否入住 ICU” 存在强相关性，其原因在于 ICU 收治患者常需机械通气支持；结合 LASSO 回归系数对比（“是否机械通气” 系数为 0.41，“术后是否入住 ICU” 系数为 2.09），前者对结局的预测贡献更低，故剔除 “是否机械通气” 变量。</w:t>
      </w:r>
      <w:r>
        <w:rPr>
          <w:rFonts w:ascii="Times New Roman" w:hAnsi="Times New Roman" w:cs="Times New Roman"/>
        </w:rPr>
        <w:t>同理，吸烟史和饮酒史具有强相关性，移除“饮酒史”变量。</w:t>
      </w:r>
      <w:r>
        <w:rPr>
          <w:rFonts w:ascii="Times New Roman" w:hAnsi="Times New Roman" w:cs="Times New Roman"/>
        </w:rPr>
        <w:tab/>
      </w:r>
      <w:r>
        <w:rPr>
          <w:rFonts w:hint="eastAsia" w:ascii="Times New Roman" w:hAnsi="Times New Roman" w:cs="Times New Roman"/>
        </w:rPr>
        <w:t>此外，由于变量“COPD病史”暴露组样本量极小，不足以支撑</w:t>
      </w:r>
      <w:r>
        <w:rPr>
          <w:rFonts w:ascii="Times New Roman" w:hAnsi="Times New Roman" w:cs="Times New Roman"/>
        </w:rPr>
        <w:t>多因素logistic分析</w:t>
      </w:r>
      <w:r>
        <w:rPr>
          <w:rFonts w:hint="eastAsia" w:ascii="Times New Roman" w:hAnsi="Times New Roman" w:cs="Times New Roman"/>
        </w:rPr>
        <w:t>对变量效应的稳定估计，所以也移除。</w:t>
      </w:r>
      <w:r>
        <w:rPr>
          <w:rFonts w:ascii="Times New Roman" w:hAnsi="Times New Roman" w:cs="Times New Roman"/>
        </w:rPr>
        <w:t>将剩余</w:t>
      </w:r>
      <w:r>
        <w:rPr>
          <w:rFonts w:hint="eastAsia" w:ascii="Times New Roman" w:hAnsi="Times New Roman" w:cs="Times New Roman"/>
        </w:rPr>
        <w:t>的10个</w:t>
      </w:r>
      <w:r>
        <w:rPr>
          <w:rFonts w:ascii="Times New Roman" w:hAnsi="Times New Roman" w:cs="Times New Roman"/>
        </w:rPr>
        <w:t>变量进行多因素logistic分析，结果如表2所示。最终选取p值小于0.</w:t>
      </w:r>
      <w:r>
        <w:rPr>
          <w:rFonts w:hint="eastAsia" w:ascii="Times New Roman" w:hAnsi="Times New Roman" w:cs="Times New Roman"/>
        </w:rPr>
        <w:t>05</w:t>
      </w:r>
      <w:r>
        <w:rPr>
          <w:rFonts w:ascii="Times New Roman" w:hAnsi="Times New Roman" w:cs="Times New Roman"/>
        </w:rPr>
        <w:t>的变量</w:t>
      </w:r>
      <w:bookmarkStart w:id="6" w:name="_Hlk210996753"/>
      <w:bookmarkStart w:id="7" w:name="_Hlk218436769"/>
      <w:r>
        <w:rPr>
          <w:rFonts w:ascii="Times New Roman" w:hAnsi="Times New Roman" w:cs="Times New Roman"/>
        </w:rPr>
        <w:t>性别、ASA分级、手术持续时间、术后是否进</w:t>
      </w:r>
      <w:r>
        <w:rPr>
          <w:rFonts w:hint="eastAsia" w:ascii="Times New Roman" w:hAnsi="Times New Roman" w:cs="Times New Roman"/>
        </w:rPr>
        <w:t>ICU</w:t>
      </w:r>
      <w:r>
        <w:rPr>
          <w:rFonts w:ascii="Times New Roman" w:hAnsi="Times New Roman" w:cs="Times New Roman"/>
        </w:rPr>
        <w:t>、术后三天内的CRP最高含量、</w:t>
      </w:r>
      <w:bookmarkEnd w:id="6"/>
      <w:r>
        <w:rPr>
          <w:rFonts w:ascii="Times New Roman" w:hAnsi="Times New Roman" w:cs="Times New Roman"/>
        </w:rPr>
        <w:t>多重耐药菌是否定植共6个变量</w:t>
      </w:r>
      <w:bookmarkEnd w:id="7"/>
      <w:r>
        <w:rPr>
          <w:rFonts w:ascii="Times New Roman" w:hAnsi="Times New Roman" w:cs="Times New Roman"/>
        </w:rPr>
        <w:t>纳入</w:t>
      </w:r>
      <w:r>
        <w:rPr>
          <w:rFonts w:hint="eastAsia" w:ascii="Times New Roman" w:hAnsi="Times New Roman" w:cs="Times New Roman"/>
        </w:rPr>
        <w:t>机器学习模型用于PPI风险预测。此外，针对仅纳入13个术前变量的分析场景，经上述相同的变量筛选流程（LASSO初筛、共线性检验、多因素logistic回归分析），结果如表3所示，最终确定性别、ASA分级 分级、多重耐药菌是否定植为P&lt;0.05的独立预测变量，用于后续模型构建。</w:t>
      </w:r>
    </w:p>
    <w:p w14:paraId="20636BD7">
      <w:pPr>
        <w:ind w:firstLine="210" w:firstLineChars="100"/>
        <w:jc w:val="center"/>
        <w:rPr>
          <w:rFonts w:ascii="Times New Roman" w:hAnsi="Times New Roman" w:cs="Times New Roman"/>
        </w:rPr>
      </w:pPr>
      <w:r>
        <w:rPr>
          <w:rFonts w:ascii="Times New Roman" w:hAnsi="Times New Roman" w:cs="Times New Roman"/>
        </w:rPr>
        <w:drawing>
          <wp:inline distT="0" distB="0" distL="0" distR="0">
            <wp:extent cx="3375025" cy="2667000"/>
            <wp:effectExtent l="0" t="0" r="0" b="0"/>
            <wp:docPr id="19954210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1063" name="图片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3418" cy="2681315"/>
                    </a:xfrm>
                    <a:prstGeom prst="rect">
                      <a:avLst/>
                    </a:prstGeom>
                  </pic:spPr>
                </pic:pic>
              </a:graphicData>
            </a:graphic>
          </wp:inline>
        </w:drawing>
      </w:r>
    </w:p>
    <w:p w14:paraId="212CCEEE">
      <w:pPr>
        <w:ind w:firstLine="180" w:firstLineChars="100"/>
        <w:jc w:val="center"/>
        <w:rPr>
          <w:rFonts w:ascii="Times New Roman" w:hAnsi="Times New Roman" w:cs="Times New Roman"/>
          <w:sz w:val="18"/>
          <w:szCs w:val="20"/>
        </w:rPr>
      </w:pPr>
      <w:r>
        <w:rPr>
          <w:rFonts w:ascii="Times New Roman" w:hAnsi="Times New Roman" w:cs="Times New Roman"/>
          <w:sz w:val="18"/>
          <w:szCs w:val="20"/>
        </w:rPr>
        <w:t xml:space="preserve">图1 </w:t>
      </w:r>
      <w:r>
        <w:rPr>
          <w:rFonts w:hint="eastAsia" w:ascii="Times New Roman" w:hAnsi="Times New Roman" w:cs="Times New Roman"/>
          <w:sz w:val="18"/>
          <w:szCs w:val="20"/>
        </w:rPr>
        <w:t>围手术期</w:t>
      </w:r>
      <w:r>
        <w:rPr>
          <w:rFonts w:ascii="Times New Roman" w:hAnsi="Times New Roman" w:cs="Times New Roman"/>
          <w:sz w:val="18"/>
          <w:szCs w:val="20"/>
        </w:rPr>
        <w:t>变量相关性热力图（彩图）</w:t>
      </w:r>
    </w:p>
    <w:p w14:paraId="7DAE9A84">
      <w:pPr>
        <w:ind w:firstLine="360"/>
        <w:jc w:val="center"/>
        <w:rPr>
          <w:rFonts w:hint="eastAsia" w:ascii="Times New Roman" w:hAnsi="Times New Roman" w:cs="Times New Roman"/>
          <w:sz w:val="24"/>
          <w:szCs w:val="24"/>
        </w:rPr>
      </w:pPr>
      <w:r>
        <w:rPr>
          <w:rFonts w:ascii="Times New Roman" w:hAnsi="Times New Roman" w:cs="Times New Roman"/>
          <w:sz w:val="18"/>
          <w:szCs w:val="20"/>
        </w:rPr>
        <w:t xml:space="preserve">Fig.1 Heatmap of </w:t>
      </w:r>
      <w:r>
        <w:rPr>
          <w:rFonts w:hint="eastAsia" w:ascii="Times New Roman" w:hAnsi="Times New Roman" w:cs="Times New Roman"/>
          <w:sz w:val="18"/>
          <w:szCs w:val="20"/>
        </w:rPr>
        <w:t>Perioperative</w:t>
      </w:r>
      <w:r>
        <w:rPr>
          <w:rFonts w:ascii="Times New Roman" w:hAnsi="Times New Roman" w:cs="Times New Roman"/>
          <w:sz w:val="18"/>
          <w:szCs w:val="20"/>
        </w:rPr>
        <w:t xml:space="preserve"> Variable Correlations</w:t>
      </w:r>
    </w:p>
    <w:p w14:paraId="2E6AC446">
      <w:pPr>
        <w:ind w:firstLine="180" w:firstLineChars="100"/>
        <w:jc w:val="center"/>
        <w:rPr>
          <w:rFonts w:ascii="Times New Roman" w:hAnsi="Times New Roman" w:cs="Times New Roman"/>
          <w:sz w:val="18"/>
          <w:szCs w:val="20"/>
        </w:rPr>
      </w:pPr>
      <w:r>
        <w:rPr>
          <w:rFonts w:ascii="Times New Roman" w:hAnsi="Times New Roman" w:cs="Times New Roman"/>
          <w:sz w:val="18"/>
          <w:szCs w:val="20"/>
        </w:rPr>
        <w:t xml:space="preserve">表2 </w:t>
      </w:r>
      <w:r>
        <w:rPr>
          <w:rFonts w:hint="eastAsia" w:ascii="Times New Roman" w:hAnsi="Times New Roman" w:cs="Times New Roman"/>
          <w:sz w:val="18"/>
          <w:szCs w:val="20"/>
        </w:rPr>
        <w:t>围手术期</w:t>
      </w:r>
      <w:r>
        <w:rPr>
          <w:rFonts w:ascii="Times New Roman" w:hAnsi="Times New Roman" w:cs="Times New Roman"/>
          <w:sz w:val="18"/>
          <w:szCs w:val="20"/>
        </w:rPr>
        <w:t>变量多因素logistic分析结果</w:t>
      </w:r>
    </w:p>
    <w:p w14:paraId="50F870E5">
      <w:pPr>
        <w:ind w:firstLine="180" w:firstLineChars="100"/>
        <w:jc w:val="center"/>
        <w:rPr>
          <w:rFonts w:ascii="Times New Roman" w:hAnsi="Times New Roman" w:cs="Times New Roman"/>
          <w:sz w:val="18"/>
          <w:szCs w:val="20"/>
        </w:rPr>
      </w:pPr>
      <w:r>
        <w:rPr>
          <w:rFonts w:hint="eastAsia" w:ascii="Times New Roman" w:hAnsi="Times New Roman" w:cs="Times New Roman"/>
          <w:sz w:val="18"/>
          <w:szCs w:val="20"/>
        </w:rPr>
        <w:t>Table 2 Results of Multivariate Logistic Regression Analysis of Perioperative Variables</w:t>
      </w:r>
    </w:p>
    <w:tbl>
      <w:tblPr>
        <w:tblStyle w:val="20"/>
        <w:tblW w:w="45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1037"/>
        <w:gridCol w:w="1366"/>
        <w:gridCol w:w="1366"/>
        <w:gridCol w:w="1808"/>
      </w:tblGrid>
      <w:tr w14:paraId="1F91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single" w:color="000000" w:sz="12" w:space="0"/>
              <w:left w:val="nil"/>
              <w:bottom w:val="single" w:color="000000" w:sz="4" w:space="0"/>
              <w:right w:val="nil"/>
              <w:tl2br w:val="nil"/>
            </w:tcBorders>
            <w:shd w:val="clear" w:color="auto" w:fill="FFFFFF"/>
            <w:vAlign w:val="center"/>
          </w:tcPr>
          <w:p w14:paraId="660FD542">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变量</w:t>
            </w:r>
          </w:p>
        </w:tc>
        <w:tc>
          <w:tcPr>
            <w:tcW w:w="668" w:type="pct"/>
            <w:tcBorders>
              <w:top w:val="single" w:color="000000" w:sz="12" w:space="0"/>
              <w:left w:val="nil"/>
              <w:bottom w:val="single" w:color="000000" w:sz="4" w:space="0"/>
              <w:right w:val="nil"/>
            </w:tcBorders>
            <w:shd w:val="clear" w:color="auto" w:fill="FFFFFF"/>
            <w:vAlign w:val="center"/>
          </w:tcPr>
          <w:p w14:paraId="08753D8A">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回归系数</w:t>
            </w:r>
          </w:p>
        </w:tc>
        <w:tc>
          <w:tcPr>
            <w:tcW w:w="880" w:type="pct"/>
            <w:tcBorders>
              <w:top w:val="single" w:color="auto" w:sz="12" w:space="0"/>
              <w:left w:val="nil"/>
              <w:bottom w:val="single" w:color="auto" w:sz="4" w:space="0"/>
              <w:right w:val="nil"/>
            </w:tcBorders>
          </w:tcPr>
          <w:p w14:paraId="14C69494">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OR</w:t>
            </w:r>
          </w:p>
        </w:tc>
        <w:tc>
          <w:tcPr>
            <w:tcW w:w="880" w:type="pct"/>
            <w:tcBorders>
              <w:top w:val="single" w:color="000000" w:sz="12" w:space="0"/>
              <w:left w:val="nil"/>
              <w:bottom w:val="single" w:color="000000" w:sz="4" w:space="0"/>
              <w:right w:val="nil"/>
            </w:tcBorders>
            <w:shd w:val="clear" w:color="auto" w:fill="FFFFFF"/>
            <w:vAlign w:val="center"/>
          </w:tcPr>
          <w:p w14:paraId="213EA325">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P值</w:t>
            </w:r>
          </w:p>
        </w:tc>
        <w:tc>
          <w:tcPr>
            <w:tcW w:w="1165" w:type="pct"/>
            <w:tcBorders>
              <w:top w:val="single" w:color="000000" w:sz="12" w:space="0"/>
              <w:left w:val="nil"/>
              <w:bottom w:val="single" w:color="000000" w:sz="4" w:space="0"/>
              <w:right w:val="nil"/>
            </w:tcBorders>
            <w:shd w:val="clear" w:color="auto" w:fill="FFFFFF"/>
            <w:vAlign w:val="center"/>
          </w:tcPr>
          <w:p w14:paraId="7B0590D0">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95% 置信区间</w:t>
            </w:r>
          </w:p>
        </w:tc>
      </w:tr>
      <w:tr w14:paraId="44A8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single" w:color="000000" w:sz="4" w:space="0"/>
              <w:left w:val="nil"/>
              <w:bottom w:val="nil"/>
              <w:right w:val="nil"/>
            </w:tcBorders>
            <w:shd w:val="clear" w:color="auto" w:fill="FFFFFF"/>
            <w:vAlign w:val="center"/>
          </w:tcPr>
          <w:p w14:paraId="2B402036">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术后是否入住ICU</w:t>
            </w:r>
          </w:p>
        </w:tc>
        <w:tc>
          <w:tcPr>
            <w:tcW w:w="668" w:type="pct"/>
            <w:tcBorders>
              <w:top w:val="single" w:color="000000" w:sz="4" w:space="0"/>
              <w:left w:val="nil"/>
              <w:bottom w:val="nil"/>
              <w:right w:val="nil"/>
            </w:tcBorders>
            <w:shd w:val="clear" w:color="auto" w:fill="FFFFFF"/>
            <w:vAlign w:val="center"/>
          </w:tcPr>
          <w:p w14:paraId="562079DA">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4.</w:t>
            </w:r>
            <w:r>
              <w:rPr>
                <w:rFonts w:hint="eastAsia" w:ascii="Times New Roman" w:hAnsi="Times New Roman" w:cs="Times New Roman"/>
                <w:sz w:val="18"/>
                <w:szCs w:val="18"/>
              </w:rPr>
              <w:t>57</w:t>
            </w:r>
          </w:p>
        </w:tc>
        <w:tc>
          <w:tcPr>
            <w:tcW w:w="880" w:type="pct"/>
            <w:tcBorders>
              <w:top w:val="single" w:color="auto" w:sz="4" w:space="0"/>
              <w:left w:val="nil"/>
              <w:bottom w:val="nil"/>
              <w:right w:val="nil"/>
            </w:tcBorders>
          </w:tcPr>
          <w:p w14:paraId="36EF8FEA">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96.23</w:t>
            </w:r>
          </w:p>
        </w:tc>
        <w:tc>
          <w:tcPr>
            <w:tcW w:w="880" w:type="pct"/>
            <w:tcBorders>
              <w:top w:val="single" w:color="000000" w:sz="4" w:space="0"/>
              <w:left w:val="nil"/>
              <w:bottom w:val="nil"/>
              <w:right w:val="nil"/>
            </w:tcBorders>
            <w:shd w:val="clear" w:color="auto" w:fill="FFFFFF"/>
            <w:vAlign w:val="center"/>
          </w:tcPr>
          <w:p w14:paraId="1F70D72E">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single" w:color="000000" w:sz="4" w:space="0"/>
              <w:left w:val="nil"/>
              <w:bottom w:val="nil"/>
              <w:right w:val="nil"/>
            </w:tcBorders>
            <w:shd w:val="clear" w:color="auto" w:fill="FFFFFF"/>
            <w:vAlign w:val="center"/>
          </w:tcPr>
          <w:p w14:paraId="46FBCB0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4</w:t>
            </w:r>
            <w:r>
              <w:rPr>
                <w:rFonts w:hint="eastAsia" w:ascii="Times New Roman" w:hAnsi="Times New Roman" w:cs="Times New Roman"/>
                <w:sz w:val="18"/>
                <w:szCs w:val="18"/>
              </w:rPr>
              <w:t>3</w:t>
            </w:r>
            <w:r>
              <w:rPr>
                <w:rFonts w:ascii="Times New Roman" w:hAnsi="Times New Roman" w:cs="Times New Roman"/>
                <w:sz w:val="18"/>
                <w:szCs w:val="18"/>
              </w:rPr>
              <w:t>.</w:t>
            </w:r>
            <w:r>
              <w:rPr>
                <w:rFonts w:hint="eastAsia" w:ascii="Times New Roman" w:hAnsi="Times New Roman" w:cs="Times New Roman"/>
                <w:sz w:val="18"/>
                <w:szCs w:val="18"/>
              </w:rPr>
              <w:t>77</w:t>
            </w:r>
            <w:r>
              <w:rPr>
                <w:rFonts w:ascii="Times New Roman" w:hAnsi="Times New Roman" w:cs="Times New Roman"/>
                <w:sz w:val="18"/>
                <w:szCs w:val="18"/>
              </w:rPr>
              <w:t xml:space="preserve"> – 2</w:t>
            </w:r>
            <w:r>
              <w:rPr>
                <w:rFonts w:hint="eastAsia" w:ascii="Times New Roman" w:hAnsi="Times New Roman" w:cs="Times New Roman"/>
                <w:sz w:val="18"/>
                <w:szCs w:val="18"/>
              </w:rPr>
              <w:t>11</w:t>
            </w:r>
            <w:r>
              <w:rPr>
                <w:rFonts w:ascii="Times New Roman" w:hAnsi="Times New Roman" w:cs="Times New Roman"/>
                <w:sz w:val="18"/>
                <w:szCs w:val="18"/>
              </w:rPr>
              <w:t>.</w:t>
            </w:r>
            <w:r>
              <w:rPr>
                <w:rFonts w:hint="eastAsia" w:ascii="Times New Roman" w:hAnsi="Times New Roman" w:cs="Times New Roman"/>
                <w:sz w:val="18"/>
                <w:szCs w:val="18"/>
              </w:rPr>
              <w:t>53</w:t>
            </w:r>
          </w:p>
        </w:tc>
      </w:tr>
      <w:tr w14:paraId="466F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010636CC">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性别</w:t>
            </w:r>
          </w:p>
        </w:tc>
        <w:tc>
          <w:tcPr>
            <w:tcW w:w="668" w:type="pct"/>
            <w:tcBorders>
              <w:top w:val="nil"/>
              <w:left w:val="nil"/>
              <w:bottom w:val="nil"/>
              <w:right w:val="nil"/>
            </w:tcBorders>
            <w:shd w:val="clear" w:color="auto" w:fill="FFFFFF"/>
            <w:vAlign w:val="center"/>
          </w:tcPr>
          <w:p w14:paraId="6670DC0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3.5</w:t>
            </w:r>
            <w:r>
              <w:rPr>
                <w:rFonts w:hint="eastAsia" w:ascii="Times New Roman" w:hAnsi="Times New Roman" w:cs="Times New Roman"/>
                <w:sz w:val="18"/>
                <w:szCs w:val="18"/>
              </w:rPr>
              <w:t>0</w:t>
            </w:r>
          </w:p>
        </w:tc>
        <w:tc>
          <w:tcPr>
            <w:tcW w:w="880" w:type="pct"/>
            <w:tcBorders>
              <w:top w:val="nil"/>
              <w:left w:val="nil"/>
              <w:bottom w:val="nil"/>
              <w:right w:val="nil"/>
            </w:tcBorders>
          </w:tcPr>
          <w:p w14:paraId="12B5703B">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3</w:t>
            </w:r>
            <w:r>
              <w:rPr>
                <w:rFonts w:hint="eastAsia" w:ascii="Times New Roman" w:hAnsi="Times New Roman" w:cs="Times New Roman"/>
                <w:sz w:val="18"/>
                <w:szCs w:val="18"/>
              </w:rPr>
              <w:t>3.17</w:t>
            </w:r>
          </w:p>
        </w:tc>
        <w:tc>
          <w:tcPr>
            <w:tcW w:w="880" w:type="pct"/>
            <w:tcBorders>
              <w:top w:val="nil"/>
              <w:left w:val="nil"/>
              <w:bottom w:val="nil"/>
              <w:right w:val="nil"/>
            </w:tcBorders>
            <w:shd w:val="clear" w:color="auto" w:fill="FFFFFF"/>
            <w:vAlign w:val="center"/>
          </w:tcPr>
          <w:p w14:paraId="559F4027">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596D054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4</w:t>
            </w:r>
            <w:r>
              <w:rPr>
                <w:rFonts w:ascii="Times New Roman" w:hAnsi="Times New Roman" w:cs="Times New Roman"/>
                <w:sz w:val="18"/>
                <w:szCs w:val="18"/>
              </w:rPr>
              <w:t>.</w:t>
            </w:r>
            <w:r>
              <w:rPr>
                <w:rFonts w:hint="eastAsia" w:ascii="Times New Roman" w:hAnsi="Times New Roman" w:cs="Times New Roman"/>
                <w:sz w:val="18"/>
                <w:szCs w:val="18"/>
              </w:rPr>
              <w:t>74</w:t>
            </w:r>
            <w:r>
              <w:rPr>
                <w:rFonts w:ascii="Times New Roman" w:hAnsi="Times New Roman" w:cs="Times New Roman"/>
                <w:sz w:val="18"/>
                <w:szCs w:val="18"/>
              </w:rPr>
              <w:t xml:space="preserve"> – </w:t>
            </w:r>
            <w:r>
              <w:rPr>
                <w:rFonts w:hint="eastAsia" w:ascii="Times New Roman" w:hAnsi="Times New Roman" w:cs="Times New Roman"/>
                <w:sz w:val="18"/>
                <w:szCs w:val="18"/>
              </w:rPr>
              <w:t>74.63</w:t>
            </w:r>
          </w:p>
        </w:tc>
      </w:tr>
      <w:tr w14:paraId="7C4B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49385858">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ASA分级</w:t>
            </w:r>
          </w:p>
        </w:tc>
        <w:tc>
          <w:tcPr>
            <w:tcW w:w="668" w:type="pct"/>
            <w:tcBorders>
              <w:top w:val="nil"/>
              <w:left w:val="nil"/>
              <w:bottom w:val="nil"/>
              <w:right w:val="nil"/>
            </w:tcBorders>
            <w:shd w:val="clear" w:color="auto" w:fill="FFFFFF"/>
            <w:vAlign w:val="center"/>
          </w:tcPr>
          <w:p w14:paraId="11A209C1">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3.</w:t>
            </w:r>
            <w:r>
              <w:rPr>
                <w:rFonts w:hint="eastAsia" w:ascii="Times New Roman" w:hAnsi="Times New Roman" w:cs="Times New Roman"/>
                <w:sz w:val="18"/>
                <w:szCs w:val="18"/>
              </w:rPr>
              <w:t>23</w:t>
            </w:r>
          </w:p>
        </w:tc>
        <w:tc>
          <w:tcPr>
            <w:tcW w:w="880" w:type="pct"/>
            <w:tcBorders>
              <w:top w:val="nil"/>
              <w:left w:val="nil"/>
              <w:bottom w:val="nil"/>
              <w:right w:val="nil"/>
            </w:tcBorders>
          </w:tcPr>
          <w:p w14:paraId="105CE62A">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25.18</w:t>
            </w:r>
          </w:p>
        </w:tc>
        <w:tc>
          <w:tcPr>
            <w:tcW w:w="880" w:type="pct"/>
            <w:tcBorders>
              <w:top w:val="nil"/>
              <w:left w:val="nil"/>
              <w:bottom w:val="nil"/>
              <w:right w:val="nil"/>
            </w:tcBorders>
            <w:shd w:val="clear" w:color="auto" w:fill="FFFFFF"/>
            <w:vAlign w:val="center"/>
          </w:tcPr>
          <w:p w14:paraId="56F6A3CF">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4EF73223">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13.74</w:t>
            </w:r>
            <w:r>
              <w:rPr>
                <w:rFonts w:ascii="Times New Roman" w:hAnsi="Times New Roman" w:cs="Times New Roman"/>
                <w:sz w:val="18"/>
                <w:szCs w:val="18"/>
              </w:rPr>
              <w:t xml:space="preserve"> – </w:t>
            </w:r>
            <w:r>
              <w:rPr>
                <w:rFonts w:hint="eastAsia" w:ascii="Times New Roman" w:hAnsi="Times New Roman" w:cs="Times New Roman"/>
                <w:sz w:val="18"/>
                <w:szCs w:val="18"/>
              </w:rPr>
              <w:t>46.15</w:t>
            </w:r>
          </w:p>
        </w:tc>
      </w:tr>
      <w:tr w14:paraId="2A4A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6DB559B9">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手术持续时间</w:t>
            </w:r>
          </w:p>
        </w:tc>
        <w:tc>
          <w:tcPr>
            <w:tcW w:w="668" w:type="pct"/>
            <w:tcBorders>
              <w:top w:val="nil"/>
              <w:left w:val="nil"/>
              <w:bottom w:val="nil"/>
              <w:right w:val="nil"/>
            </w:tcBorders>
            <w:shd w:val="clear" w:color="auto" w:fill="FFFFFF"/>
            <w:vAlign w:val="center"/>
          </w:tcPr>
          <w:p w14:paraId="613FF5D5">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2.</w:t>
            </w:r>
            <w:r>
              <w:rPr>
                <w:rFonts w:hint="eastAsia" w:ascii="Times New Roman" w:hAnsi="Times New Roman" w:cs="Times New Roman"/>
                <w:sz w:val="18"/>
                <w:szCs w:val="18"/>
              </w:rPr>
              <w:t>89</w:t>
            </w:r>
          </w:p>
        </w:tc>
        <w:tc>
          <w:tcPr>
            <w:tcW w:w="880" w:type="pct"/>
            <w:tcBorders>
              <w:top w:val="nil"/>
              <w:left w:val="nil"/>
              <w:bottom w:val="nil"/>
              <w:right w:val="nil"/>
            </w:tcBorders>
          </w:tcPr>
          <w:p w14:paraId="6DC6CE4F">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17.91</w:t>
            </w:r>
          </w:p>
        </w:tc>
        <w:tc>
          <w:tcPr>
            <w:tcW w:w="880" w:type="pct"/>
            <w:tcBorders>
              <w:top w:val="nil"/>
              <w:left w:val="nil"/>
              <w:bottom w:val="nil"/>
              <w:right w:val="nil"/>
            </w:tcBorders>
            <w:shd w:val="clear" w:color="auto" w:fill="FFFFFF"/>
            <w:vAlign w:val="center"/>
          </w:tcPr>
          <w:p w14:paraId="7EE5960B">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48BA332F">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6.11</w:t>
            </w:r>
            <w:r>
              <w:rPr>
                <w:rFonts w:ascii="Times New Roman" w:hAnsi="Times New Roman" w:cs="Times New Roman"/>
                <w:sz w:val="18"/>
                <w:szCs w:val="18"/>
              </w:rPr>
              <w:t xml:space="preserve"> – </w:t>
            </w:r>
            <w:r>
              <w:rPr>
                <w:rFonts w:hint="eastAsia" w:ascii="Times New Roman" w:hAnsi="Times New Roman" w:cs="Times New Roman"/>
                <w:sz w:val="18"/>
                <w:szCs w:val="18"/>
              </w:rPr>
              <w:t>52.48</w:t>
            </w:r>
          </w:p>
        </w:tc>
      </w:tr>
      <w:tr w14:paraId="2637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04C739ED">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多重耐药菌定植</w:t>
            </w:r>
          </w:p>
        </w:tc>
        <w:tc>
          <w:tcPr>
            <w:tcW w:w="668" w:type="pct"/>
            <w:tcBorders>
              <w:top w:val="nil"/>
              <w:left w:val="nil"/>
              <w:bottom w:val="nil"/>
              <w:right w:val="nil"/>
            </w:tcBorders>
            <w:shd w:val="clear" w:color="auto" w:fill="FFFFFF"/>
            <w:vAlign w:val="center"/>
          </w:tcPr>
          <w:p w14:paraId="6A05DB0A">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2.2</w:t>
            </w:r>
            <w:r>
              <w:rPr>
                <w:rFonts w:hint="eastAsia" w:ascii="Times New Roman" w:hAnsi="Times New Roman" w:cs="Times New Roman"/>
                <w:sz w:val="18"/>
                <w:szCs w:val="18"/>
              </w:rPr>
              <w:t>2</w:t>
            </w:r>
          </w:p>
        </w:tc>
        <w:tc>
          <w:tcPr>
            <w:tcW w:w="880" w:type="pct"/>
            <w:tcBorders>
              <w:top w:val="nil"/>
              <w:left w:val="nil"/>
              <w:bottom w:val="nil"/>
              <w:right w:val="nil"/>
            </w:tcBorders>
          </w:tcPr>
          <w:p w14:paraId="7DB0F355">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9.1</w:t>
            </w:r>
            <w:r>
              <w:rPr>
                <w:rFonts w:hint="eastAsia" w:ascii="Times New Roman" w:hAnsi="Times New Roman" w:cs="Times New Roman"/>
                <w:sz w:val="18"/>
                <w:szCs w:val="18"/>
              </w:rPr>
              <w:t>9</w:t>
            </w:r>
          </w:p>
        </w:tc>
        <w:tc>
          <w:tcPr>
            <w:tcW w:w="880" w:type="pct"/>
            <w:tcBorders>
              <w:top w:val="nil"/>
              <w:left w:val="nil"/>
              <w:bottom w:val="nil"/>
              <w:right w:val="nil"/>
            </w:tcBorders>
            <w:shd w:val="clear" w:color="auto" w:fill="FFFFFF"/>
            <w:vAlign w:val="center"/>
          </w:tcPr>
          <w:p w14:paraId="087408E1">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66856319">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4.</w:t>
            </w:r>
            <w:r>
              <w:rPr>
                <w:rFonts w:hint="eastAsia" w:ascii="Times New Roman" w:hAnsi="Times New Roman" w:cs="Times New Roman"/>
                <w:sz w:val="18"/>
                <w:szCs w:val="18"/>
              </w:rPr>
              <w:t>72</w:t>
            </w:r>
            <w:r>
              <w:rPr>
                <w:rFonts w:ascii="Times New Roman" w:hAnsi="Times New Roman" w:cs="Times New Roman"/>
                <w:sz w:val="18"/>
                <w:szCs w:val="18"/>
              </w:rPr>
              <w:t xml:space="preserve"> – 17.</w:t>
            </w:r>
            <w:r>
              <w:rPr>
                <w:rFonts w:hint="eastAsia" w:ascii="Times New Roman" w:hAnsi="Times New Roman" w:cs="Times New Roman"/>
                <w:sz w:val="18"/>
                <w:szCs w:val="18"/>
              </w:rPr>
              <w:t>89</w:t>
            </w:r>
          </w:p>
        </w:tc>
      </w:tr>
      <w:tr w14:paraId="7B09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3E4B2EE1">
            <w:pPr>
              <w:spacing w:line="240" w:lineRule="auto"/>
              <w:ind w:firstLine="0" w:firstLineChars="0"/>
              <w:jc w:val="center"/>
              <w:rPr>
                <w:rFonts w:ascii="Times New Roman" w:hAnsi="Times New Roman" w:cs="Times New Roman"/>
                <w:b/>
                <w:sz w:val="18"/>
                <w:szCs w:val="18"/>
              </w:rPr>
            </w:pPr>
            <w:bookmarkStart w:id="8" w:name="_Hlk217129609"/>
            <w:r>
              <w:rPr>
                <w:rFonts w:ascii="Times New Roman" w:hAnsi="Times New Roman" w:cs="Times New Roman"/>
                <w:b/>
                <w:sz w:val="18"/>
                <w:szCs w:val="18"/>
              </w:rPr>
              <w:t>术后CRP峰值</w:t>
            </w:r>
            <w:bookmarkEnd w:id="8"/>
          </w:p>
        </w:tc>
        <w:tc>
          <w:tcPr>
            <w:tcW w:w="668" w:type="pct"/>
            <w:tcBorders>
              <w:top w:val="nil"/>
              <w:left w:val="nil"/>
              <w:bottom w:val="nil"/>
              <w:right w:val="nil"/>
            </w:tcBorders>
            <w:shd w:val="clear" w:color="auto" w:fill="FFFFFF"/>
            <w:vAlign w:val="center"/>
          </w:tcPr>
          <w:p w14:paraId="65523EA9">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20</w:t>
            </w:r>
          </w:p>
        </w:tc>
        <w:tc>
          <w:tcPr>
            <w:tcW w:w="880" w:type="pct"/>
            <w:tcBorders>
              <w:top w:val="nil"/>
              <w:left w:val="nil"/>
              <w:bottom w:val="nil"/>
              <w:right w:val="nil"/>
            </w:tcBorders>
          </w:tcPr>
          <w:p w14:paraId="1F3AB9D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22</w:t>
            </w:r>
          </w:p>
        </w:tc>
        <w:tc>
          <w:tcPr>
            <w:tcW w:w="880" w:type="pct"/>
            <w:tcBorders>
              <w:top w:val="nil"/>
              <w:left w:val="nil"/>
              <w:bottom w:val="nil"/>
              <w:right w:val="nil"/>
            </w:tcBorders>
            <w:shd w:val="clear" w:color="auto" w:fill="FFFFFF"/>
            <w:vAlign w:val="center"/>
          </w:tcPr>
          <w:p w14:paraId="2AF7CB17">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&lt;0.05</w:t>
            </w:r>
          </w:p>
        </w:tc>
        <w:tc>
          <w:tcPr>
            <w:tcW w:w="1165" w:type="pct"/>
            <w:tcBorders>
              <w:top w:val="nil"/>
              <w:left w:val="nil"/>
              <w:bottom w:val="nil"/>
              <w:right w:val="nil"/>
            </w:tcBorders>
            <w:shd w:val="clear" w:color="auto" w:fill="FFFFFF"/>
            <w:vAlign w:val="center"/>
          </w:tcPr>
          <w:p w14:paraId="7F36F95C">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1.0</w:t>
            </w:r>
            <w:r>
              <w:rPr>
                <w:rFonts w:hint="eastAsia" w:ascii="Times New Roman" w:hAnsi="Times New Roman" w:cs="Times New Roman"/>
                <w:sz w:val="18"/>
                <w:szCs w:val="18"/>
              </w:rPr>
              <w:t>3</w:t>
            </w:r>
            <w:r>
              <w:rPr>
                <w:rFonts w:ascii="Times New Roman" w:hAnsi="Times New Roman" w:cs="Times New Roman"/>
                <w:sz w:val="18"/>
                <w:szCs w:val="18"/>
              </w:rPr>
              <w:t xml:space="preserve"> – 1.</w:t>
            </w:r>
            <w:r>
              <w:rPr>
                <w:rFonts w:hint="eastAsia" w:ascii="Times New Roman" w:hAnsi="Times New Roman" w:cs="Times New Roman"/>
                <w:sz w:val="18"/>
                <w:szCs w:val="18"/>
              </w:rPr>
              <w:t>46</w:t>
            </w:r>
          </w:p>
        </w:tc>
      </w:tr>
      <w:tr w14:paraId="1EF6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tcPr>
          <w:p w14:paraId="2A27CF28">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吸烟史</w:t>
            </w:r>
          </w:p>
        </w:tc>
        <w:tc>
          <w:tcPr>
            <w:tcW w:w="668" w:type="pct"/>
            <w:tcBorders>
              <w:top w:val="nil"/>
              <w:left w:val="nil"/>
              <w:bottom w:val="nil"/>
              <w:right w:val="nil"/>
            </w:tcBorders>
            <w:shd w:val="clear" w:color="auto" w:fill="FFFFFF"/>
          </w:tcPr>
          <w:p w14:paraId="5442F36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0.2</w:t>
            </w:r>
            <w:r>
              <w:rPr>
                <w:rFonts w:hint="eastAsia" w:ascii="Times New Roman" w:hAnsi="Times New Roman" w:cs="Times New Roman"/>
                <w:sz w:val="18"/>
                <w:szCs w:val="18"/>
              </w:rPr>
              <w:t>8</w:t>
            </w:r>
          </w:p>
        </w:tc>
        <w:tc>
          <w:tcPr>
            <w:tcW w:w="880" w:type="pct"/>
            <w:tcBorders>
              <w:top w:val="nil"/>
              <w:left w:val="nil"/>
              <w:bottom w:val="nil"/>
              <w:right w:val="nil"/>
            </w:tcBorders>
          </w:tcPr>
          <w:p w14:paraId="27803692">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1.3</w:t>
            </w:r>
            <w:r>
              <w:rPr>
                <w:rFonts w:hint="eastAsia" w:ascii="Times New Roman" w:hAnsi="Times New Roman" w:cs="Times New Roman"/>
                <w:sz w:val="18"/>
                <w:szCs w:val="18"/>
              </w:rPr>
              <w:t>3</w:t>
            </w:r>
          </w:p>
        </w:tc>
        <w:tc>
          <w:tcPr>
            <w:tcW w:w="880" w:type="pct"/>
            <w:tcBorders>
              <w:top w:val="nil"/>
              <w:left w:val="nil"/>
              <w:bottom w:val="nil"/>
              <w:right w:val="nil"/>
            </w:tcBorders>
            <w:shd w:val="clear" w:color="auto" w:fill="FFFFFF"/>
          </w:tcPr>
          <w:p w14:paraId="7CBA407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0.1</w:t>
            </w:r>
            <w:r>
              <w:rPr>
                <w:rFonts w:hint="eastAsia" w:ascii="Times New Roman" w:hAnsi="Times New Roman" w:cs="Times New Roman"/>
                <w:sz w:val="18"/>
                <w:szCs w:val="18"/>
              </w:rPr>
              <w:t>1</w:t>
            </w:r>
          </w:p>
        </w:tc>
        <w:tc>
          <w:tcPr>
            <w:tcW w:w="1165" w:type="pct"/>
            <w:tcBorders>
              <w:top w:val="nil"/>
              <w:left w:val="nil"/>
              <w:bottom w:val="nil"/>
              <w:right w:val="nil"/>
            </w:tcBorders>
            <w:shd w:val="clear" w:color="auto" w:fill="FFFFFF"/>
          </w:tcPr>
          <w:p w14:paraId="10476B9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0.9</w:t>
            </w:r>
            <w:r>
              <w:rPr>
                <w:rFonts w:hint="eastAsia" w:ascii="Times New Roman" w:hAnsi="Times New Roman" w:cs="Times New Roman"/>
                <w:sz w:val="18"/>
                <w:szCs w:val="18"/>
              </w:rPr>
              <w:t>4</w:t>
            </w:r>
            <w:r>
              <w:rPr>
                <w:rFonts w:ascii="Times New Roman" w:hAnsi="Times New Roman" w:cs="Times New Roman"/>
                <w:sz w:val="18"/>
                <w:szCs w:val="18"/>
              </w:rPr>
              <w:t xml:space="preserve"> – 1.8</w:t>
            </w:r>
            <w:r>
              <w:rPr>
                <w:rFonts w:hint="eastAsia" w:ascii="Times New Roman" w:hAnsi="Times New Roman" w:cs="Times New Roman"/>
                <w:sz w:val="18"/>
                <w:szCs w:val="18"/>
              </w:rPr>
              <w:t>7</w:t>
            </w:r>
          </w:p>
        </w:tc>
      </w:tr>
      <w:tr w14:paraId="3C73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75859DE4">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BMI</w:t>
            </w:r>
          </w:p>
        </w:tc>
        <w:tc>
          <w:tcPr>
            <w:tcW w:w="668" w:type="pct"/>
            <w:tcBorders>
              <w:top w:val="nil"/>
              <w:left w:val="nil"/>
              <w:bottom w:val="nil"/>
              <w:right w:val="nil"/>
            </w:tcBorders>
            <w:shd w:val="clear" w:color="auto" w:fill="FFFFFF"/>
            <w:vAlign w:val="center"/>
          </w:tcPr>
          <w:p w14:paraId="22072319">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12</w:t>
            </w:r>
          </w:p>
        </w:tc>
        <w:tc>
          <w:tcPr>
            <w:tcW w:w="880" w:type="pct"/>
            <w:tcBorders>
              <w:top w:val="nil"/>
              <w:left w:val="nil"/>
              <w:bottom w:val="nil"/>
              <w:right w:val="nil"/>
            </w:tcBorders>
          </w:tcPr>
          <w:p w14:paraId="06DA45E2">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13</w:t>
            </w:r>
          </w:p>
        </w:tc>
        <w:tc>
          <w:tcPr>
            <w:tcW w:w="880" w:type="pct"/>
            <w:tcBorders>
              <w:top w:val="nil"/>
              <w:left w:val="nil"/>
              <w:bottom w:val="nil"/>
              <w:right w:val="nil"/>
            </w:tcBorders>
            <w:shd w:val="clear" w:color="auto" w:fill="FFFFFF"/>
            <w:vAlign w:val="center"/>
          </w:tcPr>
          <w:p w14:paraId="7EB7B3BB">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0.3</w:t>
            </w:r>
            <w:r>
              <w:rPr>
                <w:rFonts w:hint="eastAsia" w:ascii="Times New Roman" w:hAnsi="Times New Roman" w:cs="Times New Roman"/>
                <w:sz w:val="18"/>
                <w:szCs w:val="18"/>
              </w:rPr>
              <w:t>7</w:t>
            </w:r>
          </w:p>
        </w:tc>
        <w:tc>
          <w:tcPr>
            <w:tcW w:w="1165" w:type="pct"/>
            <w:tcBorders>
              <w:top w:val="nil"/>
              <w:left w:val="nil"/>
              <w:bottom w:val="nil"/>
              <w:right w:val="nil"/>
            </w:tcBorders>
            <w:shd w:val="clear" w:color="auto" w:fill="FFFFFF"/>
            <w:vAlign w:val="center"/>
          </w:tcPr>
          <w:p w14:paraId="68771BD2">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86</w:t>
            </w:r>
            <w:r>
              <w:rPr>
                <w:rFonts w:ascii="Times New Roman" w:hAnsi="Times New Roman" w:cs="Times New Roman"/>
                <w:sz w:val="18"/>
                <w:szCs w:val="18"/>
              </w:rPr>
              <w:t xml:space="preserve"> – 1.</w:t>
            </w:r>
            <w:r>
              <w:rPr>
                <w:rFonts w:hint="eastAsia" w:ascii="Times New Roman" w:hAnsi="Times New Roman" w:cs="Times New Roman"/>
                <w:sz w:val="18"/>
                <w:szCs w:val="18"/>
              </w:rPr>
              <w:t>48</w:t>
            </w:r>
          </w:p>
        </w:tc>
      </w:tr>
      <w:tr w14:paraId="4857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2A09A6CC">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糖尿病史</w:t>
            </w:r>
          </w:p>
        </w:tc>
        <w:tc>
          <w:tcPr>
            <w:tcW w:w="668" w:type="pct"/>
            <w:tcBorders>
              <w:top w:val="nil"/>
              <w:left w:val="nil"/>
              <w:bottom w:val="nil"/>
              <w:right w:val="nil"/>
            </w:tcBorders>
            <w:shd w:val="clear" w:color="auto" w:fill="FFFFFF"/>
            <w:vAlign w:val="center"/>
          </w:tcPr>
          <w:p w14:paraId="4F50A6EA">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0.20</w:t>
            </w:r>
          </w:p>
        </w:tc>
        <w:tc>
          <w:tcPr>
            <w:tcW w:w="880" w:type="pct"/>
            <w:tcBorders>
              <w:top w:val="nil"/>
              <w:left w:val="nil"/>
              <w:bottom w:val="nil"/>
              <w:right w:val="nil"/>
            </w:tcBorders>
          </w:tcPr>
          <w:p w14:paraId="642051CC">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1.23</w:t>
            </w:r>
          </w:p>
        </w:tc>
        <w:tc>
          <w:tcPr>
            <w:tcW w:w="880" w:type="pct"/>
            <w:tcBorders>
              <w:top w:val="nil"/>
              <w:left w:val="nil"/>
              <w:bottom w:val="nil"/>
              <w:right w:val="nil"/>
            </w:tcBorders>
            <w:shd w:val="clear" w:color="auto" w:fill="FFFFFF"/>
            <w:vAlign w:val="center"/>
          </w:tcPr>
          <w:p w14:paraId="46EEE370">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0.31</w:t>
            </w:r>
          </w:p>
        </w:tc>
        <w:tc>
          <w:tcPr>
            <w:tcW w:w="1165" w:type="pct"/>
            <w:tcBorders>
              <w:top w:val="nil"/>
              <w:left w:val="nil"/>
              <w:bottom w:val="nil"/>
              <w:right w:val="nil"/>
            </w:tcBorders>
            <w:shd w:val="clear" w:color="auto" w:fill="FFFFFF"/>
            <w:vAlign w:val="center"/>
          </w:tcPr>
          <w:p w14:paraId="559821D8">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0.83 – 1.82</w:t>
            </w:r>
          </w:p>
        </w:tc>
      </w:tr>
      <w:tr w14:paraId="3D96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single" w:color="000000" w:sz="12" w:space="0"/>
              <w:right w:val="nil"/>
            </w:tcBorders>
            <w:shd w:val="clear" w:color="auto" w:fill="FFFFFF"/>
            <w:vAlign w:val="center"/>
          </w:tcPr>
          <w:p w14:paraId="545A2CBC">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非计划二次手术</w:t>
            </w:r>
          </w:p>
        </w:tc>
        <w:tc>
          <w:tcPr>
            <w:tcW w:w="668" w:type="pct"/>
            <w:tcBorders>
              <w:top w:val="nil"/>
              <w:left w:val="nil"/>
              <w:bottom w:val="single" w:color="000000" w:sz="12" w:space="0"/>
              <w:right w:val="nil"/>
            </w:tcBorders>
            <w:shd w:val="clear" w:color="auto" w:fill="FFFFFF"/>
            <w:vAlign w:val="center"/>
          </w:tcPr>
          <w:p w14:paraId="2272F9BF">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0.01</w:t>
            </w:r>
          </w:p>
        </w:tc>
        <w:tc>
          <w:tcPr>
            <w:tcW w:w="880" w:type="pct"/>
            <w:tcBorders>
              <w:top w:val="nil"/>
              <w:left w:val="nil"/>
              <w:bottom w:val="single" w:color="auto" w:sz="12" w:space="0"/>
              <w:right w:val="nil"/>
            </w:tcBorders>
          </w:tcPr>
          <w:p w14:paraId="2FE3D8DF">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1.01</w:t>
            </w:r>
          </w:p>
        </w:tc>
        <w:tc>
          <w:tcPr>
            <w:tcW w:w="880" w:type="pct"/>
            <w:tcBorders>
              <w:top w:val="nil"/>
              <w:left w:val="nil"/>
              <w:bottom w:val="single" w:color="000000" w:sz="12" w:space="0"/>
              <w:right w:val="nil"/>
            </w:tcBorders>
            <w:shd w:val="clear" w:color="auto" w:fill="FFFFFF"/>
            <w:vAlign w:val="center"/>
          </w:tcPr>
          <w:p w14:paraId="5303BD99">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0.99</w:t>
            </w:r>
          </w:p>
        </w:tc>
        <w:tc>
          <w:tcPr>
            <w:tcW w:w="1165" w:type="pct"/>
            <w:tcBorders>
              <w:top w:val="nil"/>
              <w:left w:val="nil"/>
              <w:bottom w:val="single" w:color="000000" w:sz="12" w:space="0"/>
              <w:right w:val="nil"/>
            </w:tcBorders>
            <w:shd w:val="clear" w:color="auto" w:fill="FFFFFF"/>
            <w:vAlign w:val="center"/>
          </w:tcPr>
          <w:p w14:paraId="518D879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0.20 – 5.16</w:t>
            </w:r>
          </w:p>
        </w:tc>
      </w:tr>
    </w:tbl>
    <w:p w14:paraId="21E59C5E">
      <w:pPr>
        <w:ind w:firstLine="0" w:firstLineChars="0"/>
        <w:rPr>
          <w:rFonts w:ascii="Times New Roman" w:hAnsi="Times New Roman" w:cs="Times New Roman"/>
          <w:sz w:val="18"/>
          <w:szCs w:val="20"/>
        </w:rPr>
      </w:pPr>
    </w:p>
    <w:p w14:paraId="00AC7FE5">
      <w:pPr>
        <w:ind w:firstLine="180" w:firstLineChars="100"/>
        <w:jc w:val="center"/>
        <w:rPr>
          <w:rFonts w:ascii="Times New Roman" w:hAnsi="Times New Roman" w:cs="Times New Roman"/>
          <w:sz w:val="18"/>
          <w:szCs w:val="20"/>
        </w:rPr>
      </w:pPr>
      <w:r>
        <w:rPr>
          <w:rFonts w:ascii="Times New Roman" w:hAnsi="Times New Roman" w:cs="Times New Roman"/>
          <w:sz w:val="18"/>
          <w:szCs w:val="20"/>
        </w:rPr>
        <w:t>表</w:t>
      </w:r>
      <w:r>
        <w:rPr>
          <w:rFonts w:hint="eastAsia" w:ascii="Times New Roman" w:hAnsi="Times New Roman" w:cs="Times New Roman"/>
          <w:sz w:val="18"/>
          <w:szCs w:val="20"/>
        </w:rPr>
        <w:t>3</w:t>
      </w:r>
      <w:r>
        <w:rPr>
          <w:rFonts w:ascii="Times New Roman" w:hAnsi="Times New Roman" w:cs="Times New Roman"/>
          <w:sz w:val="18"/>
          <w:szCs w:val="20"/>
        </w:rPr>
        <w:t xml:space="preserve"> </w:t>
      </w:r>
      <w:r>
        <w:rPr>
          <w:rFonts w:hint="eastAsia" w:ascii="Times New Roman" w:hAnsi="Times New Roman" w:cs="Times New Roman"/>
          <w:sz w:val="18"/>
          <w:szCs w:val="20"/>
        </w:rPr>
        <w:t>术前</w:t>
      </w:r>
      <w:r>
        <w:rPr>
          <w:rFonts w:ascii="Times New Roman" w:hAnsi="Times New Roman" w:cs="Times New Roman"/>
          <w:sz w:val="18"/>
          <w:szCs w:val="20"/>
        </w:rPr>
        <w:t>变量多因素logistic分析结果</w:t>
      </w:r>
    </w:p>
    <w:p w14:paraId="74B31B14">
      <w:pPr>
        <w:ind w:firstLine="180" w:firstLineChars="100"/>
        <w:jc w:val="center"/>
        <w:rPr>
          <w:rFonts w:ascii="Times New Roman" w:hAnsi="Times New Roman" w:cs="Times New Roman"/>
          <w:sz w:val="18"/>
          <w:szCs w:val="20"/>
        </w:rPr>
      </w:pPr>
      <w:r>
        <w:rPr>
          <w:rFonts w:hint="eastAsia" w:ascii="Times New Roman" w:hAnsi="Times New Roman" w:cs="Times New Roman"/>
          <w:sz w:val="18"/>
          <w:szCs w:val="20"/>
        </w:rPr>
        <w:t>Table 3 Results of Multivariate Logistic Regression Analysis of Preoperative Variables</w:t>
      </w:r>
    </w:p>
    <w:tbl>
      <w:tblPr>
        <w:tblStyle w:val="20"/>
        <w:tblW w:w="45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1037"/>
        <w:gridCol w:w="1366"/>
        <w:gridCol w:w="1366"/>
        <w:gridCol w:w="1808"/>
      </w:tblGrid>
      <w:tr w14:paraId="3887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single" w:color="000000" w:sz="12" w:space="0"/>
              <w:left w:val="nil"/>
              <w:bottom w:val="single" w:color="000000" w:sz="4" w:space="0"/>
              <w:right w:val="nil"/>
              <w:tl2br w:val="nil"/>
            </w:tcBorders>
            <w:shd w:val="clear" w:color="auto" w:fill="FFFFFF"/>
            <w:vAlign w:val="center"/>
          </w:tcPr>
          <w:p w14:paraId="1622B286">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变量</w:t>
            </w:r>
          </w:p>
        </w:tc>
        <w:tc>
          <w:tcPr>
            <w:tcW w:w="668" w:type="pct"/>
            <w:tcBorders>
              <w:top w:val="single" w:color="000000" w:sz="12" w:space="0"/>
              <w:left w:val="nil"/>
              <w:bottom w:val="single" w:color="000000" w:sz="4" w:space="0"/>
              <w:right w:val="nil"/>
            </w:tcBorders>
            <w:shd w:val="clear" w:color="auto" w:fill="FFFFFF"/>
            <w:vAlign w:val="center"/>
          </w:tcPr>
          <w:p w14:paraId="4C277F0B">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回归系数</w:t>
            </w:r>
          </w:p>
        </w:tc>
        <w:tc>
          <w:tcPr>
            <w:tcW w:w="880" w:type="pct"/>
            <w:tcBorders>
              <w:top w:val="single" w:color="auto" w:sz="12" w:space="0"/>
              <w:left w:val="nil"/>
              <w:bottom w:val="single" w:color="auto" w:sz="4" w:space="0"/>
              <w:right w:val="nil"/>
            </w:tcBorders>
          </w:tcPr>
          <w:p w14:paraId="2241A3F6">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OR</w:t>
            </w:r>
          </w:p>
        </w:tc>
        <w:tc>
          <w:tcPr>
            <w:tcW w:w="880" w:type="pct"/>
            <w:tcBorders>
              <w:top w:val="single" w:color="000000" w:sz="12" w:space="0"/>
              <w:left w:val="nil"/>
              <w:bottom w:val="single" w:color="000000" w:sz="4" w:space="0"/>
              <w:right w:val="nil"/>
            </w:tcBorders>
            <w:shd w:val="clear" w:color="auto" w:fill="FFFFFF"/>
            <w:vAlign w:val="center"/>
          </w:tcPr>
          <w:p w14:paraId="4B3BDB79">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P值</w:t>
            </w:r>
          </w:p>
        </w:tc>
        <w:tc>
          <w:tcPr>
            <w:tcW w:w="1165" w:type="pct"/>
            <w:tcBorders>
              <w:top w:val="single" w:color="000000" w:sz="12" w:space="0"/>
              <w:left w:val="nil"/>
              <w:bottom w:val="single" w:color="000000" w:sz="4" w:space="0"/>
              <w:right w:val="nil"/>
            </w:tcBorders>
            <w:shd w:val="clear" w:color="auto" w:fill="FFFFFF"/>
            <w:vAlign w:val="center"/>
          </w:tcPr>
          <w:p w14:paraId="525F9942">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95% 置信区间</w:t>
            </w:r>
          </w:p>
        </w:tc>
      </w:tr>
      <w:tr w14:paraId="406C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single" w:color="000000" w:sz="4" w:space="0"/>
              <w:left w:val="nil"/>
              <w:bottom w:val="nil"/>
              <w:right w:val="nil"/>
            </w:tcBorders>
            <w:shd w:val="clear" w:color="auto" w:fill="FFFFFF"/>
            <w:vAlign w:val="center"/>
          </w:tcPr>
          <w:p w14:paraId="399AF7F2">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性别</w:t>
            </w:r>
          </w:p>
        </w:tc>
        <w:tc>
          <w:tcPr>
            <w:tcW w:w="668" w:type="pct"/>
            <w:tcBorders>
              <w:top w:val="single" w:color="000000" w:sz="4" w:space="0"/>
              <w:left w:val="nil"/>
              <w:bottom w:val="nil"/>
              <w:right w:val="nil"/>
            </w:tcBorders>
            <w:shd w:val="clear" w:color="auto" w:fill="FFFFFF"/>
          </w:tcPr>
          <w:p w14:paraId="0926C8B9">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4.14 </w:t>
            </w:r>
          </w:p>
        </w:tc>
        <w:tc>
          <w:tcPr>
            <w:tcW w:w="880" w:type="pct"/>
            <w:tcBorders>
              <w:top w:val="single" w:color="auto" w:sz="4" w:space="0"/>
              <w:left w:val="nil"/>
              <w:bottom w:val="nil"/>
              <w:right w:val="nil"/>
            </w:tcBorders>
          </w:tcPr>
          <w:p w14:paraId="2FEF1176">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63.07 </w:t>
            </w:r>
          </w:p>
        </w:tc>
        <w:tc>
          <w:tcPr>
            <w:tcW w:w="880" w:type="pct"/>
            <w:tcBorders>
              <w:top w:val="single" w:color="000000" w:sz="4" w:space="0"/>
              <w:left w:val="nil"/>
              <w:bottom w:val="nil"/>
              <w:right w:val="nil"/>
            </w:tcBorders>
            <w:shd w:val="clear" w:color="auto" w:fill="FFFFFF"/>
            <w:vAlign w:val="center"/>
          </w:tcPr>
          <w:p w14:paraId="017DB4D0">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single" w:color="000000" w:sz="4" w:space="0"/>
              <w:left w:val="nil"/>
              <w:bottom w:val="nil"/>
              <w:right w:val="nil"/>
            </w:tcBorders>
            <w:shd w:val="clear" w:color="auto" w:fill="FFFFFF"/>
            <w:vAlign w:val="center"/>
          </w:tcPr>
          <w:p w14:paraId="4E8E33FA">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6</w:t>
            </w:r>
            <w:r>
              <w:rPr>
                <w:rFonts w:ascii="Times New Roman" w:hAnsi="Times New Roman" w:cs="Times New Roman"/>
                <w:sz w:val="18"/>
                <w:szCs w:val="18"/>
              </w:rPr>
              <w:t>.</w:t>
            </w:r>
            <w:r>
              <w:rPr>
                <w:rFonts w:hint="eastAsia" w:ascii="Times New Roman" w:hAnsi="Times New Roman" w:cs="Times New Roman"/>
                <w:sz w:val="18"/>
                <w:szCs w:val="18"/>
              </w:rPr>
              <w:t>67</w:t>
            </w:r>
            <w:r>
              <w:rPr>
                <w:rFonts w:ascii="Times New Roman" w:hAnsi="Times New Roman" w:cs="Times New Roman"/>
                <w:sz w:val="18"/>
                <w:szCs w:val="18"/>
              </w:rPr>
              <w:t xml:space="preserve"> –</w:t>
            </w:r>
            <w:r>
              <w:rPr>
                <w:rFonts w:hint="eastAsia" w:ascii="Times New Roman" w:hAnsi="Times New Roman" w:cs="Times New Roman"/>
                <w:sz w:val="18"/>
                <w:szCs w:val="18"/>
              </w:rPr>
              <w:t>238.72</w:t>
            </w:r>
          </w:p>
        </w:tc>
      </w:tr>
      <w:tr w14:paraId="271A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2C32792B">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ASA</w:t>
            </w:r>
          </w:p>
        </w:tc>
        <w:tc>
          <w:tcPr>
            <w:tcW w:w="668" w:type="pct"/>
            <w:tcBorders>
              <w:top w:val="nil"/>
              <w:left w:val="nil"/>
              <w:bottom w:val="nil"/>
              <w:right w:val="nil"/>
            </w:tcBorders>
            <w:shd w:val="clear" w:color="auto" w:fill="FFFFFF"/>
          </w:tcPr>
          <w:p w14:paraId="275F2E41">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3.43 </w:t>
            </w:r>
          </w:p>
        </w:tc>
        <w:tc>
          <w:tcPr>
            <w:tcW w:w="880" w:type="pct"/>
            <w:tcBorders>
              <w:top w:val="nil"/>
              <w:left w:val="nil"/>
              <w:bottom w:val="nil"/>
              <w:right w:val="nil"/>
            </w:tcBorders>
          </w:tcPr>
          <w:p w14:paraId="097E3FF8">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31.02 </w:t>
            </w:r>
          </w:p>
        </w:tc>
        <w:tc>
          <w:tcPr>
            <w:tcW w:w="880" w:type="pct"/>
            <w:tcBorders>
              <w:top w:val="nil"/>
              <w:left w:val="nil"/>
              <w:bottom w:val="nil"/>
              <w:right w:val="nil"/>
            </w:tcBorders>
            <w:shd w:val="clear" w:color="auto" w:fill="FFFFFF"/>
            <w:vAlign w:val="center"/>
          </w:tcPr>
          <w:p w14:paraId="4B68C417">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0D378CA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4</w:t>
            </w:r>
            <w:r>
              <w:rPr>
                <w:rFonts w:ascii="Times New Roman" w:hAnsi="Times New Roman" w:cs="Times New Roman"/>
                <w:sz w:val="18"/>
                <w:szCs w:val="18"/>
              </w:rPr>
              <w:t>.</w:t>
            </w:r>
            <w:r>
              <w:rPr>
                <w:rFonts w:hint="eastAsia" w:ascii="Times New Roman" w:hAnsi="Times New Roman" w:cs="Times New Roman"/>
                <w:sz w:val="18"/>
                <w:szCs w:val="18"/>
              </w:rPr>
              <w:t>44</w:t>
            </w:r>
            <w:r>
              <w:rPr>
                <w:rFonts w:ascii="Times New Roman" w:hAnsi="Times New Roman" w:cs="Times New Roman"/>
                <w:sz w:val="18"/>
                <w:szCs w:val="18"/>
              </w:rPr>
              <w:t xml:space="preserve"> – </w:t>
            </w:r>
            <w:r>
              <w:rPr>
                <w:rFonts w:hint="eastAsia" w:ascii="Times New Roman" w:hAnsi="Times New Roman" w:cs="Times New Roman"/>
                <w:sz w:val="18"/>
                <w:szCs w:val="18"/>
              </w:rPr>
              <w:t>66</w:t>
            </w:r>
            <w:r>
              <w:rPr>
                <w:rFonts w:ascii="Times New Roman" w:hAnsi="Times New Roman" w:cs="Times New Roman"/>
                <w:sz w:val="18"/>
                <w:szCs w:val="18"/>
              </w:rPr>
              <w:t>.</w:t>
            </w:r>
            <w:r>
              <w:rPr>
                <w:rFonts w:hint="eastAsia" w:ascii="Times New Roman" w:hAnsi="Times New Roman" w:cs="Times New Roman"/>
                <w:sz w:val="18"/>
                <w:szCs w:val="18"/>
              </w:rPr>
              <w:t>64</w:t>
            </w:r>
          </w:p>
        </w:tc>
      </w:tr>
      <w:tr w14:paraId="5737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5103C7FB">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多重耐药菌定植</w:t>
            </w:r>
          </w:p>
        </w:tc>
        <w:tc>
          <w:tcPr>
            <w:tcW w:w="668" w:type="pct"/>
            <w:tcBorders>
              <w:top w:val="nil"/>
              <w:left w:val="nil"/>
              <w:bottom w:val="nil"/>
              <w:right w:val="nil"/>
            </w:tcBorders>
            <w:shd w:val="clear" w:color="auto" w:fill="FFFFFF"/>
          </w:tcPr>
          <w:p w14:paraId="191BCE3D">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2.90 </w:t>
            </w:r>
          </w:p>
        </w:tc>
        <w:tc>
          <w:tcPr>
            <w:tcW w:w="880" w:type="pct"/>
            <w:tcBorders>
              <w:top w:val="nil"/>
              <w:left w:val="nil"/>
              <w:bottom w:val="nil"/>
              <w:right w:val="nil"/>
            </w:tcBorders>
          </w:tcPr>
          <w:p w14:paraId="5AC3BCC5">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18.22 </w:t>
            </w:r>
          </w:p>
        </w:tc>
        <w:tc>
          <w:tcPr>
            <w:tcW w:w="880" w:type="pct"/>
            <w:tcBorders>
              <w:top w:val="nil"/>
              <w:left w:val="nil"/>
              <w:bottom w:val="nil"/>
              <w:right w:val="nil"/>
            </w:tcBorders>
            <w:shd w:val="clear" w:color="auto" w:fill="FFFFFF"/>
            <w:vAlign w:val="center"/>
          </w:tcPr>
          <w:p w14:paraId="222DBDC4">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&lt;0.01</w:t>
            </w:r>
          </w:p>
        </w:tc>
        <w:tc>
          <w:tcPr>
            <w:tcW w:w="1165" w:type="pct"/>
            <w:tcBorders>
              <w:top w:val="nil"/>
              <w:left w:val="nil"/>
              <w:bottom w:val="nil"/>
              <w:right w:val="nil"/>
            </w:tcBorders>
            <w:shd w:val="clear" w:color="auto" w:fill="FFFFFF"/>
            <w:vAlign w:val="center"/>
          </w:tcPr>
          <w:p w14:paraId="4FD5C6C5">
            <w:pPr>
              <w:spacing w:line="240" w:lineRule="auto"/>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8</w:t>
            </w:r>
            <w:r>
              <w:rPr>
                <w:rFonts w:ascii="Times New Roman" w:hAnsi="Times New Roman" w:cs="Times New Roman"/>
                <w:sz w:val="18"/>
                <w:szCs w:val="18"/>
              </w:rPr>
              <w:t>.</w:t>
            </w:r>
            <w:r>
              <w:rPr>
                <w:rFonts w:hint="eastAsia" w:ascii="Times New Roman" w:hAnsi="Times New Roman" w:cs="Times New Roman"/>
                <w:sz w:val="18"/>
                <w:szCs w:val="18"/>
              </w:rPr>
              <w:t>61</w:t>
            </w:r>
            <w:r>
              <w:rPr>
                <w:rFonts w:ascii="Times New Roman" w:hAnsi="Times New Roman" w:cs="Times New Roman"/>
                <w:sz w:val="18"/>
                <w:szCs w:val="18"/>
              </w:rPr>
              <w:t xml:space="preserve"> – </w:t>
            </w:r>
            <w:r>
              <w:rPr>
                <w:rFonts w:hint="eastAsia" w:ascii="Times New Roman" w:hAnsi="Times New Roman" w:cs="Times New Roman"/>
                <w:sz w:val="18"/>
                <w:szCs w:val="18"/>
              </w:rPr>
              <w:t>38.57</w:t>
            </w:r>
          </w:p>
        </w:tc>
      </w:tr>
      <w:tr w14:paraId="7573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tcPr>
          <w:p w14:paraId="7DBB964E">
            <w:pPr>
              <w:spacing w:line="240" w:lineRule="auto"/>
              <w:ind w:firstLine="0" w:firstLineChars="0"/>
              <w:jc w:val="center"/>
              <w:rPr>
                <w:rFonts w:ascii="Times New Roman" w:hAnsi="Times New Roman" w:cs="Times New Roman"/>
                <w:b/>
                <w:bCs/>
                <w:sz w:val="18"/>
                <w:szCs w:val="18"/>
              </w:rPr>
            </w:pPr>
            <w:r>
              <w:rPr>
                <w:rFonts w:ascii="Times New Roman" w:hAnsi="Times New Roman" w:cs="Times New Roman"/>
                <w:b/>
                <w:bCs/>
                <w:sz w:val="18"/>
                <w:szCs w:val="18"/>
              </w:rPr>
              <w:t>吸烟史</w:t>
            </w:r>
          </w:p>
        </w:tc>
        <w:tc>
          <w:tcPr>
            <w:tcW w:w="668" w:type="pct"/>
            <w:tcBorders>
              <w:top w:val="nil"/>
              <w:left w:val="nil"/>
              <w:bottom w:val="nil"/>
              <w:right w:val="nil"/>
            </w:tcBorders>
            <w:shd w:val="clear" w:color="auto" w:fill="FFFFFF"/>
          </w:tcPr>
          <w:p w14:paraId="20823403">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0.29 </w:t>
            </w:r>
          </w:p>
        </w:tc>
        <w:tc>
          <w:tcPr>
            <w:tcW w:w="880" w:type="pct"/>
            <w:tcBorders>
              <w:top w:val="nil"/>
              <w:left w:val="nil"/>
              <w:bottom w:val="nil"/>
              <w:right w:val="nil"/>
            </w:tcBorders>
          </w:tcPr>
          <w:p w14:paraId="3E120C5D">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1.34 </w:t>
            </w:r>
          </w:p>
        </w:tc>
        <w:tc>
          <w:tcPr>
            <w:tcW w:w="880" w:type="pct"/>
            <w:tcBorders>
              <w:top w:val="nil"/>
              <w:left w:val="nil"/>
              <w:bottom w:val="nil"/>
              <w:right w:val="nil"/>
            </w:tcBorders>
            <w:shd w:val="clear" w:color="auto" w:fill="FFFFFF"/>
          </w:tcPr>
          <w:p w14:paraId="55712B3E">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0.12</w:t>
            </w:r>
          </w:p>
        </w:tc>
        <w:tc>
          <w:tcPr>
            <w:tcW w:w="1165" w:type="pct"/>
            <w:tcBorders>
              <w:top w:val="nil"/>
              <w:left w:val="nil"/>
              <w:bottom w:val="nil"/>
              <w:right w:val="nil"/>
            </w:tcBorders>
            <w:shd w:val="clear" w:color="auto" w:fill="FFFFFF"/>
          </w:tcPr>
          <w:p w14:paraId="7194D318">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0.9</w:t>
            </w:r>
            <w:r>
              <w:rPr>
                <w:rFonts w:hint="eastAsia" w:ascii="Times New Roman" w:hAnsi="Times New Roman" w:cs="Times New Roman"/>
                <w:sz w:val="18"/>
                <w:szCs w:val="18"/>
              </w:rPr>
              <w:t>1</w:t>
            </w:r>
            <w:r>
              <w:rPr>
                <w:rFonts w:ascii="Times New Roman" w:hAnsi="Times New Roman" w:cs="Times New Roman"/>
                <w:sz w:val="18"/>
                <w:szCs w:val="18"/>
              </w:rPr>
              <w:t xml:space="preserve"> – 1.</w:t>
            </w:r>
            <w:r>
              <w:rPr>
                <w:rFonts w:hint="eastAsia" w:ascii="Times New Roman" w:hAnsi="Times New Roman" w:cs="Times New Roman"/>
                <w:sz w:val="18"/>
                <w:szCs w:val="18"/>
              </w:rPr>
              <w:t>96</w:t>
            </w:r>
          </w:p>
        </w:tc>
      </w:tr>
      <w:tr w14:paraId="406D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nil"/>
              <w:right w:val="nil"/>
            </w:tcBorders>
            <w:shd w:val="clear" w:color="auto" w:fill="FFFFFF"/>
            <w:vAlign w:val="center"/>
          </w:tcPr>
          <w:p w14:paraId="610376EE">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BMI</w:t>
            </w:r>
          </w:p>
        </w:tc>
        <w:tc>
          <w:tcPr>
            <w:tcW w:w="668" w:type="pct"/>
            <w:tcBorders>
              <w:top w:val="nil"/>
              <w:left w:val="nil"/>
              <w:bottom w:val="nil"/>
              <w:right w:val="nil"/>
            </w:tcBorders>
            <w:shd w:val="clear" w:color="auto" w:fill="FFFFFF"/>
          </w:tcPr>
          <w:p w14:paraId="5CF67F12">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0.15 </w:t>
            </w:r>
          </w:p>
        </w:tc>
        <w:tc>
          <w:tcPr>
            <w:tcW w:w="880" w:type="pct"/>
            <w:tcBorders>
              <w:top w:val="nil"/>
              <w:left w:val="nil"/>
              <w:bottom w:val="nil"/>
              <w:right w:val="nil"/>
            </w:tcBorders>
          </w:tcPr>
          <w:p w14:paraId="7775C3FB">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1.16 </w:t>
            </w:r>
          </w:p>
        </w:tc>
        <w:tc>
          <w:tcPr>
            <w:tcW w:w="880" w:type="pct"/>
            <w:tcBorders>
              <w:top w:val="nil"/>
              <w:left w:val="nil"/>
              <w:bottom w:val="nil"/>
              <w:right w:val="nil"/>
            </w:tcBorders>
            <w:shd w:val="clear" w:color="auto" w:fill="FFFFFF"/>
            <w:vAlign w:val="center"/>
          </w:tcPr>
          <w:p w14:paraId="7BEC6A58">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0.3</w:t>
            </w:r>
            <w:r>
              <w:rPr>
                <w:rFonts w:hint="eastAsia" w:ascii="Times New Roman" w:hAnsi="Times New Roman" w:cs="Times New Roman"/>
                <w:sz w:val="18"/>
                <w:szCs w:val="18"/>
              </w:rPr>
              <w:t>3</w:t>
            </w:r>
          </w:p>
        </w:tc>
        <w:tc>
          <w:tcPr>
            <w:tcW w:w="1165" w:type="pct"/>
            <w:tcBorders>
              <w:top w:val="nil"/>
              <w:left w:val="nil"/>
              <w:bottom w:val="nil"/>
              <w:right w:val="nil"/>
            </w:tcBorders>
            <w:shd w:val="clear" w:color="auto" w:fill="FFFFFF"/>
            <w:vAlign w:val="center"/>
          </w:tcPr>
          <w:p w14:paraId="37B89D0B">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86</w:t>
            </w:r>
            <w:r>
              <w:rPr>
                <w:rFonts w:ascii="Times New Roman" w:hAnsi="Times New Roman" w:cs="Times New Roman"/>
                <w:sz w:val="18"/>
                <w:szCs w:val="18"/>
              </w:rPr>
              <w:t xml:space="preserve"> – 1.</w:t>
            </w:r>
            <w:r>
              <w:rPr>
                <w:rFonts w:hint="eastAsia" w:ascii="Times New Roman" w:hAnsi="Times New Roman" w:cs="Times New Roman"/>
                <w:sz w:val="18"/>
                <w:szCs w:val="18"/>
              </w:rPr>
              <w:t>58</w:t>
            </w:r>
          </w:p>
        </w:tc>
      </w:tr>
      <w:tr w14:paraId="356F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pct"/>
            <w:tcBorders>
              <w:top w:val="nil"/>
              <w:left w:val="nil"/>
              <w:bottom w:val="single" w:color="auto" w:sz="12" w:space="0"/>
              <w:right w:val="nil"/>
            </w:tcBorders>
            <w:shd w:val="clear" w:color="auto" w:fill="FFFFFF"/>
            <w:vAlign w:val="center"/>
          </w:tcPr>
          <w:p w14:paraId="42A92820">
            <w:pPr>
              <w:spacing w:line="240" w:lineRule="auto"/>
              <w:ind w:firstLine="0" w:firstLineChars="0"/>
              <w:jc w:val="center"/>
              <w:rPr>
                <w:rFonts w:ascii="Times New Roman" w:hAnsi="Times New Roman" w:cs="Times New Roman"/>
                <w:b/>
                <w:sz w:val="18"/>
                <w:szCs w:val="18"/>
              </w:rPr>
            </w:pPr>
            <w:r>
              <w:rPr>
                <w:rFonts w:ascii="Times New Roman" w:hAnsi="Times New Roman" w:cs="Times New Roman"/>
                <w:b/>
                <w:sz w:val="18"/>
                <w:szCs w:val="18"/>
              </w:rPr>
              <w:t>糖尿病史</w:t>
            </w:r>
          </w:p>
        </w:tc>
        <w:tc>
          <w:tcPr>
            <w:tcW w:w="668" w:type="pct"/>
            <w:tcBorders>
              <w:top w:val="nil"/>
              <w:left w:val="nil"/>
              <w:bottom w:val="single" w:color="auto" w:sz="12" w:space="0"/>
              <w:right w:val="nil"/>
            </w:tcBorders>
            <w:shd w:val="clear" w:color="auto" w:fill="FFFFFF"/>
          </w:tcPr>
          <w:p w14:paraId="6E75272B">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0.22 </w:t>
            </w:r>
          </w:p>
        </w:tc>
        <w:tc>
          <w:tcPr>
            <w:tcW w:w="880" w:type="pct"/>
            <w:tcBorders>
              <w:top w:val="nil"/>
              <w:left w:val="nil"/>
              <w:bottom w:val="single" w:color="auto" w:sz="12" w:space="0"/>
              <w:right w:val="nil"/>
            </w:tcBorders>
          </w:tcPr>
          <w:p w14:paraId="1F6C8AC5">
            <w:pPr>
              <w:spacing w:line="240" w:lineRule="auto"/>
              <w:ind w:firstLine="0" w:firstLineChars="0"/>
              <w:jc w:val="center"/>
              <w:rPr>
                <w:rFonts w:ascii="Times New Roman" w:hAnsi="Times New Roman" w:cs="Times New Roman"/>
                <w:sz w:val="18"/>
                <w:szCs w:val="18"/>
              </w:rPr>
            </w:pPr>
            <w:r>
              <w:rPr>
                <w:rFonts w:hint="eastAsia" w:ascii="Times New Roman" w:hAnsi="Times New Roman"/>
              </w:rPr>
              <w:t xml:space="preserve">1.24 </w:t>
            </w:r>
          </w:p>
        </w:tc>
        <w:tc>
          <w:tcPr>
            <w:tcW w:w="880" w:type="pct"/>
            <w:tcBorders>
              <w:top w:val="nil"/>
              <w:left w:val="nil"/>
              <w:bottom w:val="single" w:color="auto" w:sz="12" w:space="0"/>
              <w:right w:val="nil"/>
            </w:tcBorders>
            <w:shd w:val="clear" w:color="auto" w:fill="FFFFFF"/>
            <w:vAlign w:val="center"/>
          </w:tcPr>
          <w:p w14:paraId="22145BA5">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0.3</w:t>
            </w:r>
            <w:r>
              <w:rPr>
                <w:rFonts w:hint="eastAsia" w:ascii="Times New Roman" w:hAnsi="Times New Roman" w:cs="Times New Roman"/>
                <w:sz w:val="18"/>
                <w:szCs w:val="18"/>
              </w:rPr>
              <w:t>3</w:t>
            </w:r>
          </w:p>
        </w:tc>
        <w:tc>
          <w:tcPr>
            <w:tcW w:w="1165" w:type="pct"/>
            <w:tcBorders>
              <w:top w:val="nil"/>
              <w:left w:val="nil"/>
              <w:bottom w:val="single" w:color="auto" w:sz="12" w:space="0"/>
              <w:right w:val="nil"/>
            </w:tcBorders>
            <w:shd w:val="clear" w:color="auto" w:fill="FFFFFF"/>
            <w:vAlign w:val="center"/>
          </w:tcPr>
          <w:p w14:paraId="020C85A3">
            <w:pPr>
              <w:spacing w:line="240" w:lineRule="auto"/>
              <w:ind w:firstLine="0" w:firstLineChars="0"/>
              <w:jc w:val="center"/>
              <w:rPr>
                <w:rFonts w:ascii="Times New Roman" w:hAnsi="Times New Roman" w:cs="Times New Roman"/>
                <w:sz w:val="18"/>
                <w:szCs w:val="18"/>
              </w:rPr>
            </w:pPr>
            <w:r>
              <w:rPr>
                <w:rFonts w:ascii="Times New Roman" w:hAnsi="Times New Roman" w:cs="Times New Roman"/>
                <w:sz w:val="18"/>
                <w:szCs w:val="18"/>
              </w:rPr>
              <w:t>0.8</w:t>
            </w:r>
            <w:r>
              <w:rPr>
                <w:rFonts w:hint="eastAsia" w:ascii="Times New Roman" w:hAnsi="Times New Roman" w:cs="Times New Roman"/>
                <w:sz w:val="18"/>
                <w:szCs w:val="18"/>
              </w:rPr>
              <w:t>0</w:t>
            </w:r>
            <w:r>
              <w:rPr>
                <w:rFonts w:ascii="Times New Roman" w:hAnsi="Times New Roman" w:cs="Times New Roman"/>
                <w:sz w:val="18"/>
                <w:szCs w:val="18"/>
              </w:rPr>
              <w:t xml:space="preserve"> – 1.</w:t>
            </w:r>
            <w:r>
              <w:rPr>
                <w:rFonts w:hint="eastAsia" w:ascii="Times New Roman" w:hAnsi="Times New Roman" w:cs="Times New Roman"/>
                <w:sz w:val="18"/>
                <w:szCs w:val="18"/>
              </w:rPr>
              <w:t>93</w:t>
            </w:r>
          </w:p>
        </w:tc>
      </w:tr>
    </w:tbl>
    <w:p w14:paraId="10271C71">
      <w:pPr>
        <w:ind w:firstLine="420"/>
        <w:rPr>
          <w:rFonts w:ascii="Times New Roman" w:hAnsi="Times New Roman"/>
        </w:rPr>
      </w:pPr>
    </w:p>
    <w:p w14:paraId="477AE1A2">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机器学习模型效能预测</w:t>
      </w:r>
    </w:p>
    <w:p w14:paraId="502EE1BC">
      <w:pPr>
        <w:ind w:firstLine="420"/>
        <w:rPr>
          <w:rFonts w:ascii="Times New Roman" w:hAnsi="Times New Roman" w:cs="Times New Roman"/>
        </w:rPr>
      </w:pPr>
      <w:r>
        <w:rPr>
          <w:rFonts w:hint="eastAsia" w:ascii="Times New Roman" w:hAnsi="Times New Roman" w:cs="Times New Roman"/>
        </w:rPr>
        <w:t>本研究</w:t>
      </w:r>
      <w:r>
        <w:rPr>
          <w:rFonts w:ascii="Times New Roman" w:hAnsi="Times New Roman" w:cs="Times New Roman"/>
        </w:rPr>
        <w:t>基于GLM、RF、SVM、NNET和GBM</w:t>
      </w:r>
      <w:r>
        <w:rPr>
          <w:rFonts w:hint="eastAsia" w:ascii="Times New Roman" w:hAnsi="Times New Roman" w:cs="Times New Roman"/>
        </w:rPr>
        <w:t>五种算法，</w:t>
      </w:r>
      <w:r>
        <w:rPr>
          <w:rFonts w:ascii="Times New Roman" w:hAnsi="Times New Roman" w:cs="Times New Roman"/>
        </w:rPr>
        <w:t>分别</w:t>
      </w:r>
      <w:r>
        <w:rPr>
          <w:rFonts w:hint="eastAsia" w:ascii="Times New Roman" w:hAnsi="Times New Roman" w:cs="Times New Roman"/>
        </w:rPr>
        <w:t>构建</w:t>
      </w:r>
      <w:r>
        <w:rPr>
          <w:rFonts w:ascii="Times New Roman" w:hAnsi="Times New Roman" w:cs="Times New Roman"/>
        </w:rPr>
        <w:t>了</w:t>
      </w:r>
      <w:r>
        <w:rPr>
          <w:rFonts w:hint="eastAsia" w:ascii="Times New Roman" w:hAnsi="Times New Roman" w:cs="Times New Roman"/>
        </w:rPr>
        <w:t>术前和围手术期两阶段</w:t>
      </w:r>
      <w:r>
        <w:rPr>
          <w:rFonts w:ascii="Times New Roman" w:hAnsi="Times New Roman" w:cs="Times New Roman"/>
        </w:rPr>
        <w:t>食道癌患者PPI预测模型，模型的预测效果</w:t>
      </w:r>
      <w:r>
        <w:rPr>
          <w:rFonts w:hint="eastAsia" w:ascii="Times New Roman" w:hAnsi="Times New Roman" w:cs="Times New Roman"/>
        </w:rPr>
        <w:t>分别</w:t>
      </w:r>
      <w:r>
        <w:rPr>
          <w:rFonts w:ascii="Times New Roman" w:hAnsi="Times New Roman" w:cs="Times New Roman"/>
        </w:rPr>
        <w:t>见表3</w:t>
      </w:r>
      <w:r>
        <w:rPr>
          <w:rFonts w:hint="eastAsia" w:ascii="Times New Roman" w:hAnsi="Times New Roman" w:cs="Times New Roman"/>
        </w:rPr>
        <w:t>和表4</w:t>
      </w:r>
      <w:r>
        <w:rPr>
          <w:rFonts w:ascii="Times New Roman" w:hAnsi="Times New Roman" w:cs="Times New Roman"/>
        </w:rPr>
        <w:t>。结果显示，</w:t>
      </w:r>
      <w:r>
        <w:rPr>
          <w:rFonts w:hint="eastAsia" w:ascii="Times New Roman" w:hAnsi="Times New Roman" w:cs="Times New Roman"/>
        </w:rPr>
        <w:t>术前预测模型的</w:t>
      </w:r>
      <w:r>
        <w:rPr>
          <w:rFonts w:ascii="Times New Roman" w:hAnsi="Times New Roman" w:cs="Times New Roman"/>
        </w:rPr>
        <w:t>的特异性</w:t>
      </w:r>
      <w:r>
        <w:rPr>
          <w:rFonts w:hint="eastAsia" w:ascii="Times New Roman" w:hAnsi="Times New Roman" w:cs="Times New Roman"/>
        </w:rPr>
        <w:t>均达</w:t>
      </w:r>
      <w:r>
        <w:rPr>
          <w:rFonts w:ascii="Times New Roman" w:hAnsi="Times New Roman" w:cs="Times New Roman"/>
        </w:rPr>
        <w:t>到了9</w:t>
      </w:r>
      <w:r>
        <w:rPr>
          <w:rFonts w:hint="eastAsia" w:ascii="Times New Roman" w:hAnsi="Times New Roman" w:cs="Times New Roman"/>
        </w:rPr>
        <w:t>8</w:t>
      </w:r>
      <w:r>
        <w:rPr>
          <w:rFonts w:ascii="Times New Roman" w:hAnsi="Times New Roman" w:cs="Times New Roman"/>
        </w:rPr>
        <w:t>%</w:t>
      </w:r>
      <w:r>
        <w:rPr>
          <w:rFonts w:hint="eastAsia" w:ascii="Times New Roman" w:hAnsi="Times New Roman" w:cs="Times New Roman"/>
        </w:rPr>
        <w:t>以上</w:t>
      </w:r>
      <w:r>
        <w:rPr>
          <w:rFonts w:ascii="Times New Roman" w:hAnsi="Times New Roman" w:cs="Times New Roman"/>
        </w:rPr>
        <w:t>，可适用于</w:t>
      </w:r>
      <w:r>
        <w:rPr>
          <w:rFonts w:hint="eastAsia" w:ascii="Times New Roman" w:hAnsi="Times New Roman" w:cs="Times New Roman"/>
        </w:rPr>
        <w:t>术前</w:t>
      </w:r>
      <w:r>
        <w:rPr>
          <w:rFonts w:ascii="Times New Roman" w:hAnsi="Times New Roman" w:cs="Times New Roman"/>
        </w:rPr>
        <w:t>早期筛查，仅将少数高风险个体纳入干预范围，</w:t>
      </w:r>
      <w:r>
        <w:rPr>
          <w:rFonts w:hint="eastAsia" w:ascii="Times New Roman" w:hAnsi="Times New Roman" w:cs="Times New Roman"/>
        </w:rPr>
        <w:t>减少抗生素滥用，同时提示临床医生在手术中需重点关注高风险患者的感染防控</w:t>
      </w:r>
      <w:r>
        <w:rPr>
          <w:rFonts w:ascii="Times New Roman" w:hAnsi="Times New Roman" w:cs="Times New Roman"/>
        </w:rPr>
        <w:t>。</w:t>
      </w:r>
      <w:r>
        <w:rPr>
          <w:rFonts w:hint="eastAsia" w:ascii="Times New Roman" w:hAnsi="Times New Roman" w:cs="Times New Roman"/>
        </w:rPr>
        <w:t>但根据表 3所示，仅依赖术前因素构建的模型的预测效能存在上限。所有术前模型的AUC均在0.71~0.72之间，差异不显著，且灵敏度普遍偏低。然而，通过增加术中和术后早期因素，预测性能显著提升（DeLong 检验，P&lt;0.05），所有模型的 AUC 均提高至0.82以上（表 4）。经Bootstrap法验证，围手术期各模型 AUC 的 95% 置信区间均较窄，提示模型预测稳定性良好。值得注意的是，</w:t>
      </w:r>
      <w:r>
        <w:rPr>
          <w:rFonts w:ascii="Times New Roman" w:hAnsi="Times New Roman" w:cs="Times New Roman"/>
        </w:rPr>
        <w:t>由于感染预测模型数据集通常</w:t>
      </w:r>
      <w:r>
        <w:rPr>
          <w:rFonts w:hint="eastAsia" w:ascii="Times New Roman" w:hAnsi="Times New Roman" w:cs="Times New Roman"/>
        </w:rPr>
        <w:t>存在类别</w:t>
      </w:r>
      <w:r>
        <w:rPr>
          <w:rFonts w:ascii="Times New Roman" w:hAnsi="Times New Roman" w:cs="Times New Roman"/>
        </w:rPr>
        <w:t>不平衡，</w:t>
      </w:r>
      <w:r>
        <w:rPr>
          <w:rFonts w:hint="eastAsia" w:ascii="Times New Roman" w:hAnsi="Times New Roman" w:cs="Times New Roman"/>
        </w:rPr>
        <w:t>高特异度往往以牺牲灵敏度为代价，易导致漏诊风险增加</w:t>
      </w:r>
      <w:r>
        <w:rPr>
          <w:rFonts w:ascii="Times New Roman" w:hAnsi="Times New Roman" w:cs="Times New Roman"/>
        </w:rPr>
        <w:t>，延误干预时机</w:t>
      </w:r>
      <w:r>
        <w:rPr>
          <w:rFonts w:ascii="Times New Roman" w:hAnsi="Times New Roman" w:cs="Times New Roman"/>
          <w:b/>
          <w:bCs/>
        </w:rPr>
        <w:fldChar w:fldCharType="begin"/>
      </w:r>
      <w:r>
        <w:rPr>
          <w:rFonts w:ascii="Times New Roman" w:hAnsi="Times New Roman" w:cs="Times New Roman"/>
          <w:b/>
          <w:bCs/>
        </w:rPr>
        <w:instrText xml:space="preserve"> ADDIN ZOTERO_ITEM CSL_CITATION {"citationID":"GYScNUbj","properties":{"formattedCitation":"\\super [19]\\nosupersub{}","plainCitation":"[19]","noteIndex":0},"citationItems":[{"id":913,"uris":["http://zotero.org/users/16461411/items/P8BX2KMX"],"itemData":{"id":913,"type":"article-journal","abstract":"Background\nObesity is a significant risk factor for stroke. However, body mass index is insufficient in assessing fat distribution and there is a need for a better indicator to predict stroke risk. Additionally, early detection and prognosis prediction for stroke and mortality are crucial for pre-emptive interventions. We examined to evaluate the utility of obesity-related indices in a stacked machine learning (ML) model by developing an in-silico quantitative marker (ISS) to predict stroke risk.\nMethods\nThis is a prospective cohort study utilizing data from the China Health and Retirement Longitudinal Study (CHARLS) (2011–2018) and a health examination cohort in China (2017–2024), English Longitudinal Study of Ageing (ELSA) (2004–2014) in the UK. A total of 13,324 participants from CHARLS were included in the cross-sectional analysis. For model development and internal and external validation, 10,044 participants from CHARLS, 3698 from ELSA, and 6884 from the second affiliated hospital of Wenzhou medical university were included. Stacked ML models with optimal obesity indices to detect the risk of stroke were constructed. The predictive accuracy of the models was evaluated with the area under the receiver operating curve (ROC-AUC).\nFindings\nTriglyceride-Glucose-Body Mass Index (TyG-BMI) and TyG were two optimal predictors and outperformed BMI (AUC = 0.821) in the cross-sectional study. In the longitudinal cohort, the model with the highest AUC was the stacked ML model incorporating TyG-BMI, which achieved an AUC of 0.816 (95% CI: 0.807–0.824) in the training cohort and 0.833 (95% CI: 0.816–0.849) in the internal set for predicting stroke risk. For the external sets, the AUC was 0.803 (95% CI: 0.791–0.816) for the ELSA cohort and 0.805 (95% CI: 0.793–0.818) for the health examination cohort. The stacked ML model based on TyG-BMI showed the best performance with the highest F1 score (0.209:0.124:0.117), lowest Brier score (0.040:0.041:0.041) and model improvement (all NRI and IDI &gt;0). The ISS score was significantly associated with stroke and stroke-related death, classifying individuals into low- and high-risk groups for death in the training cohort with and AUC of 0.891 (95% CI: 0.840, 0.935) and 0.879 (95% CI: 0.749, 0.979) for the internal validation sets.\nInterpretation\nThe stacked ML model incorporating TyG-BMI effectively predicts stroke risk, with the ISS score demonstrating strong performance across diverse populations. Further research is needed to assess its applicability in broader cohorts.\nFunding\nNone.","container-title":"eClinicalMedicine","DOI":"10.1016/j.eclinm.2025.103331","ISSN":"2589-5370","journalAbbreviation":"eClinicalMedicine","page":"103331","source":"ScienceDirect","title":"Multimodal machine learning-based marker enables the link between obesity-related indices and future stroke: a prospective cohort study","title-short":"Multimodal machine learning-based marker enables the link between obesity-related indices and future stroke","volume":"85","author":[{"family":"Hu","given":"Beilei"},{"family":"Chen","given":"Xuan"},{"family":"Chen","given":"Tingyang"},{"family":"Xu","given":"Tong"},{"family":"Cao","given":"Yungang"},{"family":"Sun","given":"Jing"},{"family":"Chen","given":"Xuanyu"},{"family":"Chen","given":"Songfang"},{"family":"Chen","given":"Keyang"}],"issued":{"date-parts":[["2025",7,1]]}}}],"schema":"https://github.com/citation-style-language/schema/raw/master/csl-citation.json"} </w:instrText>
      </w:r>
      <w:r>
        <w:rPr>
          <w:rFonts w:ascii="Times New Roman" w:hAnsi="Times New Roman" w:cs="Times New Roman"/>
          <w:b/>
          <w:bCs/>
        </w:rPr>
        <w:fldChar w:fldCharType="separate"/>
      </w:r>
      <w:r>
        <w:rPr>
          <w:rFonts w:ascii="Times New Roman" w:hAnsi="Times New Roman" w:cs="Times New Roman"/>
          <w:kern w:val="0"/>
          <w:vertAlign w:val="superscript"/>
        </w:rPr>
        <w:t>[19]</w:t>
      </w:r>
      <w:r>
        <w:rPr>
          <w:rFonts w:ascii="Times New Roman" w:hAnsi="Times New Roman" w:cs="Times New Roman"/>
          <w:b/>
          <w:bCs/>
        </w:rPr>
        <w:fldChar w:fldCharType="end"/>
      </w:r>
      <w:r>
        <w:rPr>
          <w:rFonts w:ascii="Times New Roman" w:hAnsi="Times New Roman" w:cs="Times New Roman"/>
        </w:rPr>
        <w:t>。</w:t>
      </w:r>
      <w:bookmarkStart w:id="9" w:name="_Hlk218535108"/>
      <w:r>
        <w:rPr>
          <w:rFonts w:hint="eastAsia" w:ascii="Times New Roman" w:hAnsi="Times New Roman" w:cs="Times New Roman"/>
        </w:rPr>
        <w:t>GBM与SVM的AUC均达0.85，表现出同等优异的区分能力，但GBM</w:t>
      </w:r>
      <w:r>
        <w:rPr>
          <w:rFonts w:ascii="Times New Roman" w:hAnsi="Times New Roman" w:cs="Times New Roman"/>
        </w:rPr>
        <w:t>实现了</w:t>
      </w:r>
      <w:bookmarkStart w:id="10" w:name="_Hlk218524376"/>
      <w:bookmarkStart w:id="11" w:name="_Hlk217130152"/>
      <w:r>
        <w:rPr>
          <w:rFonts w:ascii="Times New Roman" w:hAnsi="Times New Roman" w:cs="Times New Roman"/>
        </w:rPr>
        <w:t>敏感性（6</w:t>
      </w:r>
      <w:r>
        <w:rPr>
          <w:rFonts w:hint="eastAsia" w:ascii="Times New Roman" w:hAnsi="Times New Roman" w:cs="Times New Roman"/>
        </w:rPr>
        <w:t>9</w:t>
      </w:r>
      <w:r>
        <w:rPr>
          <w:rFonts w:ascii="Times New Roman" w:hAnsi="Times New Roman" w:cs="Times New Roman"/>
        </w:rPr>
        <w:t>.</w:t>
      </w:r>
      <w:r>
        <w:rPr>
          <w:rFonts w:hint="eastAsia" w:ascii="Times New Roman" w:hAnsi="Times New Roman" w:cs="Times New Roman"/>
        </w:rPr>
        <w:t>07</w:t>
      </w:r>
      <w:r>
        <w:rPr>
          <w:rFonts w:ascii="Times New Roman" w:hAnsi="Times New Roman" w:cs="Times New Roman"/>
        </w:rPr>
        <w:t>%）与特异性（</w:t>
      </w:r>
      <w:r>
        <w:rPr>
          <w:rFonts w:hint="eastAsia" w:ascii="Times New Roman" w:hAnsi="Times New Roman" w:cs="Times New Roman"/>
        </w:rPr>
        <w:t>82.59%</w:t>
      </w:r>
      <w:r>
        <w:rPr>
          <w:rFonts w:ascii="Times New Roman" w:hAnsi="Times New Roman" w:cs="Times New Roman"/>
        </w:rPr>
        <w:t>）</w:t>
      </w:r>
      <w:bookmarkEnd w:id="10"/>
      <w:r>
        <w:rPr>
          <w:rFonts w:ascii="Times New Roman" w:hAnsi="Times New Roman" w:cs="Times New Roman"/>
        </w:rPr>
        <w:t>的平衡</w:t>
      </w:r>
      <w:bookmarkEnd w:id="11"/>
      <w:r>
        <w:rPr>
          <w:rFonts w:ascii="Times New Roman" w:hAnsi="Times New Roman" w:cs="Times New Roman"/>
        </w:rPr>
        <w:t>，更</w:t>
      </w:r>
      <w:r>
        <w:rPr>
          <w:rFonts w:hint="eastAsia" w:ascii="Times New Roman" w:hAnsi="Times New Roman" w:cs="Times New Roman"/>
        </w:rPr>
        <w:t>适合作为围手术期PPI风险评估工具</w:t>
      </w:r>
      <w:r>
        <w:rPr>
          <w:rFonts w:ascii="Times New Roman" w:hAnsi="Times New Roman" w:cs="Times New Roman"/>
        </w:rPr>
        <w:t>。</w:t>
      </w:r>
    </w:p>
    <w:bookmarkEnd w:id="9"/>
    <w:p w14:paraId="3196D9FD">
      <w:pPr>
        <w:ind w:firstLine="360"/>
        <w:jc w:val="center"/>
        <w:rPr>
          <w:rFonts w:ascii="Times New Roman" w:hAnsi="Times New Roman" w:cs="Times New Roman"/>
          <w:sz w:val="18"/>
          <w:szCs w:val="20"/>
        </w:rPr>
      </w:pPr>
      <w:r>
        <w:rPr>
          <w:rFonts w:ascii="Times New Roman" w:hAnsi="Times New Roman" w:cs="Times New Roman"/>
          <w:sz w:val="18"/>
          <w:szCs w:val="20"/>
        </w:rPr>
        <w:t>表3</w:t>
      </w:r>
      <w:r>
        <w:rPr>
          <w:rFonts w:hint="eastAsia" w:ascii="Times New Roman" w:hAnsi="Times New Roman" w:cs="Times New Roman"/>
          <w:sz w:val="18"/>
          <w:szCs w:val="20"/>
        </w:rPr>
        <w:t>术前</w:t>
      </w:r>
      <w:r>
        <w:rPr>
          <w:rFonts w:ascii="Times New Roman" w:hAnsi="Times New Roman" w:cs="Times New Roman"/>
          <w:sz w:val="18"/>
          <w:szCs w:val="20"/>
        </w:rPr>
        <w:t>模型的预测性能比较</w:t>
      </w:r>
    </w:p>
    <w:p w14:paraId="03359FF2">
      <w:pPr>
        <w:ind w:firstLine="360"/>
        <w:jc w:val="center"/>
        <w:rPr>
          <w:rFonts w:ascii="Times New Roman" w:hAnsi="Times New Roman" w:cs="Times New Roman"/>
          <w:sz w:val="18"/>
          <w:szCs w:val="20"/>
        </w:rPr>
      </w:pPr>
      <w:r>
        <w:rPr>
          <w:rFonts w:ascii="Times New Roman" w:hAnsi="Times New Roman" w:cs="Times New Roman"/>
          <w:sz w:val="18"/>
          <w:szCs w:val="20"/>
        </w:rPr>
        <w:t xml:space="preserve">Table 3 </w:t>
      </w:r>
      <w:r>
        <w:rPr>
          <w:rFonts w:hint="eastAsia" w:ascii="Times New Roman" w:hAnsi="Times New Roman" w:cs="Times New Roman"/>
          <w:sz w:val="18"/>
          <w:szCs w:val="20"/>
        </w:rPr>
        <w:t>Comparison of Predictive Performance of Preoperative Models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2028"/>
        <w:gridCol w:w="1401"/>
        <w:gridCol w:w="1401"/>
        <w:gridCol w:w="1396"/>
        <w:gridCol w:w="1363"/>
      </w:tblGrid>
      <w:tr w14:paraId="6388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single" w:color="000000" w:sz="12" w:space="0"/>
              <w:left w:val="nil"/>
              <w:bottom w:val="single" w:color="000000" w:sz="4" w:space="0"/>
              <w:right w:val="nil"/>
              <w:tl2br w:val="nil"/>
            </w:tcBorders>
            <w:shd w:val="clear" w:color="auto" w:fill="FFFFFF"/>
            <w:vAlign w:val="center"/>
          </w:tcPr>
          <w:p w14:paraId="3B45C302">
            <w:pPr>
              <w:spacing w:line="240" w:lineRule="auto"/>
              <w:ind w:firstLine="0" w:firstLineChars="0"/>
              <w:jc w:val="center"/>
              <w:rPr>
                <w:rFonts w:ascii="Times New Roman" w:hAnsi="Times New Roman" w:cs="Times New Roman"/>
                <w:sz w:val="18"/>
                <w:szCs w:val="20"/>
              </w:rPr>
            </w:pPr>
          </w:p>
        </w:tc>
        <w:tc>
          <w:tcPr>
            <w:tcW w:w="2028" w:type="dxa"/>
            <w:tcBorders>
              <w:top w:val="single" w:color="000000" w:sz="12" w:space="0"/>
              <w:left w:val="nil"/>
              <w:bottom w:val="single" w:color="000000" w:sz="4" w:space="0"/>
              <w:right w:val="nil"/>
            </w:tcBorders>
            <w:shd w:val="clear" w:color="auto" w:fill="FFFFFF"/>
            <w:vAlign w:val="center"/>
          </w:tcPr>
          <w:p w14:paraId="7E56F120">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AUC（95% CI</w:t>
            </w:r>
            <w:r>
              <w:rPr>
                <w:rFonts w:hint="eastAsia" w:ascii="Times New Roman" w:hAnsi="Times New Roman" w:cs="Times New Roman"/>
                <w:b/>
                <w:bCs/>
                <w:sz w:val="18"/>
                <w:szCs w:val="20"/>
              </w:rPr>
              <w:t>）</w:t>
            </w:r>
          </w:p>
        </w:tc>
        <w:tc>
          <w:tcPr>
            <w:tcW w:w="1401" w:type="dxa"/>
            <w:tcBorders>
              <w:top w:val="single" w:color="000000" w:sz="12" w:space="0"/>
              <w:left w:val="nil"/>
              <w:bottom w:val="single" w:color="000000" w:sz="4" w:space="0"/>
              <w:right w:val="nil"/>
            </w:tcBorders>
            <w:shd w:val="clear" w:color="auto" w:fill="FFFFFF"/>
            <w:vAlign w:val="center"/>
          </w:tcPr>
          <w:p w14:paraId="686D61D1">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Sensitivity</w:t>
            </w:r>
          </w:p>
        </w:tc>
        <w:tc>
          <w:tcPr>
            <w:tcW w:w="1401" w:type="dxa"/>
            <w:tcBorders>
              <w:top w:val="single" w:color="000000" w:sz="12" w:space="0"/>
              <w:left w:val="nil"/>
              <w:bottom w:val="single" w:color="000000" w:sz="4" w:space="0"/>
              <w:right w:val="nil"/>
            </w:tcBorders>
            <w:shd w:val="clear" w:color="auto" w:fill="FFFFFF"/>
            <w:vAlign w:val="center"/>
          </w:tcPr>
          <w:p w14:paraId="474E7F3E">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Specificity</w:t>
            </w:r>
          </w:p>
        </w:tc>
        <w:tc>
          <w:tcPr>
            <w:tcW w:w="1396" w:type="dxa"/>
            <w:tcBorders>
              <w:top w:val="single" w:color="000000" w:sz="12" w:space="0"/>
              <w:left w:val="nil"/>
              <w:bottom w:val="single" w:color="000000" w:sz="4" w:space="0"/>
              <w:right w:val="nil"/>
            </w:tcBorders>
            <w:shd w:val="clear" w:color="auto" w:fill="FFFFFF"/>
            <w:vAlign w:val="center"/>
          </w:tcPr>
          <w:p w14:paraId="29745214">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Accuracy</w:t>
            </w:r>
          </w:p>
        </w:tc>
        <w:tc>
          <w:tcPr>
            <w:tcW w:w="1363" w:type="dxa"/>
            <w:tcBorders>
              <w:top w:val="single" w:color="000000" w:sz="12" w:space="0"/>
              <w:left w:val="nil"/>
              <w:bottom w:val="single" w:color="000000" w:sz="4" w:space="0"/>
              <w:right w:val="nil"/>
            </w:tcBorders>
            <w:shd w:val="clear" w:color="auto" w:fill="FFFFFF"/>
            <w:vAlign w:val="center"/>
          </w:tcPr>
          <w:p w14:paraId="6E7D99F6">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F1</w:t>
            </w:r>
          </w:p>
        </w:tc>
      </w:tr>
      <w:tr w14:paraId="3E4E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single" w:color="000000" w:sz="4" w:space="0"/>
              <w:left w:val="nil"/>
              <w:bottom w:val="nil"/>
              <w:right w:val="nil"/>
            </w:tcBorders>
            <w:shd w:val="clear" w:color="auto" w:fill="FFFFFF"/>
            <w:vAlign w:val="center"/>
          </w:tcPr>
          <w:p w14:paraId="027B156B">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GLM</w:t>
            </w:r>
          </w:p>
        </w:tc>
        <w:tc>
          <w:tcPr>
            <w:tcW w:w="2028" w:type="dxa"/>
            <w:tcBorders>
              <w:top w:val="single" w:color="000000" w:sz="4" w:space="0"/>
              <w:left w:val="nil"/>
              <w:bottom w:val="nil"/>
              <w:right w:val="nil"/>
            </w:tcBorders>
            <w:shd w:val="clear" w:color="auto" w:fill="FFFFFF"/>
          </w:tcPr>
          <w:p w14:paraId="46F14A64">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0.72（0.67-0.76） </w:t>
            </w:r>
          </w:p>
        </w:tc>
        <w:tc>
          <w:tcPr>
            <w:tcW w:w="1401" w:type="dxa"/>
            <w:tcBorders>
              <w:top w:val="single" w:color="000000" w:sz="4" w:space="0"/>
              <w:left w:val="nil"/>
              <w:bottom w:val="nil"/>
              <w:right w:val="nil"/>
            </w:tcBorders>
            <w:shd w:val="clear" w:color="auto" w:fill="FFFFFF"/>
          </w:tcPr>
          <w:p w14:paraId="31BFB1BA">
            <w:pPr>
              <w:spacing w:line="240" w:lineRule="auto"/>
              <w:ind w:firstLine="0" w:firstLineChars="0"/>
              <w:jc w:val="center"/>
              <w:rPr>
                <w:rFonts w:ascii="Times New Roman" w:hAnsi="Times New Roman" w:cs="Times New Roman"/>
                <w:sz w:val="18"/>
                <w:szCs w:val="20"/>
              </w:rPr>
            </w:pPr>
            <w:r>
              <w:rPr>
                <w:rFonts w:hint="eastAsia" w:ascii="Times New Roman" w:hAnsi="Times New Roman"/>
              </w:rPr>
              <w:t>28.87%</w:t>
            </w:r>
          </w:p>
        </w:tc>
        <w:tc>
          <w:tcPr>
            <w:tcW w:w="1401" w:type="dxa"/>
            <w:tcBorders>
              <w:top w:val="single" w:color="000000" w:sz="4" w:space="0"/>
              <w:left w:val="nil"/>
              <w:bottom w:val="nil"/>
              <w:right w:val="nil"/>
            </w:tcBorders>
            <w:shd w:val="clear" w:color="auto" w:fill="FFFFFF"/>
          </w:tcPr>
          <w:p w14:paraId="2211FD6C">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98.76%</w:t>
            </w:r>
          </w:p>
        </w:tc>
        <w:tc>
          <w:tcPr>
            <w:tcW w:w="1396" w:type="dxa"/>
            <w:tcBorders>
              <w:top w:val="single" w:color="000000" w:sz="4" w:space="0"/>
              <w:left w:val="nil"/>
              <w:bottom w:val="nil"/>
              <w:right w:val="nil"/>
            </w:tcBorders>
            <w:shd w:val="clear" w:color="auto" w:fill="FFFFFF"/>
          </w:tcPr>
          <w:p w14:paraId="2733CB56">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88.48%</w:t>
            </w:r>
          </w:p>
        </w:tc>
        <w:tc>
          <w:tcPr>
            <w:tcW w:w="1363" w:type="dxa"/>
            <w:tcBorders>
              <w:top w:val="single" w:color="000000" w:sz="4" w:space="0"/>
              <w:left w:val="nil"/>
              <w:bottom w:val="nil"/>
              <w:right w:val="nil"/>
            </w:tcBorders>
            <w:shd w:val="clear" w:color="auto" w:fill="FFFFFF"/>
          </w:tcPr>
          <w:p w14:paraId="090C7770">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0.42 </w:t>
            </w:r>
          </w:p>
        </w:tc>
      </w:tr>
      <w:tr w14:paraId="5932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nil"/>
              <w:left w:val="nil"/>
              <w:bottom w:val="nil"/>
              <w:right w:val="nil"/>
            </w:tcBorders>
            <w:shd w:val="clear" w:color="auto" w:fill="FFFFFF"/>
            <w:vAlign w:val="center"/>
          </w:tcPr>
          <w:p w14:paraId="6FDAD523">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RF</w:t>
            </w:r>
          </w:p>
        </w:tc>
        <w:tc>
          <w:tcPr>
            <w:tcW w:w="2028" w:type="dxa"/>
            <w:tcBorders>
              <w:top w:val="nil"/>
              <w:left w:val="nil"/>
              <w:bottom w:val="nil"/>
              <w:right w:val="nil"/>
            </w:tcBorders>
            <w:shd w:val="clear" w:color="auto" w:fill="FFFFFF"/>
          </w:tcPr>
          <w:p w14:paraId="392FA371">
            <w:pPr>
              <w:spacing w:line="240" w:lineRule="auto"/>
              <w:ind w:firstLine="0" w:firstLineChars="0"/>
              <w:jc w:val="center"/>
              <w:rPr>
                <w:rFonts w:ascii="Times New Roman" w:hAnsi="Times New Roman" w:cs="Times New Roman"/>
                <w:sz w:val="18"/>
                <w:szCs w:val="20"/>
              </w:rPr>
            </w:pPr>
            <w:r>
              <w:rPr>
                <w:rFonts w:hint="eastAsia" w:ascii="Times New Roman" w:hAnsi="Times New Roman"/>
              </w:rPr>
              <w:t>0.71（0.67-0.75）</w:t>
            </w:r>
          </w:p>
        </w:tc>
        <w:tc>
          <w:tcPr>
            <w:tcW w:w="1401" w:type="dxa"/>
            <w:tcBorders>
              <w:top w:val="nil"/>
              <w:left w:val="nil"/>
              <w:bottom w:val="nil"/>
              <w:right w:val="nil"/>
            </w:tcBorders>
            <w:shd w:val="clear" w:color="auto" w:fill="FFFFFF"/>
          </w:tcPr>
          <w:p w14:paraId="739DE61D">
            <w:pPr>
              <w:spacing w:line="240" w:lineRule="auto"/>
              <w:ind w:firstLine="0" w:firstLineChars="0"/>
              <w:jc w:val="center"/>
              <w:rPr>
                <w:rFonts w:ascii="Times New Roman" w:hAnsi="Times New Roman" w:cs="Times New Roman"/>
                <w:sz w:val="18"/>
                <w:szCs w:val="20"/>
              </w:rPr>
            </w:pPr>
            <w:r>
              <w:rPr>
                <w:rFonts w:hint="eastAsia" w:ascii="Times New Roman" w:hAnsi="Times New Roman"/>
              </w:rPr>
              <w:t>27.84%</w:t>
            </w:r>
          </w:p>
        </w:tc>
        <w:tc>
          <w:tcPr>
            <w:tcW w:w="1401" w:type="dxa"/>
            <w:tcBorders>
              <w:top w:val="nil"/>
              <w:left w:val="nil"/>
              <w:bottom w:val="nil"/>
              <w:right w:val="nil"/>
            </w:tcBorders>
            <w:shd w:val="clear" w:color="auto" w:fill="FFFFFF"/>
          </w:tcPr>
          <w:p w14:paraId="0B91CBFE">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98.58%</w:t>
            </w:r>
          </w:p>
        </w:tc>
        <w:tc>
          <w:tcPr>
            <w:tcW w:w="1396" w:type="dxa"/>
            <w:tcBorders>
              <w:top w:val="nil"/>
              <w:left w:val="nil"/>
              <w:bottom w:val="nil"/>
              <w:right w:val="nil"/>
            </w:tcBorders>
            <w:shd w:val="clear" w:color="auto" w:fill="FFFFFF"/>
          </w:tcPr>
          <w:p w14:paraId="734B80A6">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88.18%</w:t>
            </w:r>
          </w:p>
        </w:tc>
        <w:tc>
          <w:tcPr>
            <w:tcW w:w="1363" w:type="dxa"/>
            <w:tcBorders>
              <w:top w:val="nil"/>
              <w:left w:val="nil"/>
              <w:bottom w:val="nil"/>
              <w:right w:val="nil"/>
            </w:tcBorders>
            <w:shd w:val="clear" w:color="auto" w:fill="FFFFFF"/>
          </w:tcPr>
          <w:p w14:paraId="3293550B">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0.41 </w:t>
            </w:r>
          </w:p>
        </w:tc>
      </w:tr>
      <w:tr w14:paraId="71E1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nil"/>
              <w:left w:val="nil"/>
              <w:bottom w:val="nil"/>
              <w:right w:val="nil"/>
            </w:tcBorders>
            <w:shd w:val="clear" w:color="auto" w:fill="FFFFFF"/>
            <w:vAlign w:val="center"/>
          </w:tcPr>
          <w:p w14:paraId="7CB9C369">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SVM</w:t>
            </w:r>
          </w:p>
        </w:tc>
        <w:tc>
          <w:tcPr>
            <w:tcW w:w="2028" w:type="dxa"/>
            <w:tcBorders>
              <w:top w:val="nil"/>
              <w:left w:val="nil"/>
              <w:bottom w:val="nil"/>
              <w:right w:val="nil"/>
            </w:tcBorders>
            <w:shd w:val="clear" w:color="auto" w:fill="FFFFFF"/>
          </w:tcPr>
          <w:p w14:paraId="7D8A92E5">
            <w:pPr>
              <w:spacing w:line="240" w:lineRule="auto"/>
              <w:ind w:firstLine="0" w:firstLineChars="0"/>
              <w:jc w:val="center"/>
              <w:rPr>
                <w:rFonts w:ascii="Times New Roman" w:hAnsi="Times New Roman" w:cs="Times New Roman"/>
                <w:sz w:val="18"/>
                <w:szCs w:val="20"/>
              </w:rPr>
            </w:pPr>
            <w:r>
              <w:rPr>
                <w:rFonts w:hint="eastAsia" w:ascii="Times New Roman" w:hAnsi="Times New Roman"/>
              </w:rPr>
              <w:t>0.71（0.67-0.75）</w:t>
            </w:r>
          </w:p>
        </w:tc>
        <w:tc>
          <w:tcPr>
            <w:tcW w:w="1401" w:type="dxa"/>
            <w:tcBorders>
              <w:top w:val="nil"/>
              <w:left w:val="nil"/>
              <w:bottom w:val="nil"/>
              <w:right w:val="nil"/>
            </w:tcBorders>
            <w:shd w:val="clear" w:color="auto" w:fill="FFFFFF"/>
          </w:tcPr>
          <w:p w14:paraId="48324FDB">
            <w:pPr>
              <w:spacing w:line="240" w:lineRule="auto"/>
              <w:ind w:firstLine="0" w:firstLineChars="0"/>
              <w:jc w:val="center"/>
              <w:rPr>
                <w:rFonts w:ascii="Times New Roman" w:hAnsi="Times New Roman" w:cs="Times New Roman"/>
                <w:sz w:val="18"/>
                <w:szCs w:val="20"/>
              </w:rPr>
            </w:pPr>
            <w:r>
              <w:rPr>
                <w:rFonts w:hint="eastAsia" w:ascii="Times New Roman" w:hAnsi="Times New Roman"/>
              </w:rPr>
              <w:t>28.87%</w:t>
            </w:r>
          </w:p>
        </w:tc>
        <w:tc>
          <w:tcPr>
            <w:tcW w:w="1401" w:type="dxa"/>
            <w:tcBorders>
              <w:top w:val="nil"/>
              <w:left w:val="nil"/>
              <w:bottom w:val="nil"/>
              <w:right w:val="nil"/>
            </w:tcBorders>
            <w:shd w:val="clear" w:color="auto" w:fill="FFFFFF"/>
          </w:tcPr>
          <w:p w14:paraId="4D2E575B">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98.76%</w:t>
            </w:r>
          </w:p>
        </w:tc>
        <w:tc>
          <w:tcPr>
            <w:tcW w:w="1396" w:type="dxa"/>
            <w:tcBorders>
              <w:top w:val="nil"/>
              <w:left w:val="nil"/>
              <w:bottom w:val="nil"/>
              <w:right w:val="nil"/>
            </w:tcBorders>
            <w:shd w:val="clear" w:color="auto" w:fill="FFFFFF"/>
          </w:tcPr>
          <w:p w14:paraId="05DA0CE3">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88.48%</w:t>
            </w:r>
          </w:p>
        </w:tc>
        <w:tc>
          <w:tcPr>
            <w:tcW w:w="1363" w:type="dxa"/>
            <w:tcBorders>
              <w:top w:val="nil"/>
              <w:left w:val="nil"/>
              <w:bottom w:val="nil"/>
              <w:right w:val="nil"/>
            </w:tcBorders>
            <w:shd w:val="clear" w:color="auto" w:fill="FFFFFF"/>
          </w:tcPr>
          <w:p w14:paraId="192D173D">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0.42 </w:t>
            </w:r>
          </w:p>
        </w:tc>
      </w:tr>
      <w:tr w14:paraId="68FF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nil"/>
              <w:left w:val="nil"/>
              <w:bottom w:val="nil"/>
              <w:right w:val="nil"/>
            </w:tcBorders>
            <w:shd w:val="clear" w:color="auto" w:fill="FFFFFF"/>
            <w:vAlign w:val="center"/>
          </w:tcPr>
          <w:p w14:paraId="6BDB5549">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NNET</w:t>
            </w:r>
          </w:p>
        </w:tc>
        <w:tc>
          <w:tcPr>
            <w:tcW w:w="2028" w:type="dxa"/>
            <w:tcBorders>
              <w:top w:val="nil"/>
              <w:left w:val="nil"/>
              <w:bottom w:val="nil"/>
              <w:right w:val="nil"/>
            </w:tcBorders>
            <w:shd w:val="clear" w:color="auto" w:fill="FFFFFF"/>
          </w:tcPr>
          <w:p w14:paraId="5863B04D">
            <w:pPr>
              <w:spacing w:line="240" w:lineRule="auto"/>
              <w:ind w:firstLine="0" w:firstLineChars="0"/>
              <w:jc w:val="center"/>
              <w:rPr>
                <w:rFonts w:ascii="Times New Roman" w:hAnsi="Times New Roman" w:cs="Times New Roman"/>
                <w:sz w:val="18"/>
                <w:szCs w:val="20"/>
              </w:rPr>
            </w:pPr>
            <w:r>
              <w:rPr>
                <w:rFonts w:hint="eastAsia" w:ascii="Times New Roman" w:hAnsi="Times New Roman"/>
              </w:rPr>
              <w:t>0.72（0.67-0.76）</w:t>
            </w:r>
          </w:p>
        </w:tc>
        <w:tc>
          <w:tcPr>
            <w:tcW w:w="1401" w:type="dxa"/>
            <w:tcBorders>
              <w:top w:val="nil"/>
              <w:left w:val="nil"/>
              <w:bottom w:val="nil"/>
              <w:right w:val="nil"/>
            </w:tcBorders>
            <w:shd w:val="clear" w:color="auto" w:fill="FFFFFF"/>
          </w:tcPr>
          <w:p w14:paraId="036F71A3">
            <w:pPr>
              <w:spacing w:line="240" w:lineRule="auto"/>
              <w:ind w:firstLine="0" w:firstLineChars="0"/>
              <w:jc w:val="center"/>
              <w:rPr>
                <w:rFonts w:ascii="Times New Roman" w:hAnsi="Times New Roman" w:cs="Times New Roman"/>
                <w:sz w:val="18"/>
                <w:szCs w:val="20"/>
              </w:rPr>
            </w:pPr>
            <w:r>
              <w:rPr>
                <w:rFonts w:hint="eastAsia" w:ascii="Times New Roman" w:hAnsi="Times New Roman"/>
              </w:rPr>
              <w:t>28.87%</w:t>
            </w:r>
          </w:p>
        </w:tc>
        <w:tc>
          <w:tcPr>
            <w:tcW w:w="1401" w:type="dxa"/>
            <w:tcBorders>
              <w:top w:val="nil"/>
              <w:left w:val="nil"/>
              <w:bottom w:val="nil"/>
              <w:right w:val="nil"/>
            </w:tcBorders>
            <w:shd w:val="clear" w:color="auto" w:fill="FFFFFF"/>
          </w:tcPr>
          <w:p w14:paraId="656730C3">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98.76%</w:t>
            </w:r>
          </w:p>
        </w:tc>
        <w:tc>
          <w:tcPr>
            <w:tcW w:w="1396" w:type="dxa"/>
            <w:tcBorders>
              <w:top w:val="nil"/>
              <w:left w:val="nil"/>
              <w:bottom w:val="nil"/>
              <w:right w:val="nil"/>
            </w:tcBorders>
            <w:shd w:val="clear" w:color="auto" w:fill="FFFFFF"/>
          </w:tcPr>
          <w:p w14:paraId="42C68BAC">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88.48%</w:t>
            </w:r>
          </w:p>
        </w:tc>
        <w:tc>
          <w:tcPr>
            <w:tcW w:w="1363" w:type="dxa"/>
            <w:tcBorders>
              <w:top w:val="nil"/>
              <w:left w:val="nil"/>
              <w:bottom w:val="nil"/>
              <w:right w:val="nil"/>
            </w:tcBorders>
            <w:shd w:val="clear" w:color="auto" w:fill="FFFFFF"/>
          </w:tcPr>
          <w:p w14:paraId="55E90F5D">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0.42 </w:t>
            </w:r>
          </w:p>
        </w:tc>
      </w:tr>
      <w:tr w14:paraId="53A5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tcBorders>
              <w:top w:val="nil"/>
              <w:left w:val="nil"/>
              <w:bottom w:val="single" w:color="000000" w:sz="12" w:space="0"/>
              <w:right w:val="nil"/>
            </w:tcBorders>
            <w:shd w:val="clear" w:color="auto" w:fill="FFFFFF"/>
            <w:vAlign w:val="center"/>
          </w:tcPr>
          <w:p w14:paraId="23555155">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GBM</w:t>
            </w:r>
          </w:p>
        </w:tc>
        <w:tc>
          <w:tcPr>
            <w:tcW w:w="2028" w:type="dxa"/>
            <w:tcBorders>
              <w:top w:val="nil"/>
              <w:left w:val="nil"/>
              <w:bottom w:val="single" w:color="000000" w:sz="12" w:space="0"/>
              <w:right w:val="nil"/>
            </w:tcBorders>
            <w:shd w:val="clear" w:color="auto" w:fill="FFFFFF"/>
          </w:tcPr>
          <w:p w14:paraId="1B1DF509">
            <w:pPr>
              <w:spacing w:line="240" w:lineRule="auto"/>
              <w:ind w:firstLine="0" w:firstLineChars="0"/>
              <w:jc w:val="center"/>
              <w:rPr>
                <w:rFonts w:ascii="Times New Roman" w:hAnsi="Times New Roman" w:cs="Times New Roman"/>
                <w:sz w:val="18"/>
                <w:szCs w:val="20"/>
              </w:rPr>
            </w:pPr>
            <w:r>
              <w:rPr>
                <w:rFonts w:hint="eastAsia" w:ascii="Times New Roman" w:hAnsi="Times New Roman"/>
              </w:rPr>
              <w:t>0.71 （0.66-0.76）</w:t>
            </w:r>
          </w:p>
        </w:tc>
        <w:tc>
          <w:tcPr>
            <w:tcW w:w="1401" w:type="dxa"/>
            <w:tcBorders>
              <w:top w:val="nil"/>
              <w:left w:val="nil"/>
              <w:bottom w:val="single" w:color="000000" w:sz="12" w:space="0"/>
              <w:right w:val="nil"/>
            </w:tcBorders>
            <w:shd w:val="clear" w:color="auto" w:fill="FFFFFF"/>
          </w:tcPr>
          <w:p w14:paraId="674E14DD">
            <w:pPr>
              <w:spacing w:line="240" w:lineRule="auto"/>
              <w:ind w:firstLine="0" w:firstLineChars="0"/>
              <w:jc w:val="center"/>
              <w:rPr>
                <w:rFonts w:ascii="Times New Roman" w:hAnsi="Times New Roman" w:cs="Times New Roman"/>
                <w:sz w:val="18"/>
                <w:szCs w:val="20"/>
              </w:rPr>
            </w:pPr>
            <w:r>
              <w:rPr>
                <w:rFonts w:hint="eastAsia" w:ascii="Times New Roman" w:hAnsi="Times New Roman"/>
              </w:rPr>
              <w:t>27.84%</w:t>
            </w:r>
          </w:p>
        </w:tc>
        <w:tc>
          <w:tcPr>
            <w:tcW w:w="1401" w:type="dxa"/>
            <w:tcBorders>
              <w:top w:val="nil"/>
              <w:left w:val="nil"/>
              <w:bottom w:val="single" w:color="000000" w:sz="12" w:space="0"/>
              <w:right w:val="nil"/>
            </w:tcBorders>
            <w:shd w:val="clear" w:color="auto" w:fill="FFFFFF"/>
          </w:tcPr>
          <w:p w14:paraId="39833DC6">
            <w:pPr>
              <w:spacing w:line="240" w:lineRule="auto"/>
              <w:ind w:firstLine="0" w:firstLineChars="0"/>
              <w:jc w:val="center"/>
              <w:rPr>
                <w:rFonts w:ascii="Times New Roman" w:hAnsi="Times New Roman" w:cs="Times New Roman"/>
                <w:sz w:val="18"/>
                <w:szCs w:val="20"/>
              </w:rPr>
            </w:pPr>
            <w:r>
              <w:rPr>
                <w:rFonts w:hint="eastAsia" w:ascii="Times New Roman" w:hAnsi="Times New Roman"/>
              </w:rPr>
              <w:t>98.76%</w:t>
            </w:r>
          </w:p>
        </w:tc>
        <w:tc>
          <w:tcPr>
            <w:tcW w:w="1396" w:type="dxa"/>
            <w:tcBorders>
              <w:top w:val="nil"/>
              <w:left w:val="nil"/>
              <w:bottom w:val="single" w:color="000000" w:sz="12" w:space="0"/>
              <w:right w:val="nil"/>
            </w:tcBorders>
            <w:shd w:val="clear" w:color="auto" w:fill="FFFFFF"/>
          </w:tcPr>
          <w:p w14:paraId="7AE5A673">
            <w:pPr>
              <w:spacing w:line="240" w:lineRule="auto"/>
              <w:ind w:firstLine="0" w:firstLineChars="0"/>
              <w:jc w:val="center"/>
              <w:rPr>
                <w:rFonts w:ascii="Times New Roman" w:hAnsi="Times New Roman" w:cs="Times New Roman"/>
                <w:sz w:val="18"/>
                <w:szCs w:val="20"/>
              </w:rPr>
            </w:pPr>
            <w:r>
              <w:rPr>
                <w:rFonts w:hint="eastAsia" w:ascii="Times New Roman" w:hAnsi="Times New Roman"/>
              </w:rPr>
              <w:t>88.33%</w:t>
            </w:r>
          </w:p>
        </w:tc>
        <w:tc>
          <w:tcPr>
            <w:tcW w:w="1363" w:type="dxa"/>
            <w:tcBorders>
              <w:top w:val="nil"/>
              <w:left w:val="nil"/>
              <w:bottom w:val="single" w:color="000000" w:sz="12" w:space="0"/>
              <w:right w:val="nil"/>
            </w:tcBorders>
            <w:shd w:val="clear" w:color="auto" w:fill="FFFFFF"/>
          </w:tcPr>
          <w:p w14:paraId="572F7B98">
            <w:pPr>
              <w:spacing w:line="240" w:lineRule="auto"/>
              <w:ind w:firstLine="0" w:firstLineChars="0"/>
              <w:jc w:val="center"/>
              <w:rPr>
                <w:rFonts w:ascii="Times New Roman" w:hAnsi="Times New Roman" w:cs="Times New Roman"/>
                <w:sz w:val="18"/>
                <w:szCs w:val="20"/>
              </w:rPr>
            </w:pPr>
            <w:r>
              <w:rPr>
                <w:rFonts w:hint="eastAsia" w:ascii="Times New Roman" w:hAnsi="Times New Roman"/>
              </w:rPr>
              <w:t xml:space="preserve">0.41 </w:t>
            </w:r>
          </w:p>
        </w:tc>
      </w:tr>
    </w:tbl>
    <w:p w14:paraId="59B8A83A">
      <w:pPr>
        <w:ind w:firstLine="360"/>
        <w:jc w:val="center"/>
        <w:rPr>
          <w:rFonts w:ascii="Times New Roman" w:hAnsi="Times New Roman" w:cs="Times New Roman"/>
          <w:sz w:val="18"/>
          <w:szCs w:val="20"/>
        </w:rPr>
      </w:pPr>
    </w:p>
    <w:p w14:paraId="3B3BAFB5">
      <w:pPr>
        <w:ind w:firstLine="360"/>
        <w:jc w:val="center"/>
        <w:rPr>
          <w:rFonts w:ascii="Times New Roman" w:hAnsi="Times New Roman" w:cs="Times New Roman"/>
          <w:sz w:val="18"/>
          <w:szCs w:val="20"/>
        </w:rPr>
      </w:pPr>
      <w:r>
        <w:rPr>
          <w:rFonts w:ascii="Times New Roman" w:hAnsi="Times New Roman" w:cs="Times New Roman"/>
          <w:sz w:val="18"/>
          <w:szCs w:val="20"/>
        </w:rPr>
        <w:t>表</w:t>
      </w:r>
      <w:r>
        <w:rPr>
          <w:rFonts w:hint="eastAsia" w:ascii="Times New Roman" w:hAnsi="Times New Roman" w:cs="Times New Roman"/>
          <w:sz w:val="18"/>
          <w:szCs w:val="20"/>
        </w:rPr>
        <w:t>4</w:t>
      </w:r>
      <w:r>
        <w:rPr>
          <w:rFonts w:ascii="Times New Roman" w:hAnsi="Times New Roman" w:cs="Times New Roman"/>
          <w:sz w:val="18"/>
          <w:szCs w:val="20"/>
        </w:rPr>
        <w:t xml:space="preserve"> </w:t>
      </w:r>
      <w:r>
        <w:rPr>
          <w:rFonts w:hint="eastAsia" w:ascii="Times New Roman" w:hAnsi="Times New Roman" w:cs="Times New Roman"/>
          <w:sz w:val="18"/>
          <w:szCs w:val="20"/>
        </w:rPr>
        <w:t>围手术期</w:t>
      </w:r>
      <w:r>
        <w:rPr>
          <w:rFonts w:ascii="Times New Roman" w:hAnsi="Times New Roman" w:cs="Times New Roman"/>
          <w:sz w:val="18"/>
          <w:szCs w:val="20"/>
        </w:rPr>
        <w:t>模型的预测性能比较</w:t>
      </w:r>
    </w:p>
    <w:p w14:paraId="7BD09701">
      <w:pPr>
        <w:ind w:firstLine="360"/>
        <w:jc w:val="center"/>
        <w:rPr>
          <w:rFonts w:ascii="Times New Roman" w:hAnsi="Times New Roman" w:cs="Times New Roman"/>
          <w:sz w:val="18"/>
          <w:szCs w:val="20"/>
        </w:rPr>
      </w:pPr>
      <w:r>
        <w:rPr>
          <w:rFonts w:ascii="Times New Roman" w:hAnsi="Times New Roman" w:cs="Times New Roman"/>
          <w:sz w:val="18"/>
          <w:szCs w:val="20"/>
        </w:rPr>
        <w:t xml:space="preserve">Table </w:t>
      </w:r>
      <w:r>
        <w:rPr>
          <w:rFonts w:hint="eastAsia" w:ascii="Times New Roman" w:hAnsi="Times New Roman" w:cs="Times New Roman"/>
          <w:sz w:val="18"/>
          <w:szCs w:val="20"/>
        </w:rPr>
        <w:t>4</w:t>
      </w:r>
      <w:r>
        <w:rPr>
          <w:rFonts w:ascii="Times New Roman" w:hAnsi="Times New Roman" w:cs="Times New Roman"/>
          <w:sz w:val="18"/>
          <w:szCs w:val="20"/>
        </w:rPr>
        <w:t xml:space="preserve"> </w:t>
      </w:r>
      <w:r>
        <w:rPr>
          <w:rFonts w:hint="eastAsia" w:ascii="Times New Roman" w:hAnsi="Times New Roman" w:cs="Times New Roman"/>
          <w:sz w:val="18"/>
          <w:szCs w:val="20"/>
        </w:rPr>
        <w:t>Comparison of Predictive Performance of Perioperative Models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2126"/>
        <w:gridCol w:w="1169"/>
        <w:gridCol w:w="1401"/>
        <w:gridCol w:w="1396"/>
        <w:gridCol w:w="1363"/>
      </w:tblGrid>
      <w:tr w14:paraId="799E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single" w:color="000000" w:sz="12" w:space="0"/>
              <w:left w:val="nil"/>
              <w:bottom w:val="single" w:color="000000" w:sz="4" w:space="0"/>
              <w:right w:val="nil"/>
              <w:tl2br w:val="nil"/>
            </w:tcBorders>
            <w:shd w:val="clear" w:color="auto" w:fill="FFFFFF"/>
            <w:vAlign w:val="center"/>
          </w:tcPr>
          <w:p w14:paraId="0C3E02EB">
            <w:pPr>
              <w:spacing w:line="240" w:lineRule="auto"/>
              <w:ind w:firstLine="0" w:firstLineChars="0"/>
              <w:jc w:val="center"/>
              <w:rPr>
                <w:rFonts w:ascii="Times New Roman" w:hAnsi="Times New Roman" w:cs="Times New Roman"/>
                <w:sz w:val="18"/>
                <w:szCs w:val="20"/>
              </w:rPr>
            </w:pPr>
          </w:p>
        </w:tc>
        <w:tc>
          <w:tcPr>
            <w:tcW w:w="2126" w:type="dxa"/>
            <w:tcBorders>
              <w:top w:val="single" w:color="000000" w:sz="12" w:space="0"/>
              <w:left w:val="nil"/>
              <w:bottom w:val="single" w:color="000000" w:sz="4" w:space="0"/>
              <w:right w:val="nil"/>
            </w:tcBorders>
            <w:shd w:val="clear" w:color="auto" w:fill="FFFFFF"/>
            <w:vAlign w:val="center"/>
          </w:tcPr>
          <w:p w14:paraId="4202A718">
            <w:pPr>
              <w:spacing w:line="240" w:lineRule="auto"/>
              <w:ind w:firstLine="0" w:firstLineChars="0"/>
              <w:jc w:val="center"/>
              <w:rPr>
                <w:rFonts w:ascii="Times New Roman" w:hAnsi="Times New Roman" w:cs="Times New Roman"/>
                <w:b/>
                <w:bCs/>
                <w:sz w:val="18"/>
                <w:szCs w:val="20"/>
              </w:rPr>
            </w:pPr>
            <w:r>
              <w:rPr>
                <w:rFonts w:hint="eastAsia" w:ascii="Times New Roman" w:hAnsi="Times New Roman" w:cs="Times New Roman"/>
                <w:b/>
                <w:bCs/>
                <w:sz w:val="18"/>
                <w:szCs w:val="20"/>
              </w:rPr>
              <w:t>AUC（95% CI）</w:t>
            </w:r>
          </w:p>
        </w:tc>
        <w:tc>
          <w:tcPr>
            <w:tcW w:w="1169" w:type="dxa"/>
            <w:tcBorders>
              <w:top w:val="single" w:color="000000" w:sz="12" w:space="0"/>
              <w:left w:val="nil"/>
              <w:bottom w:val="single" w:color="000000" w:sz="4" w:space="0"/>
              <w:right w:val="nil"/>
            </w:tcBorders>
            <w:shd w:val="clear" w:color="auto" w:fill="FFFFFF"/>
            <w:vAlign w:val="center"/>
          </w:tcPr>
          <w:p w14:paraId="7AD1269F">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Sensitivity</w:t>
            </w:r>
          </w:p>
        </w:tc>
        <w:tc>
          <w:tcPr>
            <w:tcW w:w="1401" w:type="dxa"/>
            <w:tcBorders>
              <w:top w:val="single" w:color="000000" w:sz="12" w:space="0"/>
              <w:left w:val="nil"/>
              <w:bottom w:val="single" w:color="000000" w:sz="4" w:space="0"/>
              <w:right w:val="nil"/>
            </w:tcBorders>
            <w:shd w:val="clear" w:color="auto" w:fill="FFFFFF"/>
            <w:vAlign w:val="center"/>
          </w:tcPr>
          <w:p w14:paraId="44C398F9">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Specificity</w:t>
            </w:r>
          </w:p>
        </w:tc>
        <w:tc>
          <w:tcPr>
            <w:tcW w:w="1396" w:type="dxa"/>
            <w:tcBorders>
              <w:top w:val="single" w:color="000000" w:sz="12" w:space="0"/>
              <w:left w:val="nil"/>
              <w:bottom w:val="single" w:color="000000" w:sz="4" w:space="0"/>
              <w:right w:val="nil"/>
            </w:tcBorders>
            <w:shd w:val="clear" w:color="auto" w:fill="FFFFFF"/>
            <w:vAlign w:val="center"/>
          </w:tcPr>
          <w:p w14:paraId="1ED06200">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Accuracy</w:t>
            </w:r>
          </w:p>
        </w:tc>
        <w:tc>
          <w:tcPr>
            <w:tcW w:w="1363" w:type="dxa"/>
            <w:tcBorders>
              <w:top w:val="single" w:color="000000" w:sz="12" w:space="0"/>
              <w:left w:val="nil"/>
              <w:bottom w:val="single" w:color="000000" w:sz="4" w:space="0"/>
              <w:right w:val="nil"/>
            </w:tcBorders>
            <w:shd w:val="clear" w:color="auto" w:fill="FFFFFF"/>
            <w:vAlign w:val="center"/>
          </w:tcPr>
          <w:p w14:paraId="3B4C4FCD">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F1</w:t>
            </w:r>
          </w:p>
        </w:tc>
      </w:tr>
      <w:tr w14:paraId="4310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single" w:color="000000" w:sz="4" w:space="0"/>
              <w:left w:val="nil"/>
              <w:bottom w:val="nil"/>
              <w:right w:val="nil"/>
            </w:tcBorders>
            <w:shd w:val="clear" w:color="auto" w:fill="FFFFFF"/>
            <w:vAlign w:val="center"/>
          </w:tcPr>
          <w:p w14:paraId="447D4646">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GLM</w:t>
            </w:r>
          </w:p>
        </w:tc>
        <w:tc>
          <w:tcPr>
            <w:tcW w:w="2126" w:type="dxa"/>
            <w:tcBorders>
              <w:top w:val="single" w:color="000000" w:sz="4" w:space="0"/>
              <w:left w:val="nil"/>
              <w:bottom w:val="nil"/>
              <w:right w:val="nil"/>
            </w:tcBorders>
            <w:shd w:val="clear" w:color="auto" w:fill="FFFFFF"/>
          </w:tcPr>
          <w:p w14:paraId="14FDC546">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0.84（0.79-0.88）</w:t>
            </w:r>
          </w:p>
        </w:tc>
        <w:tc>
          <w:tcPr>
            <w:tcW w:w="1169" w:type="dxa"/>
            <w:tcBorders>
              <w:top w:val="single" w:color="000000" w:sz="4" w:space="0"/>
              <w:left w:val="nil"/>
              <w:bottom w:val="nil"/>
              <w:right w:val="nil"/>
            </w:tcBorders>
            <w:shd w:val="clear" w:color="auto" w:fill="FFFFFF"/>
            <w:vAlign w:val="center"/>
          </w:tcPr>
          <w:p w14:paraId="6685B9BC">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47.42%</w:t>
            </w:r>
          </w:p>
        </w:tc>
        <w:tc>
          <w:tcPr>
            <w:tcW w:w="1401" w:type="dxa"/>
            <w:tcBorders>
              <w:top w:val="single" w:color="000000" w:sz="4" w:space="0"/>
              <w:left w:val="nil"/>
              <w:bottom w:val="nil"/>
              <w:right w:val="nil"/>
            </w:tcBorders>
            <w:shd w:val="clear" w:color="auto" w:fill="FFFFFF"/>
            <w:vAlign w:val="center"/>
          </w:tcPr>
          <w:p w14:paraId="3333610D">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99.64%</w:t>
            </w:r>
          </w:p>
        </w:tc>
        <w:tc>
          <w:tcPr>
            <w:tcW w:w="1396" w:type="dxa"/>
            <w:tcBorders>
              <w:top w:val="single" w:color="000000" w:sz="4" w:space="0"/>
              <w:left w:val="nil"/>
              <w:bottom w:val="nil"/>
              <w:right w:val="nil"/>
            </w:tcBorders>
            <w:shd w:val="clear" w:color="auto" w:fill="FFFFFF"/>
            <w:vAlign w:val="center"/>
          </w:tcPr>
          <w:p w14:paraId="551EFDF2">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91.97%</w:t>
            </w:r>
          </w:p>
        </w:tc>
        <w:tc>
          <w:tcPr>
            <w:tcW w:w="1363" w:type="dxa"/>
            <w:tcBorders>
              <w:top w:val="single" w:color="000000" w:sz="4" w:space="0"/>
              <w:left w:val="nil"/>
              <w:bottom w:val="nil"/>
              <w:right w:val="nil"/>
            </w:tcBorders>
            <w:shd w:val="clear" w:color="auto" w:fill="FFFFFF"/>
            <w:vAlign w:val="center"/>
          </w:tcPr>
          <w:p w14:paraId="21011F08">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0.63</w:t>
            </w:r>
          </w:p>
        </w:tc>
      </w:tr>
      <w:tr w14:paraId="1B0E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nil"/>
              <w:left w:val="nil"/>
              <w:bottom w:val="nil"/>
              <w:right w:val="nil"/>
            </w:tcBorders>
            <w:shd w:val="clear" w:color="auto" w:fill="FFFFFF"/>
            <w:vAlign w:val="center"/>
          </w:tcPr>
          <w:p w14:paraId="61BC5BFB">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RF</w:t>
            </w:r>
          </w:p>
        </w:tc>
        <w:tc>
          <w:tcPr>
            <w:tcW w:w="2126" w:type="dxa"/>
            <w:tcBorders>
              <w:top w:val="nil"/>
              <w:left w:val="nil"/>
              <w:bottom w:val="nil"/>
              <w:right w:val="nil"/>
            </w:tcBorders>
            <w:shd w:val="clear" w:color="auto" w:fill="FFFFFF"/>
          </w:tcPr>
          <w:p w14:paraId="1221A712">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0.83（0.78-0.87）</w:t>
            </w:r>
          </w:p>
        </w:tc>
        <w:tc>
          <w:tcPr>
            <w:tcW w:w="1169" w:type="dxa"/>
            <w:tcBorders>
              <w:top w:val="nil"/>
              <w:left w:val="nil"/>
              <w:bottom w:val="nil"/>
              <w:right w:val="nil"/>
            </w:tcBorders>
            <w:shd w:val="clear" w:color="auto" w:fill="FFFFFF"/>
            <w:vAlign w:val="center"/>
          </w:tcPr>
          <w:p w14:paraId="30130CD2">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63.92%</w:t>
            </w:r>
          </w:p>
        </w:tc>
        <w:tc>
          <w:tcPr>
            <w:tcW w:w="1401" w:type="dxa"/>
            <w:tcBorders>
              <w:top w:val="nil"/>
              <w:left w:val="nil"/>
              <w:bottom w:val="nil"/>
              <w:right w:val="nil"/>
            </w:tcBorders>
            <w:shd w:val="clear" w:color="auto" w:fill="FFFFFF"/>
            <w:vAlign w:val="center"/>
          </w:tcPr>
          <w:p w14:paraId="65DF9F5D">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84.19%</w:t>
            </w:r>
          </w:p>
        </w:tc>
        <w:tc>
          <w:tcPr>
            <w:tcW w:w="1396" w:type="dxa"/>
            <w:tcBorders>
              <w:top w:val="nil"/>
              <w:left w:val="nil"/>
              <w:bottom w:val="nil"/>
              <w:right w:val="nil"/>
            </w:tcBorders>
            <w:shd w:val="clear" w:color="auto" w:fill="FFFFFF"/>
            <w:vAlign w:val="center"/>
          </w:tcPr>
          <w:p w14:paraId="4EF1B32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81.21%</w:t>
            </w:r>
          </w:p>
        </w:tc>
        <w:tc>
          <w:tcPr>
            <w:tcW w:w="1363" w:type="dxa"/>
            <w:tcBorders>
              <w:top w:val="nil"/>
              <w:left w:val="nil"/>
              <w:bottom w:val="nil"/>
              <w:right w:val="nil"/>
            </w:tcBorders>
            <w:shd w:val="clear" w:color="auto" w:fill="FFFFFF"/>
            <w:vAlign w:val="center"/>
          </w:tcPr>
          <w:p w14:paraId="2972255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0.50</w:t>
            </w:r>
          </w:p>
        </w:tc>
      </w:tr>
      <w:tr w14:paraId="47BF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nil"/>
              <w:left w:val="nil"/>
              <w:bottom w:val="nil"/>
              <w:right w:val="nil"/>
            </w:tcBorders>
            <w:shd w:val="clear" w:color="auto" w:fill="FFFFFF"/>
            <w:vAlign w:val="center"/>
          </w:tcPr>
          <w:p w14:paraId="1DDB02F3">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SVM</w:t>
            </w:r>
          </w:p>
        </w:tc>
        <w:tc>
          <w:tcPr>
            <w:tcW w:w="2126" w:type="dxa"/>
            <w:tcBorders>
              <w:top w:val="nil"/>
              <w:left w:val="nil"/>
              <w:bottom w:val="nil"/>
              <w:right w:val="nil"/>
            </w:tcBorders>
            <w:shd w:val="clear" w:color="auto" w:fill="FFFFFF"/>
          </w:tcPr>
          <w:p w14:paraId="760CE8FC">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 xml:space="preserve">0.85（0.81-0.89） </w:t>
            </w:r>
          </w:p>
        </w:tc>
        <w:tc>
          <w:tcPr>
            <w:tcW w:w="1169" w:type="dxa"/>
            <w:tcBorders>
              <w:top w:val="nil"/>
              <w:left w:val="nil"/>
              <w:bottom w:val="nil"/>
              <w:right w:val="nil"/>
            </w:tcBorders>
            <w:shd w:val="clear" w:color="auto" w:fill="FFFFFF"/>
            <w:vAlign w:val="center"/>
          </w:tcPr>
          <w:p w14:paraId="6852FB0A">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46.39%</w:t>
            </w:r>
          </w:p>
        </w:tc>
        <w:tc>
          <w:tcPr>
            <w:tcW w:w="1401" w:type="dxa"/>
            <w:tcBorders>
              <w:top w:val="nil"/>
              <w:left w:val="nil"/>
              <w:bottom w:val="nil"/>
              <w:right w:val="nil"/>
            </w:tcBorders>
            <w:shd w:val="clear" w:color="auto" w:fill="FFFFFF"/>
            <w:vAlign w:val="center"/>
          </w:tcPr>
          <w:p w14:paraId="5275934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99.64%</w:t>
            </w:r>
          </w:p>
        </w:tc>
        <w:tc>
          <w:tcPr>
            <w:tcW w:w="1396" w:type="dxa"/>
            <w:tcBorders>
              <w:top w:val="nil"/>
              <w:left w:val="nil"/>
              <w:bottom w:val="nil"/>
              <w:right w:val="nil"/>
            </w:tcBorders>
            <w:shd w:val="clear" w:color="auto" w:fill="FFFFFF"/>
            <w:vAlign w:val="center"/>
          </w:tcPr>
          <w:p w14:paraId="039F490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91.82%</w:t>
            </w:r>
          </w:p>
        </w:tc>
        <w:tc>
          <w:tcPr>
            <w:tcW w:w="1363" w:type="dxa"/>
            <w:tcBorders>
              <w:top w:val="nil"/>
              <w:left w:val="nil"/>
              <w:bottom w:val="nil"/>
              <w:right w:val="nil"/>
            </w:tcBorders>
            <w:shd w:val="clear" w:color="auto" w:fill="FFFFFF"/>
            <w:vAlign w:val="center"/>
          </w:tcPr>
          <w:p w14:paraId="10C09923">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0.63</w:t>
            </w:r>
          </w:p>
        </w:tc>
      </w:tr>
      <w:tr w14:paraId="531D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nil"/>
              <w:left w:val="nil"/>
              <w:bottom w:val="nil"/>
              <w:right w:val="nil"/>
            </w:tcBorders>
            <w:shd w:val="clear" w:color="auto" w:fill="FFFFFF"/>
            <w:vAlign w:val="center"/>
          </w:tcPr>
          <w:p w14:paraId="1A4A8D9F">
            <w:pPr>
              <w:spacing w:line="240" w:lineRule="auto"/>
              <w:ind w:firstLine="0" w:firstLineChars="0"/>
              <w:jc w:val="center"/>
              <w:rPr>
                <w:rFonts w:ascii="Times New Roman" w:hAnsi="Times New Roman" w:cs="Times New Roman"/>
                <w:b/>
                <w:bCs/>
                <w:sz w:val="18"/>
                <w:szCs w:val="20"/>
              </w:rPr>
            </w:pPr>
            <w:r>
              <w:rPr>
                <w:rFonts w:ascii="Times New Roman" w:hAnsi="Times New Roman" w:cs="Times New Roman"/>
                <w:b/>
                <w:bCs/>
                <w:sz w:val="18"/>
                <w:szCs w:val="20"/>
              </w:rPr>
              <w:t>NNET</w:t>
            </w:r>
          </w:p>
        </w:tc>
        <w:tc>
          <w:tcPr>
            <w:tcW w:w="2126" w:type="dxa"/>
            <w:tcBorders>
              <w:top w:val="nil"/>
              <w:left w:val="nil"/>
              <w:bottom w:val="nil"/>
              <w:right w:val="nil"/>
            </w:tcBorders>
            <w:shd w:val="clear" w:color="auto" w:fill="FFFFFF"/>
          </w:tcPr>
          <w:p w14:paraId="3927CB8D">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 xml:space="preserve">0.84（0.78-0.87） </w:t>
            </w:r>
          </w:p>
        </w:tc>
        <w:tc>
          <w:tcPr>
            <w:tcW w:w="1169" w:type="dxa"/>
            <w:tcBorders>
              <w:top w:val="nil"/>
              <w:left w:val="nil"/>
              <w:bottom w:val="nil"/>
              <w:right w:val="nil"/>
            </w:tcBorders>
            <w:shd w:val="clear" w:color="auto" w:fill="FFFFFF"/>
            <w:vAlign w:val="center"/>
          </w:tcPr>
          <w:p w14:paraId="46B8C24E">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63.92%</w:t>
            </w:r>
          </w:p>
        </w:tc>
        <w:tc>
          <w:tcPr>
            <w:tcW w:w="1401" w:type="dxa"/>
            <w:tcBorders>
              <w:top w:val="nil"/>
              <w:left w:val="nil"/>
              <w:bottom w:val="nil"/>
              <w:right w:val="nil"/>
            </w:tcBorders>
            <w:shd w:val="clear" w:color="auto" w:fill="FFFFFF"/>
            <w:vAlign w:val="center"/>
          </w:tcPr>
          <w:p w14:paraId="3902FB42">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84.19%</w:t>
            </w:r>
          </w:p>
        </w:tc>
        <w:tc>
          <w:tcPr>
            <w:tcW w:w="1396" w:type="dxa"/>
            <w:tcBorders>
              <w:top w:val="nil"/>
              <w:left w:val="nil"/>
              <w:bottom w:val="nil"/>
              <w:right w:val="nil"/>
            </w:tcBorders>
            <w:shd w:val="clear" w:color="auto" w:fill="FFFFFF"/>
            <w:vAlign w:val="center"/>
          </w:tcPr>
          <w:p w14:paraId="426DF369">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81.21%</w:t>
            </w:r>
          </w:p>
        </w:tc>
        <w:tc>
          <w:tcPr>
            <w:tcW w:w="1363" w:type="dxa"/>
            <w:tcBorders>
              <w:top w:val="nil"/>
              <w:left w:val="nil"/>
              <w:bottom w:val="nil"/>
              <w:right w:val="nil"/>
            </w:tcBorders>
            <w:shd w:val="clear" w:color="auto" w:fill="FFFFFF"/>
            <w:vAlign w:val="center"/>
          </w:tcPr>
          <w:p w14:paraId="0F1FD438">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0.50</w:t>
            </w:r>
          </w:p>
        </w:tc>
      </w:tr>
      <w:tr w14:paraId="1100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Borders>
              <w:top w:val="nil"/>
              <w:left w:val="nil"/>
              <w:bottom w:val="single" w:color="000000" w:sz="12" w:space="0"/>
              <w:right w:val="nil"/>
            </w:tcBorders>
            <w:shd w:val="clear" w:color="auto" w:fill="FFFFFF"/>
            <w:vAlign w:val="center"/>
          </w:tcPr>
          <w:p w14:paraId="21D4B587">
            <w:pPr>
              <w:spacing w:line="240" w:lineRule="auto"/>
              <w:ind w:firstLine="0" w:firstLineChars="0"/>
              <w:jc w:val="center"/>
              <w:rPr>
                <w:rFonts w:ascii="Times New Roman" w:hAnsi="Times New Roman" w:cs="Times New Roman"/>
                <w:b/>
                <w:bCs/>
                <w:sz w:val="18"/>
                <w:szCs w:val="20"/>
              </w:rPr>
            </w:pPr>
            <w:bookmarkStart w:id="12" w:name="_Hlk216463708"/>
            <w:r>
              <w:rPr>
                <w:rFonts w:ascii="Times New Roman" w:hAnsi="Times New Roman" w:cs="Times New Roman"/>
                <w:b/>
                <w:bCs/>
                <w:sz w:val="18"/>
                <w:szCs w:val="20"/>
              </w:rPr>
              <w:t>GBM</w:t>
            </w:r>
          </w:p>
        </w:tc>
        <w:tc>
          <w:tcPr>
            <w:tcW w:w="2126" w:type="dxa"/>
            <w:tcBorders>
              <w:top w:val="nil"/>
              <w:left w:val="nil"/>
              <w:bottom w:val="single" w:color="000000" w:sz="12" w:space="0"/>
              <w:right w:val="nil"/>
            </w:tcBorders>
            <w:shd w:val="clear" w:color="auto" w:fill="FFFFFF"/>
          </w:tcPr>
          <w:p w14:paraId="7844C4CC">
            <w:pPr>
              <w:spacing w:line="240" w:lineRule="auto"/>
              <w:ind w:firstLine="0" w:firstLineChars="0"/>
              <w:jc w:val="center"/>
              <w:rPr>
                <w:rFonts w:ascii="Times New Roman" w:hAnsi="Times New Roman" w:cs="Times New Roman"/>
                <w:sz w:val="18"/>
                <w:szCs w:val="20"/>
              </w:rPr>
            </w:pPr>
            <w:r>
              <w:rPr>
                <w:rFonts w:ascii="Times New Roman" w:hAnsi="Times New Roman" w:cs="Times New Roman"/>
              </w:rPr>
              <w:t xml:space="preserve">0.85（0.80-0.89） </w:t>
            </w:r>
          </w:p>
        </w:tc>
        <w:tc>
          <w:tcPr>
            <w:tcW w:w="1169" w:type="dxa"/>
            <w:tcBorders>
              <w:top w:val="nil"/>
              <w:left w:val="nil"/>
              <w:bottom w:val="single" w:color="000000" w:sz="12" w:space="0"/>
              <w:right w:val="nil"/>
            </w:tcBorders>
            <w:shd w:val="clear" w:color="auto" w:fill="FFFFFF"/>
            <w:vAlign w:val="center"/>
          </w:tcPr>
          <w:p w14:paraId="013EAE44">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6</w:t>
            </w:r>
            <w:r>
              <w:rPr>
                <w:rFonts w:hint="eastAsia" w:ascii="Times New Roman" w:hAnsi="Times New Roman" w:cs="Times New Roman"/>
                <w:sz w:val="18"/>
                <w:szCs w:val="20"/>
              </w:rPr>
              <w:t>9</w:t>
            </w:r>
            <w:r>
              <w:rPr>
                <w:rFonts w:ascii="Times New Roman" w:hAnsi="Times New Roman" w:cs="Times New Roman"/>
                <w:sz w:val="18"/>
                <w:szCs w:val="20"/>
              </w:rPr>
              <w:t>.</w:t>
            </w:r>
            <w:r>
              <w:rPr>
                <w:rFonts w:hint="eastAsia" w:ascii="Times New Roman" w:hAnsi="Times New Roman" w:cs="Times New Roman"/>
                <w:sz w:val="18"/>
                <w:szCs w:val="20"/>
              </w:rPr>
              <w:t>07</w:t>
            </w:r>
            <w:r>
              <w:rPr>
                <w:rFonts w:ascii="Times New Roman" w:hAnsi="Times New Roman" w:cs="Times New Roman"/>
                <w:sz w:val="18"/>
                <w:szCs w:val="20"/>
              </w:rPr>
              <w:t>%</w:t>
            </w:r>
          </w:p>
        </w:tc>
        <w:tc>
          <w:tcPr>
            <w:tcW w:w="1401" w:type="dxa"/>
            <w:tcBorders>
              <w:top w:val="nil"/>
              <w:left w:val="nil"/>
              <w:bottom w:val="single" w:color="000000" w:sz="12" w:space="0"/>
              <w:right w:val="nil"/>
            </w:tcBorders>
            <w:shd w:val="clear" w:color="auto" w:fill="FFFFFF"/>
            <w:vAlign w:val="center"/>
          </w:tcPr>
          <w:p w14:paraId="5CB00665">
            <w:pPr>
              <w:spacing w:line="240" w:lineRule="auto"/>
              <w:ind w:firstLine="0" w:firstLineChars="0"/>
              <w:jc w:val="center"/>
              <w:rPr>
                <w:rFonts w:ascii="Times New Roman" w:hAnsi="Times New Roman" w:cs="Times New Roman"/>
                <w:sz w:val="18"/>
                <w:szCs w:val="20"/>
              </w:rPr>
            </w:pPr>
            <w:bookmarkStart w:id="13" w:name="_Hlk218524328"/>
            <w:r>
              <w:rPr>
                <w:rFonts w:ascii="Times New Roman" w:hAnsi="Times New Roman" w:cs="Times New Roman"/>
                <w:sz w:val="18"/>
                <w:szCs w:val="20"/>
              </w:rPr>
              <w:t>8</w:t>
            </w:r>
            <w:r>
              <w:rPr>
                <w:rFonts w:hint="eastAsia" w:ascii="Times New Roman" w:hAnsi="Times New Roman" w:cs="Times New Roman"/>
                <w:sz w:val="18"/>
                <w:szCs w:val="20"/>
              </w:rPr>
              <w:t>2</w:t>
            </w:r>
            <w:r>
              <w:rPr>
                <w:rFonts w:ascii="Times New Roman" w:hAnsi="Times New Roman" w:cs="Times New Roman"/>
                <w:sz w:val="18"/>
                <w:szCs w:val="20"/>
              </w:rPr>
              <w:t>.</w:t>
            </w:r>
            <w:r>
              <w:rPr>
                <w:rFonts w:hint="eastAsia" w:ascii="Times New Roman" w:hAnsi="Times New Roman" w:cs="Times New Roman"/>
                <w:sz w:val="18"/>
                <w:szCs w:val="20"/>
              </w:rPr>
              <w:t>59</w:t>
            </w:r>
            <w:r>
              <w:rPr>
                <w:rFonts w:ascii="Times New Roman" w:hAnsi="Times New Roman" w:cs="Times New Roman"/>
                <w:sz w:val="18"/>
                <w:szCs w:val="20"/>
              </w:rPr>
              <w:t>%</w:t>
            </w:r>
            <w:bookmarkEnd w:id="13"/>
          </w:p>
        </w:tc>
        <w:tc>
          <w:tcPr>
            <w:tcW w:w="1396" w:type="dxa"/>
            <w:tcBorders>
              <w:top w:val="nil"/>
              <w:left w:val="nil"/>
              <w:bottom w:val="single" w:color="000000" w:sz="12" w:space="0"/>
              <w:right w:val="nil"/>
            </w:tcBorders>
            <w:shd w:val="clear" w:color="auto" w:fill="FFFFFF"/>
            <w:vAlign w:val="center"/>
          </w:tcPr>
          <w:p w14:paraId="67F24A86">
            <w:pPr>
              <w:spacing w:line="240" w:lineRule="auto"/>
              <w:ind w:firstLine="0" w:firstLineChars="0"/>
              <w:jc w:val="center"/>
              <w:rPr>
                <w:rFonts w:ascii="Times New Roman" w:hAnsi="Times New Roman" w:cs="Times New Roman"/>
                <w:sz w:val="18"/>
                <w:szCs w:val="20"/>
              </w:rPr>
            </w:pPr>
            <w:bookmarkStart w:id="14" w:name="_Hlk218524709"/>
            <w:r>
              <w:rPr>
                <w:rFonts w:ascii="Times New Roman" w:hAnsi="Times New Roman" w:cs="Times New Roman"/>
                <w:sz w:val="18"/>
                <w:szCs w:val="20"/>
              </w:rPr>
              <w:t>80.61%</w:t>
            </w:r>
            <w:bookmarkEnd w:id="14"/>
          </w:p>
        </w:tc>
        <w:tc>
          <w:tcPr>
            <w:tcW w:w="1363" w:type="dxa"/>
            <w:tcBorders>
              <w:top w:val="nil"/>
              <w:left w:val="nil"/>
              <w:bottom w:val="single" w:color="000000" w:sz="12" w:space="0"/>
              <w:right w:val="nil"/>
            </w:tcBorders>
            <w:shd w:val="clear" w:color="auto" w:fill="FFFFFF"/>
            <w:vAlign w:val="center"/>
          </w:tcPr>
          <w:p w14:paraId="5521E952">
            <w:pPr>
              <w:spacing w:line="240" w:lineRule="auto"/>
              <w:ind w:firstLine="0" w:firstLineChars="0"/>
              <w:jc w:val="center"/>
              <w:rPr>
                <w:rFonts w:ascii="Times New Roman" w:hAnsi="Times New Roman" w:cs="Times New Roman"/>
                <w:sz w:val="18"/>
                <w:szCs w:val="20"/>
              </w:rPr>
            </w:pPr>
            <w:r>
              <w:rPr>
                <w:rFonts w:ascii="Times New Roman" w:hAnsi="Times New Roman" w:cs="Times New Roman"/>
                <w:sz w:val="18"/>
                <w:szCs w:val="20"/>
              </w:rPr>
              <w:t>0.50</w:t>
            </w:r>
          </w:p>
        </w:tc>
      </w:tr>
      <w:bookmarkEnd w:id="12"/>
    </w:tbl>
    <w:p w14:paraId="76A68334">
      <w:pPr>
        <w:pStyle w:val="3"/>
        <w:spacing w:before="156" w:after="156"/>
        <w:rPr>
          <w:rFonts w:ascii="Times New Roman" w:hAnsi="Times New Roman" w:eastAsia="宋体"/>
          <w:color w:val="auto"/>
          <w:lang w:eastAsia="zh-CN"/>
        </w:rPr>
      </w:pPr>
      <w:r>
        <w:rPr>
          <w:rFonts w:hint="eastAsia" w:ascii="Times New Roman" w:hAnsi="Times New Roman" w:eastAsia="宋体"/>
          <w:color w:val="auto"/>
          <w:lang w:eastAsia="zh-CN"/>
        </w:rPr>
        <w:t>可视化分析</w:t>
      </w:r>
    </w:p>
    <w:p w14:paraId="415F8F56">
      <w:pPr>
        <w:ind w:firstLine="420"/>
        <w:rPr>
          <w:rFonts w:ascii="Times New Roman" w:hAnsi="Times New Roman"/>
        </w:rPr>
      </w:pPr>
      <w:r>
        <w:rPr>
          <w:rFonts w:hint="eastAsia" w:ascii="Times New Roman" w:hAnsi="Times New Roman"/>
        </w:rPr>
        <w:t>为保证术前与围手术期模型的同质性，消除算法差异对阶段间效能对比的干扰，本研究统一选取GBM模型作为两阶段分析的模型。</w:t>
      </w:r>
      <w:r>
        <w:rPr>
          <w:rFonts w:ascii="Times New Roman" w:hAnsi="Times New Roman"/>
        </w:rPr>
        <w:t>研究</w:t>
      </w:r>
      <w:r>
        <w:rPr>
          <w:rFonts w:hint="eastAsia" w:ascii="Times New Roman" w:hAnsi="Times New Roman"/>
        </w:rPr>
        <w:t>采用SHAP分析对GBM术前与围手术期模型变量的贡献可视化</w:t>
      </w:r>
      <w:r>
        <w:rPr>
          <w:rFonts w:ascii="Times New Roman" w:hAnsi="Times New Roman"/>
        </w:rPr>
        <w:t>，如图</w:t>
      </w:r>
      <w:r>
        <w:rPr>
          <w:rFonts w:hint="eastAsia" w:ascii="Times New Roman" w:hAnsi="Times New Roman"/>
        </w:rPr>
        <w:t>3</w:t>
      </w:r>
      <w:r>
        <w:rPr>
          <w:rFonts w:ascii="Times New Roman" w:hAnsi="Times New Roman"/>
        </w:rPr>
        <w:t>所示，横坐标代表SHAP值，影响权重和特征值大小通过不同颜色表示，这意味着图中区域分布越宽，该特征对PPI预测的影响越大。同时，SHAP值的正负会表明特征与PPI之间的相关性</w:t>
      </w:r>
      <w:r>
        <w:rPr>
          <w:rFonts w:hint="eastAsia" w:ascii="Times New Roman" w:hAnsi="Times New Roman"/>
        </w:rPr>
        <w:t>。术前模型 SHAP 值呈聚集分布，点分布相较与围手术期模型更紧凑，这是由于术前模型仅纳入3个分类变量，取值有限且无连续变量的剂量渐变效应，同时其特异性高达98%以上，对绝大多数患者判定为低风险，模型输出变异度较低，导致SHAP值高度集中于0附近；而围手术期模型结合了连续与分类变量，特征类型更丰富、样本风险梯度更明显，SHAP 值呈长条形渐变分布，点的离散度更高。分析图3（b）可知，男性、延长手术时间、术后入住ICU、更高的ASA分级、术后0-3天CRP升高以及术前多重耐药菌定植是PPI风险增加的主要因素。术后是否进ICU和术前多重耐药菌是否定植作为高影响的二元风险因子，而手术时长和术后CRP峰值表现出剂量依赖性效应。</w:t>
      </w:r>
    </w:p>
    <w:p w14:paraId="47FC1276">
      <w:pPr>
        <w:ind w:firstLine="420"/>
        <w:rPr>
          <w:rFonts w:ascii="Times New Roman" w:hAnsi="Times New Roman"/>
        </w:rPr>
      </w:pPr>
      <w:r>
        <w:rPr>
          <w:rFonts w:hint="eastAsia" w:ascii="Times New Roman" w:hAnsi="Times New Roman"/>
        </w:rPr>
        <w:t>我们还统计了SHAP绝对值的总和，如图4所示。术前性别与围手术期手术持续时间为模型的核心贡献变量。值得注意的是，多因素 Logistic 回归显示术后是否入住 ICU 的 OR 值高达 96.23（表 2），提示该变量与术后肺部感染存在极强的独立线性关联；而 SHAP 值反映的是变量在机器学习模型中的综合预测贡献，从 SHAP 蜂群图可见，术后入住 ICU 的阳性样本 SHAP 值显著偏高，对高风险预测的贡献突出；而未入住 ICU 的阴性样本 SHAP 值接近 0，对模型分类贡献较小。由于本研究中术后入住 ICU 的阳性样本比例较低，导致其整体平均 SHAP 绝对值被稀释，因此在变量贡献度排序中未呈现出与 OR 值相一致的突出地位。</w:t>
      </w:r>
    </w:p>
    <w:tbl>
      <w:tblPr>
        <w:tblStyle w:val="4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434C4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50E38403">
            <w:pPr>
              <w:spacing w:line="240" w:lineRule="auto"/>
              <w:ind w:firstLine="0" w:firstLineChars="0"/>
              <w:jc w:val="center"/>
              <w:rPr>
                <w:rFonts w:ascii="Times New Roman" w:hAnsi="Times New Roman"/>
              </w:rPr>
            </w:pPr>
            <w:r>
              <w:rPr>
                <w:rFonts w:hint="eastAsia" w:ascii="Times New Roman" w:hAnsi="Times New Roman"/>
              </w:rPr>
              <w:drawing>
                <wp:inline distT="0" distB="0" distL="0" distR="0">
                  <wp:extent cx="3694430" cy="1411605"/>
                  <wp:effectExtent l="0" t="0" r="1270" b="0"/>
                  <wp:docPr id="1669379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9040" name="图片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4837" cy="1412163"/>
                          </a:xfrm>
                          <a:prstGeom prst="rect">
                            <a:avLst/>
                          </a:prstGeom>
                        </pic:spPr>
                      </pic:pic>
                    </a:graphicData>
                  </a:graphic>
                </wp:inline>
              </w:drawing>
            </w:r>
          </w:p>
        </w:tc>
      </w:tr>
      <w:tr w14:paraId="096F3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776C1BB1">
            <w:pPr>
              <w:pStyle w:val="39"/>
              <w:numPr>
                <w:ilvl w:val="0"/>
                <w:numId w:val="2"/>
              </w:numPr>
              <w:spacing w:line="240" w:lineRule="auto"/>
              <w:ind w:firstLineChars="0"/>
              <w:jc w:val="center"/>
              <w:rPr>
                <w:rFonts w:ascii="Times New Roman" w:hAnsi="Times New Roman"/>
              </w:rPr>
            </w:pPr>
            <w:r>
              <w:rPr>
                <w:rFonts w:hint="eastAsia" w:ascii="Times New Roman" w:hAnsi="Times New Roman"/>
                <w:sz w:val="15"/>
                <w:szCs w:val="16"/>
              </w:rPr>
              <w:t>GBM术前模型SHAP蜂群图</w:t>
            </w:r>
          </w:p>
        </w:tc>
      </w:tr>
      <w:tr w14:paraId="257E6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61A58223">
            <w:pPr>
              <w:spacing w:line="240" w:lineRule="auto"/>
              <w:ind w:firstLine="0" w:firstLineChars="0"/>
              <w:jc w:val="center"/>
              <w:rPr>
                <w:rFonts w:ascii="Times New Roman" w:hAnsi="Times New Roman"/>
              </w:rPr>
            </w:pPr>
            <w:r>
              <w:rPr>
                <w:rFonts w:hint="eastAsia" w:ascii="Times New Roman" w:hAnsi="Times New Roman"/>
              </w:rPr>
              <w:drawing>
                <wp:inline distT="0" distB="0" distL="0" distR="0">
                  <wp:extent cx="3664585" cy="2094865"/>
                  <wp:effectExtent l="0" t="0" r="0" b="635"/>
                  <wp:docPr id="14689447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4715"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65071" cy="2094869"/>
                          </a:xfrm>
                          <a:prstGeom prst="rect">
                            <a:avLst/>
                          </a:prstGeom>
                        </pic:spPr>
                      </pic:pic>
                    </a:graphicData>
                  </a:graphic>
                </wp:inline>
              </w:drawing>
            </w:r>
          </w:p>
        </w:tc>
      </w:tr>
      <w:tr w14:paraId="27D99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49B10A01">
            <w:pPr>
              <w:pStyle w:val="39"/>
              <w:numPr>
                <w:ilvl w:val="0"/>
                <w:numId w:val="2"/>
              </w:numPr>
              <w:spacing w:line="240" w:lineRule="auto"/>
              <w:ind w:firstLineChars="0"/>
              <w:jc w:val="center"/>
              <w:rPr>
                <w:rFonts w:ascii="Times New Roman" w:hAnsi="Times New Roman"/>
                <w:sz w:val="18"/>
                <w:szCs w:val="20"/>
              </w:rPr>
            </w:pPr>
            <w:r>
              <w:rPr>
                <w:rFonts w:hint="eastAsia" w:ascii="Times New Roman" w:hAnsi="Times New Roman"/>
                <w:sz w:val="15"/>
                <w:szCs w:val="16"/>
              </w:rPr>
              <w:t>GBM围手术期模型SHAP蜂群图</w:t>
            </w:r>
          </w:p>
        </w:tc>
      </w:tr>
    </w:tbl>
    <w:p w14:paraId="0B8C2572">
      <w:pPr>
        <w:spacing w:before="156" w:beforeLines="50"/>
        <w:ind w:firstLine="360"/>
        <w:jc w:val="center"/>
        <w:rPr>
          <w:rFonts w:ascii="Times New Roman" w:hAnsi="Times New Roman" w:cs="Times New Roman"/>
          <w:sz w:val="18"/>
        </w:rPr>
      </w:pPr>
      <w:r>
        <w:rPr>
          <w:rFonts w:ascii="Times New Roman" w:hAnsi="Times New Roman" w:cs="Times New Roman"/>
          <w:sz w:val="18"/>
        </w:rPr>
        <w:t>图3</w:t>
      </w:r>
      <w:r>
        <w:rPr>
          <w:rFonts w:hint="eastAsia" w:ascii="Times New Roman" w:hAnsi="Times New Roman" w:cs="Times New Roman"/>
          <w:sz w:val="18"/>
        </w:rPr>
        <w:t xml:space="preserve"> 术前与围手术期两阶段 GBM 模型变量对 PPI 预测影响的 SHAP 蜂群图</w:t>
      </w:r>
      <w:r>
        <w:rPr>
          <w:rFonts w:ascii="Times New Roman" w:hAnsi="Times New Roman" w:cs="Times New Roman"/>
          <w:sz w:val="18"/>
        </w:rPr>
        <w:t>（彩图）</w:t>
      </w:r>
    </w:p>
    <w:p w14:paraId="1A852F67">
      <w:pPr>
        <w:ind w:firstLine="360"/>
        <w:jc w:val="center"/>
        <w:rPr>
          <w:rFonts w:ascii="Times New Roman" w:hAnsi="Times New Roman" w:cs="Times New Roman"/>
          <w:sz w:val="18"/>
        </w:rPr>
      </w:pPr>
      <w:r>
        <w:rPr>
          <w:rFonts w:hint="eastAsia" w:ascii="Times New Roman" w:hAnsi="Times New Roman" w:cs="Times New Roman"/>
          <w:sz w:val="18"/>
        </w:rPr>
        <w:t>Fig.3 SHAP Beeswarm Plots of Variable Impacts on PPI Prediction in Preoperative and Perioperative Two-Stage GBM Models</w:t>
      </w:r>
    </w:p>
    <w:p w14:paraId="2882EC8F">
      <w:pPr>
        <w:ind w:firstLine="360"/>
        <w:jc w:val="center"/>
        <w:rPr>
          <w:rFonts w:ascii="Times New Roman" w:hAnsi="Times New Roman" w:cs="Times New Roman"/>
          <w:sz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36"/>
        <w:gridCol w:w="4206"/>
      </w:tblGrid>
      <w:tr w14:paraId="11AF1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00" w:type="dxa"/>
          </w:tcPr>
          <w:p w14:paraId="625C5DC5">
            <w:pPr>
              <w:spacing w:line="240" w:lineRule="auto"/>
              <w:ind w:firstLine="0" w:firstLineChars="0"/>
              <w:jc w:val="center"/>
              <w:rPr>
                <w:rFonts w:ascii="Times New Roman" w:hAnsi="Times New Roman" w:cs="Times New Roman"/>
              </w:rPr>
            </w:pPr>
            <w:r>
              <w:rPr>
                <w:rFonts w:ascii="Times New Roman" w:hAnsi="Times New Roman" w:cs="Times New Roman"/>
              </w:rPr>
              <w:drawing>
                <wp:inline distT="0" distB="0" distL="0" distR="0">
                  <wp:extent cx="2548890" cy="1699260"/>
                  <wp:effectExtent l="0" t="0" r="3810" b="0"/>
                  <wp:docPr id="12352360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36034" name="图片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4802" cy="1709868"/>
                          </a:xfrm>
                          <a:prstGeom prst="rect">
                            <a:avLst/>
                          </a:prstGeom>
                        </pic:spPr>
                      </pic:pic>
                    </a:graphicData>
                  </a:graphic>
                </wp:inline>
              </w:drawing>
            </w:r>
          </w:p>
        </w:tc>
        <w:tc>
          <w:tcPr>
            <w:tcW w:w="4206" w:type="dxa"/>
          </w:tcPr>
          <w:p w14:paraId="0C8627BC">
            <w:pPr>
              <w:spacing w:line="240" w:lineRule="auto"/>
              <w:ind w:firstLine="0" w:firstLineChars="0"/>
              <w:jc w:val="center"/>
              <w:rPr>
                <w:rFonts w:ascii="Times New Roman" w:hAnsi="Times New Roman" w:cs="Times New Roman"/>
              </w:rPr>
            </w:pPr>
            <w:r>
              <w:rPr>
                <w:rFonts w:ascii="Times New Roman" w:hAnsi="Times New Roman" w:cs="Times New Roman"/>
              </w:rPr>
              <w:drawing>
                <wp:inline distT="0" distB="0" distL="0" distR="0">
                  <wp:extent cx="2221865" cy="1579880"/>
                  <wp:effectExtent l="0" t="0" r="6985" b="1270"/>
                  <wp:docPr id="669243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43756"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7162" cy="1597850"/>
                          </a:xfrm>
                          <a:prstGeom prst="rect">
                            <a:avLst/>
                          </a:prstGeom>
                        </pic:spPr>
                      </pic:pic>
                    </a:graphicData>
                  </a:graphic>
                </wp:inline>
              </w:drawing>
            </w:r>
          </w:p>
        </w:tc>
      </w:tr>
      <w:tr w14:paraId="19759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00" w:type="dxa"/>
          </w:tcPr>
          <w:p w14:paraId="041D5585">
            <w:pPr>
              <w:pStyle w:val="39"/>
              <w:numPr>
                <w:ilvl w:val="0"/>
                <w:numId w:val="3"/>
              </w:numPr>
              <w:spacing w:line="240" w:lineRule="auto"/>
              <w:ind w:firstLineChars="0"/>
              <w:jc w:val="center"/>
              <w:rPr>
                <w:rFonts w:ascii="Times New Roman" w:hAnsi="Times New Roman" w:cs="Times New Roman"/>
                <w:sz w:val="15"/>
                <w:szCs w:val="16"/>
              </w:rPr>
            </w:pPr>
            <w:r>
              <w:rPr>
                <w:rFonts w:hint="eastAsia" w:ascii="Times New Roman" w:hAnsi="Times New Roman" w:cs="Times New Roman"/>
                <w:sz w:val="15"/>
                <w:szCs w:val="16"/>
              </w:rPr>
              <w:t>GBM术前模型SHAP绝对值总和统计图</w:t>
            </w:r>
          </w:p>
        </w:tc>
        <w:tc>
          <w:tcPr>
            <w:tcW w:w="4206" w:type="dxa"/>
          </w:tcPr>
          <w:p w14:paraId="746673CE">
            <w:pPr>
              <w:pStyle w:val="39"/>
              <w:numPr>
                <w:ilvl w:val="0"/>
                <w:numId w:val="3"/>
              </w:numPr>
              <w:spacing w:line="240" w:lineRule="auto"/>
              <w:ind w:firstLineChars="0"/>
              <w:jc w:val="center"/>
              <w:rPr>
                <w:rFonts w:ascii="Times New Roman" w:hAnsi="Times New Roman" w:cs="Times New Roman"/>
                <w:sz w:val="15"/>
                <w:szCs w:val="16"/>
              </w:rPr>
            </w:pPr>
            <w:r>
              <w:rPr>
                <w:rFonts w:hint="eastAsia" w:ascii="Times New Roman" w:hAnsi="Times New Roman" w:cs="Times New Roman"/>
                <w:sz w:val="15"/>
                <w:szCs w:val="16"/>
              </w:rPr>
              <w:t>GBM围手术期模型SHAP绝对值总和统计图</w:t>
            </w:r>
          </w:p>
        </w:tc>
      </w:tr>
    </w:tbl>
    <w:p w14:paraId="5AC66C32">
      <w:pPr>
        <w:ind w:firstLine="360"/>
        <w:jc w:val="center"/>
        <w:rPr>
          <w:rFonts w:ascii="Times New Roman" w:hAnsi="Times New Roman" w:cs="Times New Roman"/>
          <w:sz w:val="18"/>
        </w:rPr>
      </w:pPr>
      <w:r>
        <w:rPr>
          <w:rFonts w:hint="eastAsia" w:ascii="Times New Roman" w:hAnsi="Times New Roman" w:cs="Times New Roman"/>
          <w:sz w:val="18"/>
        </w:rPr>
        <w:t>图4 术前与围手术期两阶段 GBM 模型变量对 PPI 预测影响的 SHAP绝对值总和统计图</w:t>
      </w:r>
      <w:r>
        <w:rPr>
          <w:rFonts w:ascii="Times New Roman" w:hAnsi="Times New Roman" w:cs="Times New Roman"/>
          <w:sz w:val="18"/>
        </w:rPr>
        <w:t>（彩图）</w:t>
      </w:r>
    </w:p>
    <w:p w14:paraId="0931A0AC">
      <w:pPr>
        <w:ind w:firstLine="360"/>
        <w:jc w:val="center"/>
        <w:rPr>
          <w:rFonts w:ascii="Times New Roman" w:hAnsi="Times New Roman" w:cs="Times New Roman"/>
          <w:sz w:val="18"/>
        </w:rPr>
      </w:pPr>
      <w:r>
        <w:rPr>
          <w:rFonts w:hint="eastAsia" w:ascii="Times New Roman" w:hAnsi="Times New Roman" w:cs="Times New Roman"/>
          <w:sz w:val="18"/>
        </w:rPr>
        <w:t>Fig.4 Statistical Plots of Total SHAP Absolute Values for Variable Impacts on PPI Prediction in Preoperative and Perioperative Two-Stage GBM Models</w:t>
      </w:r>
    </w:p>
    <w:p w14:paraId="6599601B">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讨论</w:t>
      </w:r>
    </w:p>
    <w:p w14:paraId="6D139919">
      <w:pPr>
        <w:ind w:firstLine="420"/>
        <w:rPr>
          <w:rFonts w:ascii="Times New Roman" w:hAnsi="Times New Roman"/>
        </w:rPr>
      </w:pPr>
      <w:r>
        <w:rPr>
          <w:rFonts w:hint="eastAsia" w:ascii="Times New Roman" w:hAnsi="Times New Roman"/>
        </w:rPr>
        <w:t>本研究基于2200例食管癌手术患者的临床资料，构建并对比了术前-围手术期两阶段PPI机器学习预测模型，明确了两阶段独立预测变量，证实统一选取GBM模型可实现阶段间有效对比，且围手术期GBM模型在敏感性与特异性间的平衡表现更契合临床需求。研究发现，食管癌PPI的发生是术前基础易感性与围手术期临床事件协同作用的结果，两阶段模型的构建为PPI的分阶段精准防控提供了理论与数据支撑。</w:t>
      </w:r>
    </w:p>
    <w:p w14:paraId="32DAED87">
      <w:pPr>
        <w:pStyle w:val="3"/>
        <w:spacing w:before="156" w:after="156" w:line="360" w:lineRule="auto"/>
        <w:rPr>
          <w:rFonts w:ascii="Times New Roman" w:hAnsi="Times New Roman" w:eastAsia="宋体"/>
          <w:color w:val="auto"/>
          <w:lang w:eastAsia="zh-CN"/>
        </w:rPr>
      </w:pPr>
      <w:r>
        <w:rPr>
          <w:rFonts w:hint="eastAsia" w:ascii="Times New Roman" w:hAnsi="Times New Roman" w:eastAsia="宋体"/>
          <w:color w:val="auto"/>
          <w:lang w:eastAsia="zh-CN"/>
        </w:rPr>
        <w:t>术前</w:t>
      </w:r>
      <w:r>
        <w:rPr>
          <w:rFonts w:ascii="Times New Roman" w:hAnsi="Times New Roman" w:eastAsia="宋体"/>
          <w:color w:val="auto"/>
          <w:lang w:eastAsia="zh-CN"/>
        </w:rPr>
        <w:t>独立危险因素分析</w:t>
      </w:r>
    </w:p>
    <w:p w14:paraId="5D11B395">
      <w:pPr>
        <w:ind w:firstLine="420"/>
        <w:rPr>
          <w:rFonts w:ascii="Times New Roman" w:hAnsi="Times New Roman"/>
        </w:rPr>
      </w:pPr>
      <w:r>
        <w:rPr>
          <w:rFonts w:ascii="Times New Roman" w:hAnsi="Times New Roman"/>
        </w:rPr>
        <w:t>研究筛选出的术前独立危险因素包括性别、ASA 分级、</w:t>
      </w:r>
      <w:r>
        <w:rPr>
          <w:rFonts w:hint="eastAsia" w:ascii="Times New Roman" w:hAnsi="Times New Roman"/>
        </w:rPr>
        <w:t>多重耐药菌是否</w:t>
      </w:r>
      <w:r>
        <w:rPr>
          <w:rFonts w:ascii="Times New Roman" w:hAnsi="Times New Roman"/>
        </w:rPr>
        <w:t>定植，三者共同构成患者术前</w:t>
      </w:r>
      <w:r>
        <w:rPr>
          <w:rFonts w:hint="eastAsia" w:ascii="Times New Roman" w:hAnsi="Times New Roman"/>
        </w:rPr>
        <w:t>感染的</w:t>
      </w:r>
      <w:r>
        <w:rPr>
          <w:rFonts w:ascii="Times New Roman" w:hAnsi="Times New Roman"/>
        </w:rPr>
        <w:t>易感基础。</w:t>
      </w:r>
      <w:r>
        <w:rPr>
          <w:rFonts w:ascii="Times New Roman" w:hAnsi="Times New Roman" w:cs="Times New Roman"/>
        </w:rPr>
        <w:t>根据</w:t>
      </w:r>
      <w:r>
        <w:rPr>
          <w:rFonts w:hint="eastAsia" w:ascii="Times New Roman" w:hAnsi="Times New Roman" w:cs="Times New Roman"/>
        </w:rPr>
        <w:t>图4显示</w:t>
      </w:r>
      <w:r>
        <w:rPr>
          <w:rFonts w:ascii="Times New Roman" w:hAnsi="Times New Roman" w:cs="Times New Roman"/>
        </w:rPr>
        <w:t>，性别是食管癌PPI的显著危险因素，</w:t>
      </w:r>
      <w:r>
        <w:rPr>
          <w:rFonts w:hint="eastAsia" w:ascii="Times New Roman" w:hAnsi="Times New Roman" w:cs="Times New Roman"/>
        </w:rPr>
        <w:t>且</w:t>
      </w:r>
      <w:r>
        <w:rPr>
          <w:rFonts w:ascii="Times New Roman" w:hAnsi="Times New Roman" w:cs="Times New Roman"/>
        </w:rPr>
        <w:t>男性患者的感染风险显著高于女性</w:t>
      </w:r>
      <w:r>
        <w:rPr>
          <w:rFonts w:hint="eastAsia" w:ascii="Times New Roman" w:hAnsi="Times New Roman" w:cs="Times New Roman"/>
        </w:rPr>
        <w:t>，多因素logistic分析也可以证明这一点</w:t>
      </w:r>
      <w:r>
        <w:rPr>
          <w:rFonts w:ascii="Times New Roman" w:hAnsi="Times New Roman" w:cs="Times New Roman"/>
        </w:rPr>
        <w:t>（OR=35.39，95%CI：15.61–80.27，P&lt;0.01）。由于男性患者中吸烟行为更为常见，而吸烟可通过损害呼吸道黏膜屏障及肺部防御功能增加感染易感性，吸烟行为被认为是解释男性PPI风险升高的潜在因素之一。然而，据图1所示，性别与吸烟史之间仅存在中等程度相关（Spearman</w:t>
      </w:r>
      <w:r>
        <w:rPr>
          <w:rFonts w:hint="eastAsia" w:ascii="Times New Roman" w:hAnsi="Times New Roman" w:cs="Times New Roman"/>
        </w:rPr>
        <w:t xml:space="preserve"> </w:t>
      </w:r>
      <w:r>
        <w:rPr>
          <w:rFonts w:ascii="Times New Roman" w:hAnsi="Times New Roman" w:cs="Times New Roman"/>
        </w:rPr>
        <w:t>ρ=0.56），说明吸烟行为不能完全解释性别与PPI风险之间的关联。为进一步区分性别效应与行为因素的作用，我们在全样本基础上排除了所有吸烟或饮酒史的患者，构建无吸烟饮酒史亚组，并在该亚组中进行多因素Logistic回归分析。结果显示，在排除吸烟和饮酒暴露后，性别在模型中不再达到统计学显著性（OR=1.18，95%CI：0.98–1.42，P=0.086），但其风险方向仍保持一致。</w:t>
      </w:r>
      <w:r>
        <w:rPr>
          <w:rFonts w:hint="eastAsia" w:ascii="Times New Roman" w:hAnsi="Times New Roman" w:cs="Times New Roman"/>
        </w:rPr>
        <w:t>这个结果提示了吸烟和饮酒行为在男性患者PPI风险增加中可能发挥重要作用</w:t>
      </w:r>
      <w:r>
        <w:rPr>
          <w:rFonts w:ascii="Times New Roman" w:hAnsi="Times New Roman" w:cs="Times New Roman"/>
        </w:rPr>
        <w:t>，而性别因素本身可能仅对行为因素产生有限的残留影响，这也与Li等</w:t>
      </w:r>
      <w:r>
        <w:rPr>
          <w:rFonts w:ascii="Times New Roman" w:hAnsi="Times New Roman" w:cs="Times New Roman"/>
        </w:rPr>
        <w:fldChar w:fldCharType="begin"/>
      </w:r>
      <w:r>
        <w:rPr>
          <w:rFonts w:ascii="Times New Roman" w:hAnsi="Times New Roman" w:cs="Times New Roman"/>
        </w:rPr>
        <w:instrText xml:space="preserve"> ADDIN ZOTERO_ITEM CSL_CITATION {"citationID":"mJBEgt7d","properties":{"formattedCitation":"\\super [20]\\nosupersub{}","plainCitation":"[20]","noteIndex":0},"citationItems":[{"id":1013,"uris":["http://zotero.org/users/16461411/items/G28ELZ69"],"itemData":{"id":1013,"type":"article-journal","abstract":"Background\n              Esophageal squamous cell carcinoma (ESCC) is a common and aggressive form of esophageal cancer, particularly prevalent in East Asia. This study aimed to investigate the impact of sex on clinical outcomes, including survival and postoperative complications, in elderly ESCC patients following esophagectomy.\n            \n            \n              Methods\n              We conducted a retrospective cohort study using data from the Sichuan Cancer Hospital &amp;amp; Institute Esophageal Cancer Case Management Database, involving patients aged 70 years and older who underwent esophagectomy from May 2016 and August 2021. Patients were grouped by sex, and subgroup analyses were performed on non-smoking, non-drinking patients. OS and DFS were analyzed using the Kaplan-Meier method, and between-group comparisons were conducted using the log-rank test. Propensity score matching (PSM) was applied to adjust for potential confounders.\n            \n            \n              Results\n              Although females showed a longer median OS (60.2 months) compared to males (40.0 months), the difference was not statistically significant after PSM (HR = 0.885, P = 0.573). Similarly, no significant differences were observed in DFS between sexes. In non-smoking, non-drinking subgroups, OS and DFS remained higher but without significant sex-based differences. Postoperative adverse events such as pulmonary infection and anastomotic leakage were common across groups.\n            \n            \n              Conclusions\n              While sex does not significantly affect OS and DFS in elderly ESCC patients, male patients may experience higher rates of certain postoperative complications, such as abnormal liver function and pneumothorax.","container-title":"Frontiers in Oncology","DOI":"10.3389/fonc.2025.1549123","ISSN":"2234-943X","journalAbbreviation":"Front. Oncol.","page":"1549123","source":"DOI.org (Crossref)","title":"Sex-based analysis of clinical outcomes in elderly patients with esophageal squamous cell carcinoma post-esophagectomy: a propensity score matching analysis","title-short":"Sex-based analysis of clinical outcomes in elderly patients with esophageal squamous cell carcinoma post-esophagectomy","volume":"15","author":[{"family":"Li","given":"Kexun"},{"family":"Lu","given":"Simiao"},{"family":"Li","given":"Changding"},{"family":"Mao","given":"Jie"},{"family":"Zhang","given":"Huan"},{"family":"Wang","given":"Kangning"},{"family":"Liu","given":"Guangyuan"},{"family":"Huang","given":"Yunchao"},{"family":"Han","given":"Yongtao"},{"family":"Peng","given":"Lin"},{"family":"Leng","given":"Xuefeng"}],"issued":{"date-parts":[["2025",4,14]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[20]</w:t>
      </w:r>
      <w:r>
        <w:rPr>
          <w:rFonts w:ascii="Times New Roman" w:hAnsi="Times New Roman" w:cs="Times New Roman"/>
        </w:rPr>
        <w:fldChar w:fldCharType="end"/>
      </w:r>
      <w:r>
        <w:rPr>
          <w:rFonts w:ascii="Times New Roman" w:hAnsi="Times New Roman" w:cs="Times New Roman"/>
        </w:rPr>
        <w:t>的结论相互印证</w:t>
      </w:r>
      <w:r>
        <w:rPr>
          <w:rFonts w:hint="eastAsia" w:ascii="Times New Roman" w:hAnsi="Times New Roman" w:cs="Times New Roman"/>
        </w:rPr>
        <w:t>，</w:t>
      </w:r>
      <w:r>
        <w:rPr>
          <w:rFonts w:ascii="Times New Roman" w:hAnsi="Times New Roman"/>
        </w:rPr>
        <w:t>提示临床需对男性尤其是有烟酒史的患者实施重点术前干预。</w:t>
      </w:r>
    </w:p>
    <w:p w14:paraId="63B91CFA">
      <w:pPr>
        <w:ind w:firstLine="420"/>
        <w:rPr>
          <w:rFonts w:ascii="Times New Roman" w:hAnsi="Times New Roman" w:cs="Times New Roman"/>
        </w:rPr>
      </w:pPr>
      <w:r>
        <w:rPr>
          <w:rFonts w:ascii="Times New Roman" w:hAnsi="Times New Roman" w:cs="Times New Roman"/>
        </w:rPr>
        <w:t>ASA分级是评估患者术前身体状况的常用系统，用于预测手术和麻醉风险。分级从I级（健康患者）到V级（濒死患者），级别越高，表示患者有更严重的系统性疾病、全身状况越差、器官功能受限越明显，术后越难恢复，从而容易肺部感染。</w:t>
      </w:r>
    </w:p>
    <w:p w14:paraId="34A4C211">
      <w:pPr>
        <w:ind w:firstLine="420"/>
        <w:rPr>
          <w:rFonts w:ascii="Times New Roman" w:hAnsi="Times New Roman" w:cs="Times New Roman"/>
        </w:rPr>
      </w:pPr>
      <w:r>
        <w:rPr>
          <w:rFonts w:ascii="Times New Roman" w:hAnsi="Times New Roman" w:cs="Times New Roman"/>
        </w:rPr>
        <w:t>术前多重耐药菌定植与食管癌PPI密切相关。因为手术应激（如单肺通气、仰卧位、麻醉）易导致细菌移位至肺部，引发感染。Ruzzenente的研究发现</w:t>
      </w:r>
      <w:r>
        <w:rPr>
          <w:rFonts w:ascii="Times New Roman" w:hAnsi="Times New Roman" w:cs="Times New Roman"/>
        </w:rPr>
        <w:fldChar w:fldCharType="begin"/>
      </w:r>
      <w:r>
        <w:rPr>
          <w:rFonts w:ascii="Times New Roman" w:hAnsi="Times New Roman" w:cs="Times New Roman"/>
        </w:rPr>
        <w:instrText xml:space="preserve"> ADDIN ZOTERO_ITEM CSL_CITATION {"citationID":"OkPhKafg","properties":{"formattedCitation":"\\super [21]\\nosupersub{}","plainCitation":"[21]","noteIndex":0},"citationItems":[{"id":1016,"uris":["http://zotero.org/users/16461411/items/UT7S9J8C"],"itemData":{"id":1016,"type":"article-journal","container-title":"Surgery","DOI":"10.1016/j.surg.2022.04.028","ISSN":"0039-6060, 1532-7361","issue":"3","journalAbbreviation":"Surgery","language":"English","page":"813-820","PMID":"35618490","publisher":"Elsevier","source":"www.surgjournal.com","title":"Infectious complications after surgery for perihilar cholangiocarcinoma: A single Western center experience","title-short":"Infectious complications after surgery for perihilar cholangiocarcinoma","volume":"172","author":[{"family":"Ruzzenente","given":"Andrea"},{"family":"Alaimo","given":"Laura"},{"family":"Caputo","given":"Marco"},{"family":"Conci","given":"Simone"},{"family":"Campagnaro","given":"Tommaso"},{"family":"Bellis","given":"Mario De"},{"family":"Bagante","given":"Fabio"},{"family":"Pedrazzani","given":"Corrado"},{"family":"Guglielmi","given":"Alfredo"}],"issued":{"date-parts":[["2022",9,1]]}}}],"schema":"https://github.com/citation-style-language/schema/raw/master/csl-citation.json"}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[21]</w:t>
      </w:r>
      <w:r>
        <w:rPr>
          <w:rFonts w:ascii="Times New Roman" w:hAnsi="Times New Roman" w:cs="Times New Roman"/>
        </w:rPr>
        <w:fldChar w:fldCharType="end"/>
      </w:r>
      <w:r>
        <w:rPr>
          <w:rFonts w:ascii="Times New Roman" w:hAnsi="Times New Roman" w:cs="Times New Roman"/>
        </w:rPr>
        <w:t>：围手术期多重耐药菌培养阳性与术后多重耐药菌培养阳性的检出显著相关，而仅有少数患者术后出现新的多重耐药菌（P&lt;0.01）。这一结果启发我们应该精确调查每位患者的微生物谱，从而预防并及时治疗感染性并发症。</w:t>
      </w:r>
    </w:p>
    <w:p w14:paraId="3E02CB90">
      <w:pPr>
        <w:ind w:firstLine="420"/>
        <w:rPr>
          <w:rFonts w:ascii="Times New Roman" w:hAnsi="Times New Roman"/>
        </w:rPr>
      </w:pPr>
      <w:r>
        <w:rPr>
          <w:rFonts w:ascii="Times New Roman" w:hAnsi="Times New Roman"/>
        </w:rPr>
        <w:t>术前高特异度预测模型为该阶段提供了重要</w:t>
      </w:r>
      <w:r>
        <w:rPr>
          <w:rFonts w:hint="eastAsia" w:ascii="Times New Roman" w:hAnsi="Times New Roman"/>
        </w:rPr>
        <w:t>的</w:t>
      </w:r>
      <w:r>
        <w:rPr>
          <w:rFonts w:ascii="Times New Roman" w:hAnsi="Times New Roman"/>
        </w:rPr>
        <w:t>临床干预窗口，临床可基于模型实现易感人群分层：对 ASA</w:t>
      </w:r>
      <w:r>
        <w:rPr>
          <w:rFonts w:hint="eastAsia" w:ascii="Times New Roman" w:hAnsi="Times New Roman"/>
        </w:rPr>
        <w:t xml:space="preserve"> </w:t>
      </w:r>
      <w:r>
        <w:rPr>
          <w:rFonts w:ascii="Times New Roman" w:hAnsi="Times New Roman"/>
        </w:rPr>
        <w:t>Ⅲ~Ⅳ 级、</w:t>
      </w:r>
      <w:r>
        <w:rPr>
          <w:rFonts w:hint="eastAsia" w:ascii="Times New Roman" w:hAnsi="Times New Roman"/>
        </w:rPr>
        <w:t>术前</w:t>
      </w:r>
      <w:r>
        <w:rPr>
          <w:rFonts w:ascii="Times New Roman" w:hAnsi="Times New Roman"/>
        </w:rPr>
        <w:t>多重耐药菌定植、男性伴烟酒史的高风险患者，实施戒烟戒酒、呼吸道功能锻炼、多重耐药菌靶向清除、基础疾病优化控制等针对性预防措施，从源头降低感染易感性。</w:t>
      </w:r>
    </w:p>
    <w:p w14:paraId="5C6F2D5F">
      <w:pPr>
        <w:pStyle w:val="3"/>
        <w:spacing w:before="156" w:after="156"/>
      </w:pPr>
      <w:r>
        <w:t>术中</w:t>
      </w:r>
      <w:r>
        <w:rPr>
          <w:rFonts w:hint="eastAsia"/>
        </w:rPr>
        <w:t>和术后</w:t>
      </w:r>
      <w:r>
        <w:t>独立危险因素分析</w:t>
      </w:r>
    </w:p>
    <w:p w14:paraId="13DE6C6F">
      <w:pPr>
        <w:ind w:firstLine="420"/>
        <w:rPr>
          <w:rFonts w:ascii="Times New Roman" w:hAnsi="Times New Roman"/>
        </w:rPr>
      </w:pPr>
      <w:r>
        <w:rPr>
          <w:rFonts w:ascii="Times New Roman" w:hAnsi="Times New Roman"/>
        </w:rPr>
        <w:t>术中</w:t>
      </w:r>
      <w:r>
        <w:rPr>
          <w:rFonts w:hint="eastAsia" w:ascii="Times New Roman" w:hAnsi="Times New Roman"/>
        </w:rPr>
        <w:t>和术后期筛选出独立因素为手术持续时间，术后0-3天CRP峰值</w:t>
      </w:r>
      <w:r>
        <w:rPr>
          <w:rFonts w:ascii="Times New Roman" w:hAnsi="Times New Roman"/>
        </w:rPr>
        <w:t>，</w:t>
      </w:r>
      <w:r>
        <w:rPr>
          <w:rFonts w:hint="eastAsia" w:ascii="Times New Roman" w:hAnsi="Times New Roman"/>
        </w:rPr>
        <w:t>术后是否入住ICU。</w:t>
      </w:r>
      <w:r>
        <w:rPr>
          <w:rFonts w:ascii="Times New Roman" w:hAnsi="Times New Roman"/>
        </w:rPr>
        <w:t>手术持续时间是本研究识别的术中核心风险因素，其通过多重机制放大感染风险，也是术中风险控制的核心。</w:t>
      </w:r>
      <w:r>
        <w:rPr>
          <w:rFonts w:hint="eastAsia" w:ascii="Times New Roman" w:hAnsi="Times New Roman"/>
        </w:rPr>
        <w:t>手术时长越长，肺部感染的风险越高，这一结果与Cheng等</w:t>
      </w:r>
      <w:r>
        <w:rPr>
          <w:rFonts w:ascii="Times New Roman" w:hAnsi="Times New Roman"/>
        </w:rPr>
        <w:fldChar w:fldCharType="begin"/>
      </w:r>
      <w:r>
        <w:rPr>
          <w:rFonts w:ascii="Times New Roman" w:hAnsi="Times New Roman"/>
        </w:rPr>
        <w:instrText xml:space="preserve"> ADDIN ZOTERO_ITEM CSL_CITATION {"citationID":"im7lLnWN","properties":{"formattedCitation":"\\super [22]\\nosupersub{}","plainCitation":"[22]","noteIndex":0},"citationItems":[{"id":918,"uris":["http://zotero.org/users/16461411/items/BWDDH2KE"],"itemData":{"id":918,"type":"article-journal","abstract":"BACKGROUND: The incidence of surgical site infection (SSI) across surgical procedures, specialties, and conditions is reported to vary from 0.1% to 50%. Operative duration is often cited as an independent and potentially modifiable risk factor for SSI. The objective of this systematic review was to provide an in-depth understanding of the relation between operating time and SSI.\nPATIENTS AND METHODS: This review included 81 prospective and retrospective studies. Along with study design, likelihood of SSI, mean operative times, time thresholds, effect measures, confidence intervals, and p values were extracted. Three meta-analyses were conducted, whereby odds ratios were pooled by hourly operative time thresholds, increments of increasing operative time, and surgical specialty.\nRESULTS: Pooled analyses demonstrated that the association between extended operative time and SSI typically remained statistically significant, with close to twice the likelihood of SSI observed across various time thresholds. The likelihood of SSI increased with increasing time increments; for example, a 13%, 17%, and 37% increased likelihood for every 15 min, 30 min, and 60 min of surgery, respectively. On average, across various procedures, the mean operative time was approximately 30 min longer in patients with SSIs compared with those patients without.\nCONCLUSIONS: Prolonged operative time can increase the risk of SSI. Given the importance of SSIs on patient outcomes and health care economics, hospitals should focus efforts to reduce operative time.","container-title":"Surgical Infections","DOI":"10.1089/sur.2017.089","ISSN":"1557-8674","issue":"6","journalAbbreviation":"Surg Infect (Larchmt)","language":"eng","page":"722-735","PMID":"28832271","PMCID":"PMC5685201","source":"PubMed","title":"Prolonged Operative Duration Increases Risk of Surgical Site Infections: A Systematic Review","title-short":"Prolonged Operative Duration Increases Risk of Surgical Site Infections","volume":"18","author":[{"family":"Cheng","given":"Hang"},{"family":"Chen","given":"Brian Po-Han"},{"family":"Soleas","given":"Ireena M."},{"family":"Ferko","given":"Nicole C."},{"family":"Cameron","given":"Chris G."},{"family":"Hinoul","given":"Piet"}],"issued":{"date-parts":[["2017"]]}}}],"schema":"https://github.com/citation-style-language/schema/raw/master/csl-citation.json"} </w:instrText>
      </w:r>
      <w:r>
        <w:rPr>
          <w:rFonts w:ascii="Times New Roman" w:hAnsi="Times New Roman"/>
        </w:rPr>
        <w:fldChar w:fldCharType="separate"/>
      </w:r>
      <w:r>
        <w:rPr>
          <w:rFonts w:ascii="Times New Roman" w:hAnsi="Times New Roman" w:cs="Times New Roman"/>
          <w:kern w:val="0"/>
          <w:vertAlign w:val="superscript"/>
        </w:rPr>
        <w:t>[22]</w:t>
      </w:r>
      <w:r>
        <w:rPr>
          <w:rFonts w:ascii="Times New Roman" w:hAnsi="Times New Roman"/>
        </w:rPr>
        <w:fldChar w:fldCharType="end"/>
      </w:r>
      <w:r>
        <w:rPr>
          <w:rFonts w:hint="eastAsia" w:ascii="Times New Roman" w:hAnsi="Times New Roman"/>
        </w:rPr>
        <w:t>的结论一致。</w:t>
      </w:r>
      <w:r>
        <w:rPr>
          <w:rFonts w:ascii="Times New Roman" w:hAnsi="Times New Roman"/>
        </w:rPr>
        <w:t>长时间手术会延长手术切口暴露时间、增加细菌污染概率；术中机体代谢消耗增加，组织局部抗生素浓度下降，无法有效抑制细菌繁殖；同时手术团队操作疲劳可能增加技术失误风险，进一步加重手术创伤与机体应激。本研究提示，</w:t>
      </w:r>
      <w:r>
        <w:rPr>
          <w:rFonts w:hint="eastAsia" w:ascii="Times New Roman" w:hAnsi="Times New Roman"/>
        </w:rPr>
        <w:t>缩短手术时间可能有助于降低PPI发生风险</w:t>
      </w:r>
      <w:r>
        <w:rPr>
          <w:rFonts w:ascii="Times New Roman" w:hAnsi="Times New Roman"/>
        </w:rPr>
        <w:t>，尤其对术前高风险患者，需通过优化手术流程、提升操作熟练度严格把控手术时长，减少手术应激引发的感染风险。</w:t>
      </w:r>
    </w:p>
    <w:p w14:paraId="0C4828BC">
      <w:pPr>
        <w:ind w:firstLine="420"/>
        <w:rPr>
          <w:rFonts w:ascii="Times New Roman" w:hAnsi="Times New Roman" w:cs="Times New Roman"/>
        </w:rPr>
      </w:pPr>
      <w:r>
        <w:rPr>
          <w:rFonts w:ascii="Times New Roman" w:hAnsi="Times New Roman" w:cs="Times New Roman"/>
        </w:rPr>
        <w:t>术后进入ICU的患者肺部感染风险相对于未进入的患者</w:t>
      </w:r>
      <w:r>
        <w:rPr>
          <w:rFonts w:hint="eastAsia" w:ascii="Times New Roman" w:hAnsi="Times New Roman" w:cs="Times New Roman"/>
        </w:rPr>
        <w:t>发生PPI的风险显著升高，</w:t>
      </w:r>
      <w:r>
        <w:rPr>
          <w:rFonts w:ascii="Times New Roman" w:hAnsi="Times New Roman" w:cs="Times New Roman"/>
        </w:rPr>
        <w:t>原因可能由于需术后进ICU的患者多合并COPD、心力衰竭等基础疾病，术后呼吸功能恢复缓慢，易出现通气不足与分泌物潴留；ICU患者常需气管插管、机械通气等有创操作，气管导管会破坏气道自然屏障，且机械通气时间＞24h时，呼吸机相关性肺炎发生率会升高3倍</w:t>
      </w:r>
      <w:r>
        <w:rPr>
          <w:rFonts w:ascii="Times New Roman" w:hAnsi="Times New Roman" w:cs="Times New Roman"/>
        </w:rPr>
        <w:fldChar w:fldCharType="begin"/>
      </w:r>
      <w:r>
        <w:rPr>
          <w:rFonts w:ascii="Times New Roman" w:hAnsi="Times New Roman" w:cs="Times New Roman"/>
        </w:rPr>
        <w:instrText xml:space="preserve"> ADDIN ZOTERO_ITEM CSL_CITATION {"citationID":"3Di7GFhe","properties":{"formattedCitation":"\\super [23]\\nosupersub{}","plainCitation":"[23]","noteIndex":0},"citationItems":[{"id":927,"uris":["http://zotero.org/users/16461411/items/K96M9YHN"],"itemData":{"id":927,"type":"article-journal","abstract":"BACKGROUND: Understanding the risk factors for ventilator-associated pneumonia can help to assess prognosis and devise and test preventive strategies.\nOBJECTIVE: To examine the baseline and time-dependent risk factors for ventilator-associated pneumonia and to determine the conditional probability and cumulative risk over the duration of stay in the intensive care unit.\nDESIGN: Prospective cohort study.\nSETTING: 16 intensive care units in Canada.\nPATIENTS: 1014 mechanically ventilated patients.\nMEASUREMENTS: Demographic and time-dependent variables reflecting illness severity, ventilation, nutrition, and drug exposure. Pneumonia was classified by using five methods: adjudication committee, bedside clinician's diagnosis, Centers for Disease Control and Prevention definition, Clinical Pulmonary Infection score, and positive culture from bronchoalveolar lavage or protected specimen brush.\nRESULTS: 177 of 1014 patients (17.5%) developed ventilator-associated pneumonia 9.0 +/- 5.9 days (median, 7 days [interquartile range, 5 to 10 days]) after admission to the intensive care unit. Although the cumulative risk increased over time, the daily hazard rate decreased after day 5 (3.3% at day 5, 2.3% at day 10, and 1.3% at day 15). Independent predictors of ventilator-associated pneumonia in multivariable analysis were a primary admitting diagnosis of burns (risk ratio, 5.09 [95% CI, 1.52 to 17.03]), trauma (risk ratio, 5.00 [CI, 1.91 to 13.11]), central nervous system disease (risk ratio, 3.40 [CI, 1.31 to 8.81]), respiratory disease (risk ratio, 2.79 [CI, 1.04 to 7.51]), cardiac disease (risk ratio, 2.72 [CI, 1.05 to 7.01]), mechanical ventilation in the previous 24 hours (risk ratio, 2.28 [CI, 1.11 to 4.68]), witnessed aspiration (risk ratio, 3.25 [CI, 1.62 to 6.50]), and paralytic agents (risk ratio, 1.57 [CI, 1.03 to 2.39]). Exposure to antibiotics conferred protection (risk ratio, 0.37 [CI, 0.27 to 0.51]). Independent risk factors were the same regardless of the pneumonia definition used.\nCONCLUSIONS: The daily risk for pneumonia decreases with increasing duration of stay in the intensive care unit. Witnessed aspiration and exposure to paralytic agents are potentially modifiable independent risk factors. Exposure to antibiotics was associated with low rates of early ventilator-associated pneumonia, but this effect attenuates over time.","container-title":"Annals of Internal Medicine","DOI":"10.7326/0003-4819-129-6-199809150-00002","ISSN":"0003-4819","issue":"6","journalAbbreviation":"Ann Intern Med","language":"eng","page":"433-440","PMID":"9735080","source":"PubMed","title":"Incidence of and risk factors for ventilator-associated pneumonia in critically ill patients","volume":"129","author":[{"family":"Cook","given":"D. J."},{"family":"Walter","given":"S. D."},{"family":"Cook","given":"R. J."},{"family":"Griffith","given":"L. E."},{"family":"Guyatt","given":"G. H."},{"family":"Leasa","given":"D."},{"family":"Jaeschke","given":"R. Z."},{"family":"Brun-Buisson","given":"C."}],"issued":{"date-parts":[["1998",9,15]]}}}],"schema":"https://github.com/citation-style-language/schema/raw/master/csl-citation.json"}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[23]</w:t>
      </w:r>
      <w:r>
        <w:rPr>
          <w:rFonts w:ascii="Times New Roman" w:hAnsi="Times New Roman" w:cs="Times New Roman"/>
        </w:rPr>
        <w:fldChar w:fldCharType="end"/>
      </w:r>
      <w:r>
        <w:rPr>
          <w:rFonts w:ascii="Times New Roman" w:hAnsi="Times New Roman" w:cs="Times New Roman"/>
        </w:rPr>
        <w:t>；ICU内多重耐药菌定植率高，食管癌术后患者免疫功能低下，易发生交叉感染。</w:t>
      </w:r>
    </w:p>
    <w:p w14:paraId="007A2EFB">
      <w:pPr>
        <w:ind w:firstLine="420"/>
        <w:rPr>
          <w:rFonts w:ascii="Times New Roman" w:hAnsi="Times New Roman" w:cs="Times New Roman"/>
        </w:rPr>
      </w:pPr>
      <w:r>
        <w:rPr>
          <w:rFonts w:ascii="Times New Roman" w:hAnsi="Times New Roman" w:cs="Times New Roman"/>
        </w:rPr>
        <w:t>术后0-3天CRP峰值是全身炎症反应的敏感指标，也是感染预测的重要指标。食管癌手术创伤会引发生理性CRP升高，若术后0-3天CRP仍持续＞60mg/L，可能已出现隐匿性感染，如肺间质炎症</w:t>
      </w:r>
      <w:r>
        <w:rPr>
          <w:rFonts w:ascii="Times New Roman" w:hAnsi="Times New Roman" w:cs="Times New Roman"/>
        </w:rPr>
        <w:fldChar w:fldCharType="begin"/>
      </w:r>
      <w:r>
        <w:rPr>
          <w:rFonts w:ascii="Times New Roman" w:hAnsi="Times New Roman" w:cs="Times New Roman"/>
        </w:rPr>
        <w:instrText xml:space="preserve"> ADDIN ZOTERO_ITEM CSL_CITATION {"citationID":"KKGPj3WP","properties":{"formattedCitation":"\\super [24]\\nosupersub{}","plainCitation":"[24]","noteIndex":0},"citationItems":[{"id":921,"uris":["http://zotero.org/users/16461411/items/WMVNXTXG"],"itemData":{"id":921,"type":"article-journal","abstract":"BACKGROUND: Acute exacerbation of interstitial pneumonia (AE-IP) is a serious complication of pulmonary surgery in patients with IP. However, little is known about AE-IP after non-pulmonary surgery. The aim of this study was to determine the frequency of AE-IP after non-pulmonary surgery and identify its risk factors.\nMETHODS: One hundred and fifty-one patients with IP who underwent pulmonary surgery and 291 who underwent non-pulmonary surgery were retrospectively investigated.\nRESULTS: AE-IP developed in 5 (3.3%) of the 151 patients in the pulmonary surgery group and 4 (1.4%) of the 291 in the non-pulmonary surgery group; the difference was not statistically significant. A logistic regression model showed that serum C-reactive protein (CRP) was a predictor of AE-IP in the non-pulmonary surgery group (odds ratio 1.187, 95% confidence interval 1.073-1.344, P = 0.002).\nCONCLUSIONS: This is the first study to compare the frequency of AE-IP after pulmonary surgery with that after non-pulmonary surgery performed under the same conditions. The results suggest that the frequency of AE-IP after non-pulmonary surgery is similar to that after pulmonary surgery. A high preoperative C-reactive protein level is a potential risk factor for AE-IP after non-pulmonary surgery.","container-title":"Respiratory Research","DOI":"10.1186/s12931-019-1128-5","ISSN":"1465-993X","issue":"1","journalAbbreviation":"Respir Res","language":"eng","page":"154","PMID":"31307466","PMCID":"PMC6631983","source":"PubMed","title":"Postoperative acute exacerbation of interstitial pneumonia in pulmonary and non-pulmonary surgery: a retrospective study","title-short":"Postoperative acute exacerbation of interstitial pneumonia in pulmonary and non-pulmonary surgery","volume":"20","author":[{"family":"Miyamura","given":"Takuto"},{"family":"Sakamoto","given":"Noriho"},{"family":"Kakugawa","given":"Tomoyuki"},{"family":"Okuno","given":"Daisuke"},{"family":"Yura","given":"Hirokazu"},{"family":"Nakashima","given":"Shota"},{"family":"Ishimoto","given":"Hiroshi"},{"family":"Kido","given":"Takashi"},{"family":"Taniguchi","given":"Daisuke"},{"family":"Miyazaki","given":"Takuro"},{"family":"Tsuchiya","given":"Tomoshi"},{"family":"Tsutsui","given":"Shin"},{"family":"Yamaguchi","given":"Hiroyuki"},{"family":"Obase","given":"Yasushi"},{"family":"Ishimatsu","given":"Yuji"},{"family":"Ashizawa","given":"Kazuto"},{"family":"Nagayasu","given":"Takeshi"},{"family":"Mukae","given":"Hiroshi"}],"issued":{"date-parts":[["2019",7,15]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[24]</w:t>
      </w:r>
      <w:r>
        <w:rPr>
          <w:rFonts w:ascii="Times New Roman" w:hAnsi="Times New Roman" w:cs="Times New Roman"/>
        </w:rPr>
        <w:fldChar w:fldCharType="end"/>
      </w:r>
      <w:r>
        <w:rPr>
          <w:rFonts w:ascii="Times New Roman" w:hAnsi="Times New Roman" w:cs="Times New Roman"/>
        </w:rPr>
        <w:t>。此外，CRP检测便捷、成本低，可作为食管癌PPI的常规监测指标，尤其对无法及时进行胸部CT检查的基层医院，CRP峰值可作为快速筛查高危患者的依据</w:t>
      </w:r>
      <w:r>
        <w:rPr>
          <w:rFonts w:ascii="Times New Roman" w:hAnsi="Times New Roman" w:cs="Times New Roman"/>
        </w:rPr>
        <w:fldChar w:fldCharType="begin"/>
      </w:r>
      <w:r>
        <w:rPr>
          <w:rFonts w:ascii="Times New Roman" w:hAnsi="Times New Roman" w:cs="Times New Roman"/>
        </w:rPr>
        <w:instrText xml:space="preserve"> ADDIN ZOTERO_ITEM CSL_CITATION {"citationID":"XabEfvUw","properties":{"formattedCitation":"\\super [25]\\nosupersub{}","plainCitation":"[25]","noteIndex":0},"citationItems":[{"id":924,"uris":["http://zotero.org/users/16461411/items/AWMPWLHI"],"itemData":{"id":924,"type":"article-journal","abstract":"BACKGROUND: Serum C-reactive protein (CRP) level can be an indicator of the early stage of infectious complications. However, its utility in advanced esophageal cancer patients who receive radical esophagectomy with two- or three-field lymph node dissection with perioperative steroid therapy and enhanced recovery after surgery (ERAS) care is unclear.\nMETHODS: The present study retrospectively examined 117 consecutive esophageal cancer patients who received neoadjuvant chemotherapy followed by radical esophagectomy. All patients received perioperative steroid therapy and ERAS care. The utility of the CRP value in the early detection of serious infectious complications (SICs) was evaluated based on the area under the receiver operating characteristic curve (AUC). Univariate and multivariate logistic regression analyses were performed to identify the risk factors for SICs.\nRESULTS: SICs were observed in 20 patients (17.1%). The CRP level on postoperative day (</w:instrText>
      </w:r>
      <w:r>
        <w:rPr>
          <w:rFonts w:hint="eastAsia" w:ascii="Times New Roman" w:hAnsi="Times New Roman" w:cs="Times New Roman"/>
        </w:rPr>
        <w:instrText xml:space="preserve">POD) 4 had superior diagnostic accuracy for SICs (AUC 0.778). The cut-off value for CRP was determined to be 4.0 mg/dl. A multivariate analysis identified CRP ≥ 4.0 mg/dl on POD 4 (odds ratio, 18.600; 95% confidence interval [CI], 4.610-75.200) and three-</w:instrText>
      </w:r>
      <w:r>
        <w:rPr>
          <w:rFonts w:ascii="Times New Roman" w:hAnsi="Times New Roman" w:cs="Times New Roman"/>
        </w:rPr>
        <w:instrText xml:space="preserve">field lymph node dissection (odds ratio, 7.950; 95% CI, 1.900-33.400) as independent predictive factors.\nCONCLUSIONS: CRP value on POD 4 may be useful for predicting SICs in esophageal cancer patients who receive radical esophagectomy with perioperative steroid therapy and ERAS care. This result may encourage the performance of imaging studies to detect the focus and thereby lead to the early medical and/or surgical intervention to improve short-term outcomes.","container-title":"BMC cancer","DOI":"10.1186/s12885-017-3831-2","ISSN":"1471-2407","issue":"1","journalAbbreviation":"BMC Cancer","language":"eng","page":"812","PMID":"29202716","PMCID":"PMC5716248","source":"PubMed","title":"Prediction of postoperative inflammatory complications after esophageal cancer surgery based on early changes in the C-reactive protein level in patients who received perioperative steroid therapy and enhanced recovery after surgery care: a retrospective analysis","title-short":"Prediction of postoperative inflammatory complications after esophageal cancer surgery based on early changes in the C-reactive protein level in patients who received perioperative steroid therapy and enhanced recovery after surgery care","volume":"17","author":[{"family":"Kano","given":"Kazuki"},{"family":"Aoyama","given":"Toru"},{"family":"Nakajima","given":"Tetsushi"},{"family":"Maezawa","given":"Yukio"},{"family":"Hayashi","given":"Tsutomu"},{"family":"Yamada","given":"Takanobu"},{"family":"Sato","given":"Tsutomu"},{"family":"Oshima","given":"Takashi"},{"family":"Rino","given":"Yasushi"},{"family":"Masuda","given":"Munetaka"},{"family":"Cho","given":"Haruhiko"},{"family":"Yoshikawa","given":"Takaki"},{"family":"Ogata","given":"Takashi"}],"issued":{"date-parts":[["2017",12,4]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[25]</w:t>
      </w:r>
      <w:r>
        <w:rPr>
          <w:rFonts w:ascii="Times New Roman" w:hAnsi="Times New Roman" w:cs="Times New Roman"/>
        </w:rPr>
        <w:fldChar w:fldCharType="end"/>
      </w:r>
      <w:r>
        <w:rPr>
          <w:rFonts w:ascii="Times New Roman" w:hAnsi="Times New Roman" w:cs="Times New Roman"/>
        </w:rPr>
        <w:t>。</w:t>
      </w:r>
    </w:p>
    <w:p w14:paraId="2546FAA2">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总结与展望</w:t>
      </w:r>
    </w:p>
    <w:p w14:paraId="25CAF8FF">
      <w:pPr>
        <w:ind w:firstLine="420"/>
        <w:rPr>
          <w:rFonts w:ascii="Times New Roman" w:hAnsi="Times New Roman" w:cs="Times New Roman"/>
        </w:rPr>
      </w:pPr>
      <w:r>
        <w:rPr>
          <w:rFonts w:ascii="Times New Roman" w:hAnsi="Times New Roman" w:cs="Times New Roman"/>
        </w:rPr>
        <w:t>本研究基于中国医学科学院肿瘤医院2022-2024年间2200例食管癌患者的回顾性队列数据，</w:t>
      </w:r>
      <w:r>
        <w:rPr>
          <w:rFonts w:hint="eastAsia" w:ascii="Times New Roman" w:hAnsi="Times New Roman" w:cs="Times New Roman"/>
        </w:rPr>
        <w:t>构建并对比了术前-围手术期两阶段PPI风险预测模型，系统筛选出两阶段独立预测变量，术前阶段为：性别、ASA分级、多重耐药菌是否定植，该阶段各模型AUC 0.71~0.72，特异性均达98%以上，</w:t>
      </w:r>
      <w:r>
        <w:rPr>
          <w:rFonts w:ascii="Times New Roman" w:hAnsi="Times New Roman" w:cs="Times New Roman"/>
        </w:rPr>
        <w:t>可用于术前早期筛查、减少抗生素滥用</w:t>
      </w:r>
      <w:r>
        <w:rPr>
          <w:rFonts w:hint="eastAsia" w:ascii="Times New Roman" w:hAnsi="Times New Roman" w:cs="Times New Roman"/>
        </w:rPr>
        <w:t>。围手术期阶段在术前变量基础上，进一步纳入手术持续时间、术后是否入住ICU、术后CRP峰值，预测效能显著提升（AUC均＞0.82），其中GBM模型实现了敏感性（69.07%）与特异性（82.59%）的良好平衡，兼具可靠的预测性能与可解释性</w:t>
      </w:r>
      <w:r>
        <w:rPr>
          <w:rFonts w:ascii="Times New Roman" w:hAnsi="Times New Roman" w:cs="Times New Roman"/>
        </w:rPr>
        <w:t>。</w:t>
      </w:r>
      <w:r>
        <w:rPr>
          <w:rFonts w:hint="eastAsia" w:ascii="Times New Roman" w:hAnsi="Times New Roman" w:cs="Times New Roman"/>
        </w:rPr>
        <w:t>本研究通过阶段化模型设计，实现了PPI的分阶段精准防控，为临床术前风险分层与围手术期感染管理提供了有价值的参考工具。</w:t>
      </w:r>
    </w:p>
    <w:p w14:paraId="27AE1025">
      <w:pPr>
        <w:ind w:firstLine="420"/>
        <w:rPr>
          <w:rFonts w:ascii="Times New Roman" w:hAnsi="Times New Roman" w:cs="Times New Roman"/>
        </w:rPr>
      </w:pPr>
      <w:r>
        <w:rPr>
          <w:rFonts w:ascii="Times New Roman" w:hAnsi="Times New Roman" w:cs="Times New Roman"/>
        </w:rPr>
        <w:t>尽管本研究展示了机器学习在食管癌PPI预测中的潜力，但仍存在局限性，如单中心小样本设计可能限制模型泛化能力，且未纳入肿瘤分期、营养状态或基因组学变量等肿瘤特异性因素。未来研究可扩展至多中心、大样本前瞻性队列</w:t>
      </w:r>
      <w:r>
        <w:rPr>
          <w:rFonts w:ascii="Times New Roman" w:hAnsi="Times New Roman" w:cs="Times New Roman"/>
        </w:rPr>
        <w:fldChar w:fldCharType="begin"/>
      </w:r>
      <w:r>
        <w:rPr>
          <w:rFonts w:ascii="Times New Roman" w:hAnsi="Times New Roman" w:cs="Times New Roman"/>
        </w:rPr>
        <w:instrText xml:space="preserve"> ADDIN ZOTERO_ITEM CSL_CITATION {"citationID":"XDsRGDtf","properties":{"formattedCitation":"\\super [26]\\nosupersub{}","plainCitation":"[26]","noteIndex":0},"citationItems":[{"id":867,"uris":["http://zotero.org/users/16461411/items/TNFLHMG9"],"itemData":</w:instrText>
      </w:r>
      <w:r>
        <w:rPr>
          <w:rFonts w:hint="eastAsia" w:ascii="Times New Roman" w:hAnsi="Times New Roman" w:cs="Times New Roman"/>
        </w:rPr>
        <w:instrText xml:space="preserve">{"id":867,"type":"article-journal","abstract":"目的 本研究通过机器学习（ML）建立较优的ICU患者耐碳青霉烯类鲍曼不动杆菌（CRAB）感染预测模型,为临床医生做出诊断和决策提供帮助。方法 收集2017年1月1日—2024年12月31日入住某三甲医院ICU住院患者临床资料,将数据按照7:3比例随机分为训练集和测试集。特征变量的选择采用LASSO回归和多元逻辑回归分析联合完成。整合5种ML分类模型,分析和识别最佳模型,使用灵敏度、特异性、准确性、受试者工作特征曲线下面积（AUC）、校准曲线、Hosmer-Lemeshow检验和决策曲线（DC A）评估ICU患者CR AB感染预测模型性能。最后使用SHAP解释和排列重要性来解释ML模型的输出。结果 本研究共纳入2 904例患者,其中有695例（23.93%）患者发生CRAB感染。XGBoost模型在训练集和测试集中AUC最高（0.994和0.907）;Hosmer-Lemeshow检验结果显示,XGBoost模型校准曲线显示预测风险与观察风险高度一致（χ2=7.323、4.609,P=0.513、0.764）;DCA曲线显示XGBoost模型在整个阈值范围（0～1.0）内表现最佳,净获益最高。通过SHAP方法确定了ICU住院时间、应用替加环素、中心静脉置管、应用碳青霉烯类抗菌药物、使用呼吸机是较为重要的预测因子。结论 构建了XGBoost模型并用SHAP方法进行解释,为筛选ICU内CRAB感染高风险患者提供参考。","container-title":"中华医院感染学杂志","ISSN":"1005-4529","issue":"17","language":"zh-CN","note":"original-container-title: Chinese Journal of Nosocomiology\nstatus: advance online publication\nfoundation: 辽宁省自然科学基金计划面上项目(2024-MS-292)；\ndownload: 632\nalbum: 医药卫生科技;信息科技\nCLC: TP181;R446.5\ndbcode: CAPJ\ndbname: CAPJLAST\nfilename: ZHYY20250707006\npublicationTag: 北大核心, CAS, JST, CSCD扩展版, WJCI, 卓越期刊\nCIF: 1.596\nAIF: 1.333","page":"2586-2591","source":"CNKI","title":"基于5种机器学习算法构建ICU患者耐碳青霉烯类鲍曼不动杆菌感染风险预测模型","author":[{"literal":"贾辰"},{"literal":"高岩"},{"literal":"解夕黎"},{"literal":"赵凤"},{"literal":"秦海明"},{"literal":"王璐"}],"issued":{"date-parts":[["2025",7,7]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vertAlign w:val="superscript"/>
        </w:rPr>
        <w:t>[26]</w:t>
      </w:r>
      <w:r>
        <w:rPr>
          <w:rFonts w:ascii="Times New Roman" w:hAnsi="Times New Roman" w:cs="Times New Roman"/>
        </w:rPr>
        <w:fldChar w:fldCharType="end"/>
      </w:r>
      <w:r>
        <w:rPr>
          <w:rFonts w:ascii="Times New Roman" w:hAnsi="Times New Roman" w:cs="Times New Roman"/>
        </w:rPr>
        <w:t>，整合电子病历实时数据，开发基于深度学习的动态预测模型，实现术中术后即时风险评估。</w:t>
      </w:r>
    </w:p>
    <w:p w14:paraId="5BAE1BE1">
      <w:pPr>
        <w:widowControl/>
        <w:shd w:val="clear" w:color="auto" w:fill="FFFFFF"/>
        <w:spacing w:before="156" w:beforeLines="50" w:after="156" w:afterLines="50"/>
        <w:ind w:firstLine="0" w:firstLineChars="0"/>
        <w:jc w:val="left"/>
        <w:rPr>
          <w:rFonts w:ascii="Times New Roman" w:hAnsi="Times New Roman" w:cs="Times New Roman"/>
          <w:b/>
          <w:bCs/>
          <w:kern w:val="0"/>
          <w:sz w:val="24"/>
          <w:szCs w:val="24"/>
        </w:rPr>
      </w:pPr>
      <w:r>
        <w:rPr>
          <w:rFonts w:ascii="Times New Roman" w:hAnsi="Times New Roman" w:cs="Times New Roman"/>
          <w:b/>
          <w:bCs/>
          <w:kern w:val="0"/>
          <w:sz w:val="24"/>
          <w:szCs w:val="24"/>
        </w:rPr>
        <w:t>重要声明</w:t>
      </w:r>
    </w:p>
    <w:p w14:paraId="417068AB">
      <w:pPr>
        <w:widowControl/>
        <w:shd w:val="clear" w:color="auto" w:fill="FFFFFF"/>
        <w:ind w:firstLine="360"/>
        <w:jc w:val="left"/>
        <w:rPr>
          <w:rFonts w:ascii="Times New Roman" w:hAnsi="Times New Roman" w:cs="Times New Roman"/>
          <w:kern w:val="0"/>
          <w:sz w:val="18"/>
          <w:szCs w:val="18"/>
        </w:rPr>
      </w:pPr>
      <w:r>
        <w:rPr>
          <w:rFonts w:ascii="Times New Roman" w:hAnsi="Times New Roman" w:cs="Times New Roman"/>
          <w:kern w:val="0"/>
          <w:sz w:val="18"/>
          <w:szCs w:val="18"/>
        </w:rPr>
        <w:t>利益冲突声明：本文全体作者均声明不存在利益冲突。</w:t>
      </w:r>
    </w:p>
    <w:p w14:paraId="106C5179">
      <w:pPr>
        <w:widowControl/>
        <w:shd w:val="clear" w:color="auto" w:fill="FFFFFF"/>
        <w:ind w:firstLine="360"/>
        <w:jc w:val="left"/>
        <w:rPr>
          <w:rFonts w:ascii="Times New Roman" w:hAnsi="Times New Roman" w:cs="Times New Roman"/>
          <w:kern w:val="0"/>
          <w:sz w:val="18"/>
          <w:szCs w:val="18"/>
        </w:rPr>
      </w:pPr>
      <w:r>
        <w:rPr>
          <w:rFonts w:ascii="Times New Roman" w:hAnsi="Times New Roman" w:cs="Times New Roman"/>
          <w:kern w:val="0"/>
          <w:sz w:val="18"/>
          <w:szCs w:val="18"/>
        </w:rPr>
        <w:t>作者贡献声明：</w:t>
      </w:r>
      <w:r>
        <w:rPr>
          <w:rFonts w:hint="eastAsia" w:ascii="Times New Roman" w:hAnsi="Times New Roman" w:cs="Times New Roman"/>
          <w:kern w:val="0"/>
          <w:sz w:val="18"/>
          <w:szCs w:val="18"/>
        </w:rPr>
        <w:t>王瑜总体设计、数据处理并撰写论文、定稿；尹丽霞数据资料收集；姚博参与论文思路分析，论文修改指导；吴江参与论文思路分析，论文修改指导；蒲江波：总体设计，论文思路指导。</w:t>
      </w:r>
    </w:p>
    <w:p w14:paraId="267E5145">
      <w:pPr>
        <w:widowControl/>
        <w:shd w:val="clear" w:color="auto" w:fill="FFFFFF"/>
        <w:ind w:firstLine="360"/>
        <w:jc w:val="left"/>
        <w:rPr>
          <w:rFonts w:ascii="Times New Roman" w:hAnsi="Times New Roman" w:cs="Times New Roman"/>
          <w:kern w:val="0"/>
          <w:sz w:val="18"/>
          <w:szCs w:val="18"/>
        </w:rPr>
      </w:pPr>
      <w:r>
        <w:rPr>
          <w:rFonts w:hint="eastAsia" w:ascii="Times New Roman" w:hAnsi="Times New Roman" w:cs="Times New Roman"/>
          <w:kern w:val="0"/>
          <w:sz w:val="18"/>
          <w:szCs w:val="18"/>
        </w:rPr>
        <w:t>基金项目声明：</w:t>
      </w:r>
      <w:bookmarkStart w:id="15" w:name="_Hlk218707845"/>
      <w:r>
        <w:rPr>
          <w:rFonts w:hint="eastAsia" w:ascii="Times New Roman" w:hAnsi="Times New Roman" w:cs="Times New Roman"/>
          <w:kern w:val="0"/>
          <w:sz w:val="18"/>
          <w:szCs w:val="18"/>
        </w:rPr>
        <w:t>科技创新2030“脑科学与类脑研究”重大项目“脑机交互计算融合研究平台”子课题“脑信息输入-输出接口及安全伦理标准与规范研究”（2021ZD0200406）；战略性科技创新合作”专项“中美脑机接口技术与产业标准化合作”课题（2023YFE0207800）；重大协同创新项目医用机器人和生物人工器官的关键技术及应用（2021-I2M-1-058）</w:t>
      </w:r>
    </w:p>
    <w:bookmarkEnd w:id="15"/>
    <w:p w14:paraId="57009463">
      <w:pPr>
        <w:widowControl/>
        <w:shd w:val="clear" w:color="auto" w:fill="FFFFFF"/>
        <w:spacing w:before="156" w:beforeLines="50" w:after="156" w:afterLines="50"/>
        <w:ind w:firstLine="0" w:firstLineChars="0"/>
        <w:jc w:val="left"/>
        <w:rPr>
          <w:rFonts w:ascii="Times New Roman" w:hAnsi="Times New Roman" w:cs="Times New Roman"/>
          <w:b/>
          <w:bCs/>
          <w:kern w:val="0"/>
          <w:sz w:val="24"/>
          <w:szCs w:val="24"/>
        </w:rPr>
      </w:pPr>
      <w:r>
        <w:rPr>
          <w:rFonts w:ascii="Times New Roman" w:hAnsi="Times New Roman" w:cs="Times New Roman"/>
          <w:b/>
          <w:bCs/>
          <w:kern w:val="0"/>
          <w:sz w:val="24"/>
          <w:szCs w:val="24"/>
        </w:rPr>
        <w:t>参考文献</w:t>
      </w:r>
    </w:p>
    <w:p w14:paraId="041171EC">
      <w:pPr>
        <w:pStyle w:val="45"/>
        <w:ind w:firstLine="360"/>
        <w:rPr>
          <w:rFonts w:hint="eastAsia"/>
          <w:sz w:val="18"/>
        </w:rPr>
      </w:pPr>
      <w:r>
        <w:rPr>
          <w:sz w:val="18"/>
          <w:szCs w:val="18"/>
        </w:rPr>
        <w:fldChar w:fldCharType="begin"/>
      </w:r>
      <w:r>
        <w:rPr>
          <w:sz w:val="18"/>
          <w:szCs w:val="18"/>
        </w:rPr>
        <w:instrText xml:space="preserve"> ADDIN ZOTERO_BIBL {"uncited":[],"omitted":[],"custom":[]} CSL_BIBLIOGRAPHY </w:instrText>
      </w:r>
      <w:r>
        <w:rPr>
          <w:sz w:val="18"/>
          <w:szCs w:val="18"/>
        </w:rPr>
        <w:fldChar w:fldCharType="separate"/>
      </w:r>
      <w:r>
        <w:rPr>
          <w:sz w:val="18"/>
        </w:rPr>
        <w:t>[1]</w:t>
      </w:r>
      <w:r>
        <w:rPr>
          <w:sz w:val="18"/>
        </w:rPr>
        <w:tab/>
      </w:r>
      <w:r>
        <w:rPr>
          <w:sz w:val="18"/>
        </w:rPr>
        <w:t>SUNG H，FERLAY J，SIEGEL R L，等. Global Cancer Statistics 2020: GLOBOCAN Estimates of Incidence and Mortality Worldwide for 36 Cancers in 185 Countries[J/OL]. CA: a cancer journal for clinicians，2021，71（3）：209-249. DOI:10.3322/caac.21660.</w:t>
      </w:r>
    </w:p>
    <w:p w14:paraId="2C4C1BD0">
      <w:pPr>
        <w:pStyle w:val="45"/>
        <w:ind w:firstLine="360"/>
        <w:rPr>
          <w:rFonts w:hint="eastAsia"/>
          <w:sz w:val="18"/>
        </w:rPr>
      </w:pPr>
      <w:r>
        <w:rPr>
          <w:sz w:val="18"/>
        </w:rPr>
        <w:t>[2]</w:t>
      </w:r>
      <w:r>
        <w:rPr>
          <w:sz w:val="18"/>
        </w:rPr>
        <w:tab/>
      </w:r>
      <w:r>
        <w:rPr>
          <w:sz w:val="18"/>
        </w:rPr>
        <w:t>BYKOWSKA-DERDA A，DARR R，CZLAPKA-MATYASIK M，等. Short fat-adaptation diet impact on a consecutive day of interval exercise performance[J/OL]. Acta Scientiarum Polonorum. Technologia Alimentaria，2021，20（1）：47-54. DOI:10.17306/J.AFS.0828.</w:t>
      </w:r>
    </w:p>
    <w:p w14:paraId="7ED3D36D">
      <w:pPr>
        <w:pStyle w:val="45"/>
        <w:ind w:firstLine="360"/>
        <w:rPr>
          <w:rFonts w:hint="eastAsia"/>
          <w:sz w:val="18"/>
        </w:rPr>
      </w:pPr>
      <w:r>
        <w:rPr>
          <w:sz w:val="18"/>
        </w:rPr>
        <w:t>[3]</w:t>
      </w:r>
      <w:r>
        <w:rPr>
          <w:sz w:val="18"/>
        </w:rPr>
        <w:tab/>
      </w:r>
      <w:r>
        <w:rPr>
          <w:sz w:val="18"/>
        </w:rPr>
        <w:t>FABIAN T. Management of Postoperative Complications After Esophageal Resection[J/OL]. The Surgical Clinics of North America，2021，101（3）：525-539. DOI:10.1016/j.suc.2021.03.013.</w:t>
      </w:r>
    </w:p>
    <w:p w14:paraId="1F62E6C6">
      <w:pPr>
        <w:pStyle w:val="45"/>
        <w:ind w:firstLine="360"/>
        <w:rPr>
          <w:rFonts w:hint="eastAsia"/>
          <w:sz w:val="18"/>
        </w:rPr>
      </w:pPr>
      <w:r>
        <w:rPr>
          <w:sz w:val="18"/>
        </w:rPr>
        <w:t>[4]</w:t>
      </w:r>
      <w:r>
        <w:rPr>
          <w:sz w:val="18"/>
        </w:rPr>
        <w:tab/>
      </w:r>
      <w:r>
        <w:rPr>
          <w:sz w:val="18"/>
        </w:rPr>
        <w:t>AVENDANO C E，FLUME P A，SILVESTRI G A，等. Pulmonary complications after esophagectomy[J/OL]. The Annals of Thoracic Surgery，2002，73（3）：922-926. DOI:10.1016/s0003-4975(01)03584-6.</w:t>
      </w:r>
    </w:p>
    <w:p w14:paraId="303BFC3E">
      <w:pPr>
        <w:pStyle w:val="45"/>
        <w:ind w:firstLine="360"/>
        <w:rPr>
          <w:rFonts w:hint="eastAsia"/>
          <w:sz w:val="18"/>
        </w:rPr>
      </w:pPr>
      <w:r>
        <w:rPr>
          <w:sz w:val="18"/>
        </w:rPr>
        <w:t>[5]</w:t>
      </w:r>
      <w:r>
        <w:rPr>
          <w:sz w:val="18"/>
        </w:rPr>
        <w:tab/>
      </w:r>
      <w:r>
        <w:rPr>
          <w:sz w:val="18"/>
        </w:rPr>
        <w:t>KOPP B T，JOSELOFF E，GOETZ D，等. Urinary metabolomics reveals unique metabolic signatures in infants with cystic fibrosis[J/OL]. Journal of Cystic Fibrosis: Official Journal of the European Cystic Fibrosis Society，2019，18（4）：507-515. DOI:10.1016/j.jcf.2018.10.016.</w:t>
      </w:r>
    </w:p>
    <w:p w14:paraId="0848A6DA">
      <w:pPr>
        <w:pStyle w:val="45"/>
        <w:ind w:firstLine="360"/>
        <w:rPr>
          <w:rFonts w:hint="eastAsia"/>
          <w:sz w:val="18"/>
        </w:rPr>
      </w:pPr>
      <w:r>
        <w:rPr>
          <w:sz w:val="18"/>
        </w:rPr>
        <w:t>[6]</w:t>
      </w:r>
      <w:r>
        <w:rPr>
          <w:sz w:val="18"/>
        </w:rPr>
        <w:tab/>
      </w:r>
      <w:r>
        <w:rPr>
          <w:sz w:val="18"/>
        </w:rPr>
        <w:t>田园，林志浩，李瑞，等. 基于组合优化的机器学习模型预测胃癌术后感染性并发症的诊断性研究[J]. 中国循证医学杂志，2024，24（9）：993-1003.</w:t>
      </w:r>
    </w:p>
    <w:p w14:paraId="6635A1E1">
      <w:pPr>
        <w:pStyle w:val="45"/>
        <w:ind w:firstLine="360"/>
        <w:rPr>
          <w:rFonts w:hint="eastAsia"/>
          <w:sz w:val="18"/>
        </w:rPr>
      </w:pPr>
      <w:r>
        <w:rPr>
          <w:sz w:val="18"/>
        </w:rPr>
        <w:t>[7]</w:t>
      </w:r>
      <w:r>
        <w:rPr>
          <w:sz w:val="18"/>
        </w:rPr>
        <w:tab/>
      </w:r>
      <w:r>
        <w:rPr>
          <w:sz w:val="18"/>
        </w:rPr>
        <w:t>DEV D，WALLACE E，SANKARAN R，等. Value of C-reactive protein measurements in exacerbations of chronic obstructive pulmonary disease[J/OL]. Respiratory Medicine，1998，92（4）：664-667. DOI:10.1016/s0954-6111(98)90515-7.</w:t>
      </w:r>
    </w:p>
    <w:p w14:paraId="329026C8">
      <w:pPr>
        <w:pStyle w:val="45"/>
        <w:ind w:firstLine="360"/>
        <w:rPr>
          <w:rFonts w:hint="eastAsia"/>
          <w:sz w:val="18"/>
        </w:rPr>
      </w:pPr>
      <w:r>
        <w:rPr>
          <w:sz w:val="18"/>
        </w:rPr>
        <w:t>[8]</w:t>
      </w:r>
      <w:r>
        <w:rPr>
          <w:sz w:val="18"/>
        </w:rPr>
        <w:tab/>
      </w:r>
      <w:r>
        <w:rPr>
          <w:sz w:val="18"/>
        </w:rPr>
        <w:t>吕明闯，曹睿，丁旭青，等. 食管癌术后并发肺部感染危险因素和预测模型构建[J]. 中华医院感染学杂志，2024，34（10）：1507-1511.</w:t>
      </w:r>
    </w:p>
    <w:p w14:paraId="5F2C8BAA">
      <w:pPr>
        <w:pStyle w:val="45"/>
        <w:ind w:firstLine="360"/>
        <w:rPr>
          <w:rFonts w:hint="eastAsia"/>
          <w:sz w:val="18"/>
        </w:rPr>
      </w:pPr>
      <w:r>
        <w:rPr>
          <w:sz w:val="18"/>
        </w:rPr>
        <w:t>[9]</w:t>
      </w:r>
      <w:r>
        <w:rPr>
          <w:sz w:val="18"/>
        </w:rPr>
        <w:tab/>
      </w:r>
      <w:r>
        <w:rPr>
          <w:sz w:val="18"/>
        </w:rPr>
        <w:t>LI S，FANG C，TAO Z，et al. A nomogram for postoperative pulmonary infections in esophageal cancer patients: a two-center retrospective clinical study[J/OL]. BMC Surgery，2025，25（1）：70. DOI:10.1186/s12893-025-02794-z.</w:t>
      </w:r>
    </w:p>
    <w:p w14:paraId="4AF6DDC3">
      <w:pPr>
        <w:pStyle w:val="45"/>
        <w:ind w:firstLine="360"/>
        <w:rPr>
          <w:rFonts w:hint="eastAsia"/>
          <w:sz w:val="18"/>
        </w:rPr>
      </w:pPr>
      <w:r>
        <w:rPr>
          <w:sz w:val="18"/>
        </w:rPr>
        <w:t>[10]</w:t>
      </w:r>
      <w:r>
        <w:rPr>
          <w:sz w:val="18"/>
        </w:rPr>
        <w:tab/>
      </w:r>
      <w:r>
        <w:rPr>
          <w:sz w:val="18"/>
        </w:rPr>
        <w:t>JUNG J O，PISULA J I，BOZEK K，等. Prediction of postoperative complications after oesophagectomy using machine-learning methods[J/OL]. The British Journal of Surgery，2023，110（10）：1361-1366. DOI:10.1093/bjs/znad181.</w:t>
      </w:r>
    </w:p>
    <w:p w14:paraId="7BA655FB">
      <w:pPr>
        <w:pStyle w:val="45"/>
        <w:ind w:firstLine="360"/>
        <w:rPr>
          <w:rFonts w:hint="eastAsia"/>
          <w:sz w:val="18"/>
        </w:rPr>
      </w:pPr>
      <w:r>
        <w:rPr>
          <w:sz w:val="18"/>
        </w:rPr>
        <w:t>[11]</w:t>
      </w:r>
      <w:r>
        <w:rPr>
          <w:sz w:val="18"/>
        </w:rPr>
        <w:tab/>
      </w:r>
      <w:r>
        <w:rPr>
          <w:sz w:val="18"/>
        </w:rPr>
        <w:t>GOENSE L，VAN DIJK W A，GOVAERT J A，等. Hospital costs of complications after esophagectomy for cancer[J/OL]. European Journal of Surgical Oncology: The Journal of the European Society of Surgical Oncology and the British Association of Surgical Oncology，2017，43（4）：696-702. DOI:10.1016/j.ejso.2016.11.013.</w:t>
      </w:r>
    </w:p>
    <w:p w14:paraId="373D7DB6">
      <w:pPr>
        <w:pStyle w:val="45"/>
        <w:ind w:firstLine="360"/>
        <w:rPr>
          <w:rFonts w:hint="eastAsia"/>
          <w:sz w:val="18"/>
        </w:rPr>
      </w:pPr>
      <w:r>
        <w:rPr>
          <w:sz w:val="18"/>
        </w:rPr>
        <w:t>[12]</w:t>
      </w:r>
      <w:r>
        <w:rPr>
          <w:sz w:val="18"/>
        </w:rPr>
        <w:tab/>
      </w:r>
      <w:r>
        <w:rPr>
          <w:sz w:val="18"/>
        </w:rPr>
        <w:t>王瑜，吴江，伍. 卷积神经网络在职业性尘肺病影像学诊断中的应用研究进展[J/OL]. Sheng Wu Yi Xue Gong Cheng Xue Za Zhi = Journal of Biomedical Engineering，2024，41（2）：413-420. DOI:10.7507/1001-5515.202309079.</w:t>
      </w:r>
    </w:p>
    <w:p w14:paraId="4D0C8EF3">
      <w:pPr>
        <w:pStyle w:val="45"/>
        <w:ind w:firstLine="360"/>
        <w:rPr>
          <w:rFonts w:hint="eastAsia"/>
          <w:sz w:val="18"/>
        </w:rPr>
      </w:pPr>
      <w:r>
        <w:rPr>
          <w:sz w:val="18"/>
        </w:rPr>
        <w:t>[13]</w:t>
      </w:r>
      <w:r>
        <w:rPr>
          <w:sz w:val="18"/>
        </w:rPr>
        <w:tab/>
      </w:r>
      <w:r>
        <w:rPr>
          <w:sz w:val="18"/>
        </w:rPr>
        <w:t>RAJKOMAR A，DEAN J，KOHANE I. Machine Learning in Medicine[J/OL]. The New England Journal of Medicine，2019，380（14）：1347-1358. DOI:10.1056/NEJMra1814259.</w:t>
      </w:r>
    </w:p>
    <w:p w14:paraId="75D4E654">
      <w:pPr>
        <w:pStyle w:val="45"/>
        <w:ind w:firstLine="360"/>
        <w:rPr>
          <w:rFonts w:hint="eastAsia"/>
          <w:sz w:val="18"/>
        </w:rPr>
      </w:pPr>
      <w:r>
        <w:rPr>
          <w:sz w:val="18"/>
        </w:rPr>
        <w:t>[14]</w:t>
      </w:r>
      <w:r>
        <w:rPr>
          <w:sz w:val="18"/>
        </w:rPr>
        <w:tab/>
      </w:r>
      <w:r>
        <w:rPr>
          <w:sz w:val="18"/>
        </w:rPr>
        <w:t>中华人民共和国国家卫生健康委员会医政医管局. 食管癌诊疗指南（2022 年版）[J]. 中华消化外科杂志，2022，21（21）：1247-1268.</w:t>
      </w:r>
    </w:p>
    <w:p w14:paraId="03950D7F">
      <w:pPr>
        <w:pStyle w:val="45"/>
        <w:ind w:firstLine="360"/>
        <w:rPr>
          <w:rFonts w:hint="eastAsia"/>
          <w:sz w:val="18"/>
        </w:rPr>
      </w:pPr>
      <w:r>
        <w:rPr>
          <w:sz w:val="18"/>
        </w:rPr>
        <w:t>[15]</w:t>
      </w:r>
      <w:r>
        <w:rPr>
          <w:sz w:val="18"/>
        </w:rPr>
        <w:tab/>
      </w:r>
      <w:r>
        <w:rPr>
          <w:sz w:val="18"/>
        </w:rPr>
        <w:t>中华人民共和国卫生部. 医院感染诊断标准（试行）：5[S]. 中华医学杂志，2001.</w:t>
      </w:r>
    </w:p>
    <w:p w14:paraId="083360AF">
      <w:pPr>
        <w:pStyle w:val="45"/>
        <w:ind w:firstLine="360"/>
        <w:rPr>
          <w:rFonts w:hint="eastAsia"/>
          <w:sz w:val="18"/>
        </w:rPr>
      </w:pPr>
      <w:r>
        <w:rPr>
          <w:sz w:val="18"/>
        </w:rPr>
        <w:t>[16]</w:t>
      </w:r>
      <w:r>
        <w:rPr>
          <w:sz w:val="18"/>
        </w:rPr>
        <w:tab/>
      </w:r>
      <w:r>
        <w:rPr>
          <w:sz w:val="18"/>
        </w:rPr>
        <w:t>中华人民共和国卫生部. 肺炎诊断：WS 382-2012[S].</w:t>
      </w:r>
    </w:p>
    <w:p w14:paraId="3610DF1C">
      <w:pPr>
        <w:pStyle w:val="45"/>
        <w:ind w:firstLine="360"/>
        <w:rPr>
          <w:rFonts w:hint="eastAsia"/>
          <w:sz w:val="18"/>
        </w:rPr>
      </w:pPr>
      <w:r>
        <w:rPr>
          <w:sz w:val="18"/>
        </w:rPr>
        <w:t>[17]</w:t>
      </w:r>
      <w:r>
        <w:rPr>
          <w:sz w:val="18"/>
        </w:rPr>
        <w:tab/>
      </w:r>
      <w:r>
        <w:rPr>
          <w:sz w:val="18"/>
        </w:rPr>
        <w:t>刘欣悦，姜改英，王晓娟，等. 机器学习在腹膜透析并发症风险预测模型中的研究进展[J/OL]. 中国血液净化，2025，24（10）. https://kns.cnki.net/KCMS/detail/detail.aspx?dbcode=CJFQ&amp;dbname=CJFDLAST2025&amp;filename=ZGJH202510009.</w:t>
      </w:r>
    </w:p>
    <w:p w14:paraId="404BFE3A">
      <w:pPr>
        <w:pStyle w:val="45"/>
        <w:ind w:firstLine="360"/>
        <w:rPr>
          <w:rFonts w:hint="eastAsia"/>
          <w:sz w:val="18"/>
        </w:rPr>
      </w:pPr>
      <w:r>
        <w:rPr>
          <w:sz w:val="18"/>
        </w:rPr>
        <w:t>[18]</w:t>
      </w:r>
      <w:r>
        <w:rPr>
          <w:sz w:val="18"/>
        </w:rPr>
        <w:tab/>
      </w:r>
      <w:r>
        <w:rPr>
          <w:sz w:val="18"/>
        </w:rPr>
        <w:t>李旭然，丁晓红. 机器学习的五大类别及其主要算法综述[J/OL]. 软件导刊，2019，18（7）. https://kns.cnki.net/KCMS/detail/detail.aspx?dbcode=CJFQ&amp;dbname=CJFDLAST2019&amp;filename=RJDK201907003.</w:t>
      </w:r>
    </w:p>
    <w:p w14:paraId="3E64D4BB">
      <w:pPr>
        <w:pStyle w:val="45"/>
        <w:ind w:firstLine="360"/>
        <w:rPr>
          <w:rFonts w:hint="eastAsia"/>
          <w:sz w:val="18"/>
        </w:rPr>
      </w:pPr>
      <w:r>
        <w:rPr>
          <w:sz w:val="18"/>
        </w:rPr>
        <w:t>[19]</w:t>
      </w:r>
      <w:r>
        <w:rPr>
          <w:sz w:val="18"/>
        </w:rPr>
        <w:tab/>
      </w:r>
      <w:r>
        <w:rPr>
          <w:sz w:val="18"/>
        </w:rPr>
        <w:t>HU B，CHEN X，CHEN T，等. Multimodal machine learning-based marker enables the link between obesity-related indices and future stroke: a prospective cohort study[J/OL]. eClinicalMedicine，2025，85：103331. DOI:10.1016/j.eclinm.2025.103331.</w:t>
      </w:r>
    </w:p>
    <w:p w14:paraId="3D41E5B9">
      <w:pPr>
        <w:pStyle w:val="45"/>
        <w:ind w:firstLine="360"/>
        <w:rPr>
          <w:rFonts w:hint="eastAsia"/>
          <w:sz w:val="18"/>
        </w:rPr>
      </w:pPr>
      <w:r>
        <w:rPr>
          <w:sz w:val="18"/>
        </w:rPr>
        <w:t>[20]</w:t>
      </w:r>
      <w:r>
        <w:rPr>
          <w:sz w:val="18"/>
        </w:rPr>
        <w:tab/>
      </w:r>
      <w:r>
        <w:rPr>
          <w:sz w:val="18"/>
        </w:rPr>
        <w:t>LI K，LU S，LI C，等. Sex-based analysis of clinical outcomes in elderly patients with esophageal squamous cell carcinoma post-esophagectomy: a propensity score matching analysis[J/OL]. Frontiers in Oncology，2025，15：1549123. DOI:10.3389/fonc.2025.1549123.</w:t>
      </w:r>
    </w:p>
    <w:p w14:paraId="2416B13E">
      <w:pPr>
        <w:pStyle w:val="45"/>
        <w:ind w:firstLine="360"/>
        <w:rPr>
          <w:rFonts w:hint="eastAsia"/>
          <w:sz w:val="18"/>
        </w:rPr>
      </w:pPr>
      <w:r>
        <w:rPr>
          <w:sz w:val="18"/>
        </w:rPr>
        <w:t>[21]</w:t>
      </w:r>
      <w:r>
        <w:rPr>
          <w:sz w:val="18"/>
        </w:rPr>
        <w:tab/>
      </w:r>
      <w:r>
        <w:rPr>
          <w:sz w:val="18"/>
        </w:rPr>
        <w:t>RUZZENENTE A，ALAIMO L，CAPUTO M，等. Infectious complications after surgery for perihilar cholangiocarcinoma: A single Western center experience[J/OL]. Surgery，2022，172（3）：813-820. DOI:10.1016/j.surg.2022.04.028.</w:t>
      </w:r>
    </w:p>
    <w:p w14:paraId="159A527F">
      <w:pPr>
        <w:pStyle w:val="45"/>
        <w:ind w:firstLine="360"/>
        <w:rPr>
          <w:rFonts w:hint="eastAsia"/>
          <w:sz w:val="18"/>
        </w:rPr>
      </w:pPr>
      <w:r>
        <w:rPr>
          <w:sz w:val="18"/>
        </w:rPr>
        <w:t>[22]</w:t>
      </w:r>
      <w:r>
        <w:rPr>
          <w:sz w:val="18"/>
        </w:rPr>
        <w:tab/>
      </w:r>
      <w:r>
        <w:rPr>
          <w:sz w:val="18"/>
        </w:rPr>
        <w:t>CHENG H，CHEN B P H，SOLEAS I M，等. Prolonged Operative Duration Increases Risk of Surgical Site Infections: A Systematic Review[J/OL]. Surgical Infections，2017，18（6）：722-735. DOI:10.1089/sur.2017.089.</w:t>
      </w:r>
    </w:p>
    <w:p w14:paraId="5C5B83BD">
      <w:pPr>
        <w:pStyle w:val="45"/>
        <w:ind w:firstLine="360"/>
        <w:rPr>
          <w:rFonts w:hint="eastAsia"/>
          <w:sz w:val="18"/>
        </w:rPr>
      </w:pPr>
      <w:r>
        <w:rPr>
          <w:sz w:val="18"/>
        </w:rPr>
        <w:t>[23]</w:t>
      </w:r>
      <w:r>
        <w:rPr>
          <w:sz w:val="18"/>
        </w:rPr>
        <w:tab/>
      </w:r>
      <w:r>
        <w:rPr>
          <w:sz w:val="18"/>
        </w:rPr>
        <w:t>COOK D J，WALTER S D，COOK R J，等. Incidence of and risk factors for ventilator-associated pneumonia in critically ill patients[J/OL]. Annals of Internal Medicine，1998，129（6）：433-440. DOI:10.7326/0003-4819-129-6-199809150-00002.</w:t>
      </w:r>
    </w:p>
    <w:p w14:paraId="3DD9CCF1">
      <w:pPr>
        <w:pStyle w:val="45"/>
        <w:ind w:firstLine="360"/>
        <w:rPr>
          <w:rFonts w:hint="eastAsia"/>
          <w:sz w:val="18"/>
        </w:rPr>
      </w:pPr>
      <w:r>
        <w:rPr>
          <w:sz w:val="18"/>
        </w:rPr>
        <w:t>[24]</w:t>
      </w:r>
      <w:r>
        <w:rPr>
          <w:sz w:val="18"/>
        </w:rPr>
        <w:tab/>
      </w:r>
      <w:r>
        <w:rPr>
          <w:sz w:val="18"/>
        </w:rPr>
        <w:t>MIYAMURA T，SAKAMOTO N，KAKUGAWA T，等. Postoperative acute exacerbation of interstitial pneumonia in pulmonary and non-pulmonary surgery: a retrospective study[J/OL]. Respiratory Research，2019，20（1）：154. DOI:10.1186/s12931-019-1128-5.</w:t>
      </w:r>
    </w:p>
    <w:p w14:paraId="679806E0">
      <w:pPr>
        <w:pStyle w:val="45"/>
        <w:ind w:firstLine="360"/>
        <w:rPr>
          <w:rFonts w:hint="eastAsia"/>
          <w:sz w:val="18"/>
        </w:rPr>
      </w:pPr>
      <w:r>
        <w:rPr>
          <w:sz w:val="18"/>
        </w:rPr>
        <w:t>[25]</w:t>
      </w:r>
      <w:r>
        <w:rPr>
          <w:sz w:val="18"/>
        </w:rPr>
        <w:tab/>
      </w:r>
      <w:r>
        <w:rPr>
          <w:sz w:val="18"/>
        </w:rPr>
        <w:t>KANO K，AOYAMA T，NAKAJIMA T，等. Prediction of postoperative inflammatory complications after esophageal cancer surgery based on early changes in the C-reactive protein level in patients who received perioperative steroid therapy and enhanced recovery after surgery care: a retrospective analysis[J/OL]. BMC cancer，2017，17（1）：812. DOI:10.1186/s12885-017-3831-2.</w:t>
      </w:r>
    </w:p>
    <w:p w14:paraId="4E4CAA99">
      <w:pPr>
        <w:pStyle w:val="45"/>
        <w:ind w:firstLine="360"/>
        <w:rPr>
          <w:rFonts w:hint="eastAsia"/>
          <w:sz w:val="18"/>
        </w:rPr>
      </w:pPr>
      <w:r>
        <w:rPr>
          <w:sz w:val="18"/>
        </w:rPr>
        <w:t>[26]</w:t>
      </w:r>
      <w:r>
        <w:rPr>
          <w:sz w:val="18"/>
        </w:rPr>
        <w:tab/>
      </w:r>
      <w:r>
        <w:rPr>
          <w:sz w:val="18"/>
        </w:rPr>
        <w:t>贾辰，高岩，解夕黎，等. 基于5种机器学习算法构建ICU患者耐碳青霉烯类鲍曼不动杆菌感染风险预测模型[J]. 中华医院感染学杂志，2025（17）：2586-2591.</w:t>
      </w:r>
    </w:p>
    <w:p w14:paraId="3B394F5A">
      <w:pPr>
        <w:widowControl/>
        <w:shd w:val="clear" w:color="auto" w:fill="FFFFFF"/>
        <w:ind w:firstLine="200" w:firstLineChars="0"/>
        <w:jc w:val="left"/>
        <w:rPr>
          <w:rFonts w:ascii="Times New Roman" w:hAnsi="Times New Roman" w:cs="Times New Roman"/>
          <w:kern w:val="0"/>
          <w:sz w:val="24"/>
          <w:szCs w:val="24"/>
        </w:rPr>
      </w:pPr>
      <w:r>
        <w:rPr>
          <w:rFonts w:ascii="Times New Roman" w:hAnsi="Times New Roman" w:cs="Times New Roman"/>
          <w:kern w:val="0"/>
          <w:sz w:val="18"/>
          <w:szCs w:val="18"/>
        </w:rPr>
        <w:fldChar w:fldCharType="end"/>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p>
  </w:endnote>
  <w:endnote w:type="continuationSeparator" w:id="1">
    <w:p>
      <w:pPr>
        <w:spacing w:line="240" w:lineRule="auto"/>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3376814"/>
      <w:docPartObj>
        <w:docPartGallery w:val="autotext"/>
      </w:docPartObj>
    </w:sdtPr>
    <w:sdtContent>
      <w:p w14:paraId="4529A2B8">
        <w:pPr>
          <w:pStyle w:val="15"/>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69544DA6">
    <w:pPr>
      <w:pStyle w:val="15"/>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B7DA2">
    <w:pPr>
      <w:pStyle w:val="1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0A9F7">
    <w:pPr>
      <w:pStyle w:val="15"/>
      <w:ind w:firstLine="360"/>
      <w:rPr>
        <w:rFonts w:hint="eastAsia"/>
      </w:rPr>
    </w:pPr>
    <w:r>
      <w:rPr>
        <w:rFonts w:hint="eastAsia"/>
        <w:vertAlign w:val="superscript"/>
      </w:rPr>
      <w:t>*</w:t>
    </w:r>
    <w:r>
      <w:rPr>
        <w:rFonts w:hint="eastAsia"/>
      </w:rPr>
      <w:t xml:space="preserve">通信作者：蒲江波， </w:t>
    </w:r>
    <w:r>
      <w:t>pujb@bme.pumc</w:t>
    </w:r>
    <w:r>
      <w:rPr>
        <w:lang w:val="it-IT"/>
      </w:rPr>
      <w:t>.edu.cn</w:t>
    </w:r>
  </w:p>
  <w:p w14:paraId="0B651731">
    <w:pPr>
      <w:pStyle w:val="15"/>
      <w:ind w:firstLine="360"/>
      <w:rPr>
        <w:rFonts w:hint="eastAsia"/>
      </w:rPr>
    </w:pPr>
    <w:r>
      <w:rPr>
        <w:rFonts w:hint="eastAsia"/>
      </w:rPr>
      <w:t>基金项目：科技创新2030“脑科学与类脑研究”重大项目“脑机交互计算融合研究平台”子课题“脑信息输入-输出接口及安全伦理标准与规范研究”（2021ZD0200406）；战略性科技创新合作专项“中美脑机接口技术与产业标准化合作”课题（2023YFE0207800）；重大协同创新项目医用机器人和生物人工器官的关键技术及应用（2021-I2M-1-058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p>
  </w:footnote>
  <w:footnote w:type="continuationSeparator" w:id="1">
    <w:p>
      <w:pPr>
        <w:spacing w:line="360" w:lineRule="auto"/>
        <w:ind w:firstLine="42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6770A">
    <w:pPr>
      <w:pStyle w:val="16"/>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B1E46">
    <w:pPr>
      <w:pStyle w:val="1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4B71B">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8D7D8"/>
    <w:multiLevelType w:val="multilevel"/>
    <w:tmpl w:val="96C8D7D8"/>
    <w:lvl w:ilvl="0" w:tentative="0">
      <w:start w:val="0"/>
      <w:numFmt w:val="decimal"/>
      <w:pStyle w:val="2"/>
      <w:lvlText w:val="%1 "/>
      <w:lvlJc w:val="left"/>
      <w:pPr>
        <w:ind w:left="432" w:hanging="432"/>
      </w:pPr>
      <w:rPr>
        <w:rFonts w:hint="default" w:ascii="宋体" w:hAnsi="宋体" w:eastAsia="宋体" w:cs="宋体"/>
        <w:b/>
        <w:bCs/>
        <w:szCs w:val="28"/>
      </w:rPr>
    </w:lvl>
    <w:lvl w:ilvl="1" w:tentative="0">
      <w:start w:val="1"/>
      <w:numFmt w:val="decimal"/>
      <w:pStyle w:val="3"/>
      <w:lvlText w:val="%1.%2 "/>
      <w:lvlJc w:val="left"/>
      <w:pPr>
        <w:ind w:left="575" w:hanging="575"/>
      </w:pPr>
      <w:rPr>
        <w:rFonts w:hint="default" w:ascii="宋体" w:hAnsi="宋体" w:eastAsia="Times New Roman" w:cs="宋体"/>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2D990DF0"/>
    <w:multiLevelType w:val="multilevel"/>
    <w:tmpl w:val="2D990DF0"/>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02664D9"/>
    <w:multiLevelType w:val="multilevel"/>
    <w:tmpl w:val="302664D9"/>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attachedTemplate r:id="rId1"/>
  <w:documentProtection w:enforcement="0"/>
  <w:defaultTabStop w:val="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5ZjE2NGExMzI5MGU3NWIzZGRmM2VhMmNmMzMxNzIifQ=="/>
  </w:docVars>
  <w:rsids>
    <w:rsidRoot w:val="58CA3025"/>
    <w:rsid w:val="0000486E"/>
    <w:rsid w:val="00005502"/>
    <w:rsid w:val="0001210A"/>
    <w:rsid w:val="00013E56"/>
    <w:rsid w:val="000152FB"/>
    <w:rsid w:val="00025E25"/>
    <w:rsid w:val="00030D61"/>
    <w:rsid w:val="00051629"/>
    <w:rsid w:val="00051AB8"/>
    <w:rsid w:val="00065FF0"/>
    <w:rsid w:val="00066E5B"/>
    <w:rsid w:val="00095754"/>
    <w:rsid w:val="00096439"/>
    <w:rsid w:val="000966FD"/>
    <w:rsid w:val="00096CA7"/>
    <w:rsid w:val="000A17E6"/>
    <w:rsid w:val="000A18E9"/>
    <w:rsid w:val="000A33DA"/>
    <w:rsid w:val="000A3441"/>
    <w:rsid w:val="000B757F"/>
    <w:rsid w:val="000C7152"/>
    <w:rsid w:val="000D345C"/>
    <w:rsid w:val="000D4FC5"/>
    <w:rsid w:val="000E35BD"/>
    <w:rsid w:val="000E5CA8"/>
    <w:rsid w:val="000F11B1"/>
    <w:rsid w:val="000F47D0"/>
    <w:rsid w:val="000F5D6A"/>
    <w:rsid w:val="00103704"/>
    <w:rsid w:val="0010506E"/>
    <w:rsid w:val="001167E5"/>
    <w:rsid w:val="0012486B"/>
    <w:rsid w:val="00134FC2"/>
    <w:rsid w:val="001373C7"/>
    <w:rsid w:val="00144B30"/>
    <w:rsid w:val="001473A9"/>
    <w:rsid w:val="00154081"/>
    <w:rsid w:val="001656F6"/>
    <w:rsid w:val="00167E84"/>
    <w:rsid w:val="0017127B"/>
    <w:rsid w:val="00172FC7"/>
    <w:rsid w:val="00181248"/>
    <w:rsid w:val="00182787"/>
    <w:rsid w:val="0018445E"/>
    <w:rsid w:val="00191B0E"/>
    <w:rsid w:val="00196FAD"/>
    <w:rsid w:val="001A4AEF"/>
    <w:rsid w:val="001A528C"/>
    <w:rsid w:val="001A71DA"/>
    <w:rsid w:val="001B2C2C"/>
    <w:rsid w:val="001B3C46"/>
    <w:rsid w:val="001B6E8A"/>
    <w:rsid w:val="001C106E"/>
    <w:rsid w:val="001C2337"/>
    <w:rsid w:val="001C6DC9"/>
    <w:rsid w:val="001C7F1B"/>
    <w:rsid w:val="001D02CF"/>
    <w:rsid w:val="001D5A2A"/>
    <w:rsid w:val="001F3B02"/>
    <w:rsid w:val="00205285"/>
    <w:rsid w:val="002105C2"/>
    <w:rsid w:val="0021096B"/>
    <w:rsid w:val="00216A57"/>
    <w:rsid w:val="00225CB0"/>
    <w:rsid w:val="0023040B"/>
    <w:rsid w:val="00230FAE"/>
    <w:rsid w:val="00231193"/>
    <w:rsid w:val="0024057C"/>
    <w:rsid w:val="00244DB1"/>
    <w:rsid w:val="00250073"/>
    <w:rsid w:val="002512DC"/>
    <w:rsid w:val="00251DFA"/>
    <w:rsid w:val="00253929"/>
    <w:rsid w:val="00254B8F"/>
    <w:rsid w:val="002608D2"/>
    <w:rsid w:val="00260C5E"/>
    <w:rsid w:val="0026275D"/>
    <w:rsid w:val="00266627"/>
    <w:rsid w:val="002737AD"/>
    <w:rsid w:val="0027386C"/>
    <w:rsid w:val="00273F39"/>
    <w:rsid w:val="00277C9C"/>
    <w:rsid w:val="002808FE"/>
    <w:rsid w:val="00283169"/>
    <w:rsid w:val="0028332C"/>
    <w:rsid w:val="00297830"/>
    <w:rsid w:val="002A151B"/>
    <w:rsid w:val="002A27E0"/>
    <w:rsid w:val="002B6BE4"/>
    <w:rsid w:val="002B7B4B"/>
    <w:rsid w:val="002C17D7"/>
    <w:rsid w:val="002C1DF7"/>
    <w:rsid w:val="002D3F4F"/>
    <w:rsid w:val="002D7D93"/>
    <w:rsid w:val="002E2BF9"/>
    <w:rsid w:val="002E765B"/>
    <w:rsid w:val="002F2134"/>
    <w:rsid w:val="002F2A11"/>
    <w:rsid w:val="00305881"/>
    <w:rsid w:val="00310B61"/>
    <w:rsid w:val="00311386"/>
    <w:rsid w:val="003122CF"/>
    <w:rsid w:val="003143B4"/>
    <w:rsid w:val="00315546"/>
    <w:rsid w:val="003156AC"/>
    <w:rsid w:val="00322F59"/>
    <w:rsid w:val="003272C9"/>
    <w:rsid w:val="00337552"/>
    <w:rsid w:val="0034005B"/>
    <w:rsid w:val="00341CCD"/>
    <w:rsid w:val="0034377B"/>
    <w:rsid w:val="00344034"/>
    <w:rsid w:val="003513B7"/>
    <w:rsid w:val="00373BE5"/>
    <w:rsid w:val="00374B5B"/>
    <w:rsid w:val="00385DF7"/>
    <w:rsid w:val="00390442"/>
    <w:rsid w:val="00391D73"/>
    <w:rsid w:val="003931F1"/>
    <w:rsid w:val="003A5BB0"/>
    <w:rsid w:val="003A5F7C"/>
    <w:rsid w:val="003A77C2"/>
    <w:rsid w:val="003B1965"/>
    <w:rsid w:val="003B4F5F"/>
    <w:rsid w:val="003C1547"/>
    <w:rsid w:val="003D040D"/>
    <w:rsid w:val="003D6969"/>
    <w:rsid w:val="003E161E"/>
    <w:rsid w:val="003E1F7D"/>
    <w:rsid w:val="003E24F0"/>
    <w:rsid w:val="003E284E"/>
    <w:rsid w:val="003F7325"/>
    <w:rsid w:val="003F7558"/>
    <w:rsid w:val="0040158D"/>
    <w:rsid w:val="004074BF"/>
    <w:rsid w:val="004074E3"/>
    <w:rsid w:val="00407FBC"/>
    <w:rsid w:val="00416BB8"/>
    <w:rsid w:val="00421335"/>
    <w:rsid w:val="00423C4D"/>
    <w:rsid w:val="00442BE9"/>
    <w:rsid w:val="00450C0E"/>
    <w:rsid w:val="00455618"/>
    <w:rsid w:val="00455F04"/>
    <w:rsid w:val="004575E5"/>
    <w:rsid w:val="00474101"/>
    <w:rsid w:val="00477A70"/>
    <w:rsid w:val="004807B1"/>
    <w:rsid w:val="00480AE2"/>
    <w:rsid w:val="00483C7A"/>
    <w:rsid w:val="0048729D"/>
    <w:rsid w:val="00496777"/>
    <w:rsid w:val="004A18D2"/>
    <w:rsid w:val="004B3B59"/>
    <w:rsid w:val="004B698C"/>
    <w:rsid w:val="004B71D5"/>
    <w:rsid w:val="004C149C"/>
    <w:rsid w:val="004C3555"/>
    <w:rsid w:val="004D666B"/>
    <w:rsid w:val="004E16D9"/>
    <w:rsid w:val="004E6BA8"/>
    <w:rsid w:val="004F75C9"/>
    <w:rsid w:val="0050044A"/>
    <w:rsid w:val="00502CAB"/>
    <w:rsid w:val="00512C1B"/>
    <w:rsid w:val="00534739"/>
    <w:rsid w:val="005449A5"/>
    <w:rsid w:val="00547788"/>
    <w:rsid w:val="00556B11"/>
    <w:rsid w:val="00557CA2"/>
    <w:rsid w:val="00563AD2"/>
    <w:rsid w:val="00570D0D"/>
    <w:rsid w:val="0057152B"/>
    <w:rsid w:val="005752E6"/>
    <w:rsid w:val="00580962"/>
    <w:rsid w:val="00595B6E"/>
    <w:rsid w:val="005A3383"/>
    <w:rsid w:val="005A549E"/>
    <w:rsid w:val="005B1868"/>
    <w:rsid w:val="005B18E4"/>
    <w:rsid w:val="005C2188"/>
    <w:rsid w:val="005C21C3"/>
    <w:rsid w:val="005D0863"/>
    <w:rsid w:val="005D2502"/>
    <w:rsid w:val="005D592D"/>
    <w:rsid w:val="005D7BC4"/>
    <w:rsid w:val="005E03F9"/>
    <w:rsid w:val="005E3336"/>
    <w:rsid w:val="005E4CA6"/>
    <w:rsid w:val="005E4CB7"/>
    <w:rsid w:val="005F5C93"/>
    <w:rsid w:val="005F7B30"/>
    <w:rsid w:val="00610F38"/>
    <w:rsid w:val="006129BE"/>
    <w:rsid w:val="00613BEB"/>
    <w:rsid w:val="00615605"/>
    <w:rsid w:val="00615BE5"/>
    <w:rsid w:val="006236B5"/>
    <w:rsid w:val="00624183"/>
    <w:rsid w:val="00633AA7"/>
    <w:rsid w:val="00637ED4"/>
    <w:rsid w:val="00642C29"/>
    <w:rsid w:val="00642EDE"/>
    <w:rsid w:val="0064315E"/>
    <w:rsid w:val="006519D5"/>
    <w:rsid w:val="0065293A"/>
    <w:rsid w:val="00662A23"/>
    <w:rsid w:val="0066529E"/>
    <w:rsid w:val="00665A5A"/>
    <w:rsid w:val="00673B20"/>
    <w:rsid w:val="00675C74"/>
    <w:rsid w:val="00683528"/>
    <w:rsid w:val="006A68E3"/>
    <w:rsid w:val="006B2AC8"/>
    <w:rsid w:val="006B3A87"/>
    <w:rsid w:val="006C7B93"/>
    <w:rsid w:val="006D209A"/>
    <w:rsid w:val="006D4C3D"/>
    <w:rsid w:val="006D4E5D"/>
    <w:rsid w:val="006D6797"/>
    <w:rsid w:val="006E12AE"/>
    <w:rsid w:val="006E278D"/>
    <w:rsid w:val="006E4707"/>
    <w:rsid w:val="006F04B4"/>
    <w:rsid w:val="006F22B1"/>
    <w:rsid w:val="006F4FE4"/>
    <w:rsid w:val="007019D6"/>
    <w:rsid w:val="00704879"/>
    <w:rsid w:val="007056B4"/>
    <w:rsid w:val="00705B45"/>
    <w:rsid w:val="00712F02"/>
    <w:rsid w:val="00714475"/>
    <w:rsid w:val="00716B2C"/>
    <w:rsid w:val="00717F18"/>
    <w:rsid w:val="00727D9D"/>
    <w:rsid w:val="00731D96"/>
    <w:rsid w:val="007329C3"/>
    <w:rsid w:val="007329D3"/>
    <w:rsid w:val="00735DBB"/>
    <w:rsid w:val="00737433"/>
    <w:rsid w:val="007452DC"/>
    <w:rsid w:val="0074703B"/>
    <w:rsid w:val="00754EEB"/>
    <w:rsid w:val="00765E74"/>
    <w:rsid w:val="007661C9"/>
    <w:rsid w:val="007705E4"/>
    <w:rsid w:val="0077241D"/>
    <w:rsid w:val="00773D5E"/>
    <w:rsid w:val="00774EF2"/>
    <w:rsid w:val="00776E6C"/>
    <w:rsid w:val="00777F5C"/>
    <w:rsid w:val="007840A1"/>
    <w:rsid w:val="00791ED7"/>
    <w:rsid w:val="00792141"/>
    <w:rsid w:val="007B23DE"/>
    <w:rsid w:val="007C35E2"/>
    <w:rsid w:val="007C414F"/>
    <w:rsid w:val="007C4C7D"/>
    <w:rsid w:val="007C558E"/>
    <w:rsid w:val="007C6E07"/>
    <w:rsid w:val="007C7859"/>
    <w:rsid w:val="007D029D"/>
    <w:rsid w:val="007D3511"/>
    <w:rsid w:val="007D64C8"/>
    <w:rsid w:val="007E6F40"/>
    <w:rsid w:val="007F2572"/>
    <w:rsid w:val="007F49CF"/>
    <w:rsid w:val="007F49D7"/>
    <w:rsid w:val="00803A3D"/>
    <w:rsid w:val="00806E73"/>
    <w:rsid w:val="00815BC1"/>
    <w:rsid w:val="008208FB"/>
    <w:rsid w:val="008314A2"/>
    <w:rsid w:val="00834708"/>
    <w:rsid w:val="008414A2"/>
    <w:rsid w:val="00842F77"/>
    <w:rsid w:val="00853507"/>
    <w:rsid w:val="008548C0"/>
    <w:rsid w:val="00854B01"/>
    <w:rsid w:val="008553F3"/>
    <w:rsid w:val="00857344"/>
    <w:rsid w:val="00857762"/>
    <w:rsid w:val="00857929"/>
    <w:rsid w:val="00862645"/>
    <w:rsid w:val="00864632"/>
    <w:rsid w:val="00871232"/>
    <w:rsid w:val="00876008"/>
    <w:rsid w:val="00881437"/>
    <w:rsid w:val="00881F9C"/>
    <w:rsid w:val="00882C95"/>
    <w:rsid w:val="00887035"/>
    <w:rsid w:val="00887A0F"/>
    <w:rsid w:val="008966C5"/>
    <w:rsid w:val="008B0E5A"/>
    <w:rsid w:val="008C102A"/>
    <w:rsid w:val="008C1BCE"/>
    <w:rsid w:val="008C3373"/>
    <w:rsid w:val="008C3507"/>
    <w:rsid w:val="008C74B5"/>
    <w:rsid w:val="008D365C"/>
    <w:rsid w:val="008E3F0D"/>
    <w:rsid w:val="008E7268"/>
    <w:rsid w:val="00903AC0"/>
    <w:rsid w:val="009060EB"/>
    <w:rsid w:val="00911D06"/>
    <w:rsid w:val="00912911"/>
    <w:rsid w:val="0091307A"/>
    <w:rsid w:val="0091507D"/>
    <w:rsid w:val="009165A3"/>
    <w:rsid w:val="00917697"/>
    <w:rsid w:val="00922BFF"/>
    <w:rsid w:val="00933ED2"/>
    <w:rsid w:val="009363B0"/>
    <w:rsid w:val="009375E3"/>
    <w:rsid w:val="00937BBE"/>
    <w:rsid w:val="00951685"/>
    <w:rsid w:val="009533FF"/>
    <w:rsid w:val="0096132C"/>
    <w:rsid w:val="0096673D"/>
    <w:rsid w:val="00975653"/>
    <w:rsid w:val="0097747C"/>
    <w:rsid w:val="00980586"/>
    <w:rsid w:val="0098720B"/>
    <w:rsid w:val="0098720C"/>
    <w:rsid w:val="00997811"/>
    <w:rsid w:val="009A09F1"/>
    <w:rsid w:val="009A1C07"/>
    <w:rsid w:val="009A5BF2"/>
    <w:rsid w:val="009B09A5"/>
    <w:rsid w:val="009B3A21"/>
    <w:rsid w:val="009B68A4"/>
    <w:rsid w:val="009C00C9"/>
    <w:rsid w:val="009C6E75"/>
    <w:rsid w:val="009C7758"/>
    <w:rsid w:val="009C7D9C"/>
    <w:rsid w:val="009D5807"/>
    <w:rsid w:val="009E2614"/>
    <w:rsid w:val="009F576B"/>
    <w:rsid w:val="00A00677"/>
    <w:rsid w:val="00A021A0"/>
    <w:rsid w:val="00A05BA1"/>
    <w:rsid w:val="00A119A0"/>
    <w:rsid w:val="00A30D63"/>
    <w:rsid w:val="00A354CF"/>
    <w:rsid w:val="00A372C9"/>
    <w:rsid w:val="00A4402A"/>
    <w:rsid w:val="00A44F65"/>
    <w:rsid w:val="00A500F5"/>
    <w:rsid w:val="00A57284"/>
    <w:rsid w:val="00A6266F"/>
    <w:rsid w:val="00A65E53"/>
    <w:rsid w:val="00A70AC2"/>
    <w:rsid w:val="00A70ACB"/>
    <w:rsid w:val="00A71BEE"/>
    <w:rsid w:val="00A72377"/>
    <w:rsid w:val="00A81474"/>
    <w:rsid w:val="00A830B8"/>
    <w:rsid w:val="00A8594E"/>
    <w:rsid w:val="00A921A9"/>
    <w:rsid w:val="00A93E78"/>
    <w:rsid w:val="00AB1808"/>
    <w:rsid w:val="00AB1869"/>
    <w:rsid w:val="00AB33A1"/>
    <w:rsid w:val="00AB4C9C"/>
    <w:rsid w:val="00AB5856"/>
    <w:rsid w:val="00AB6E18"/>
    <w:rsid w:val="00AC3647"/>
    <w:rsid w:val="00AC5021"/>
    <w:rsid w:val="00AC563B"/>
    <w:rsid w:val="00AC7C7D"/>
    <w:rsid w:val="00AD1A19"/>
    <w:rsid w:val="00AD1A90"/>
    <w:rsid w:val="00AD1F6D"/>
    <w:rsid w:val="00AD2B12"/>
    <w:rsid w:val="00AD4B33"/>
    <w:rsid w:val="00AD4D15"/>
    <w:rsid w:val="00AD5451"/>
    <w:rsid w:val="00AD6338"/>
    <w:rsid w:val="00AE1953"/>
    <w:rsid w:val="00AE3E04"/>
    <w:rsid w:val="00AE43DD"/>
    <w:rsid w:val="00AF1245"/>
    <w:rsid w:val="00AF24FE"/>
    <w:rsid w:val="00AF497C"/>
    <w:rsid w:val="00B02026"/>
    <w:rsid w:val="00B0399D"/>
    <w:rsid w:val="00B05169"/>
    <w:rsid w:val="00B214A6"/>
    <w:rsid w:val="00B22C6F"/>
    <w:rsid w:val="00B27DDB"/>
    <w:rsid w:val="00B353E9"/>
    <w:rsid w:val="00B41EE9"/>
    <w:rsid w:val="00B47A34"/>
    <w:rsid w:val="00B52217"/>
    <w:rsid w:val="00B52B9B"/>
    <w:rsid w:val="00B54E6B"/>
    <w:rsid w:val="00B5563B"/>
    <w:rsid w:val="00B67539"/>
    <w:rsid w:val="00B74BE2"/>
    <w:rsid w:val="00B77323"/>
    <w:rsid w:val="00B93240"/>
    <w:rsid w:val="00B95266"/>
    <w:rsid w:val="00B95898"/>
    <w:rsid w:val="00BA1017"/>
    <w:rsid w:val="00BA185F"/>
    <w:rsid w:val="00BA324E"/>
    <w:rsid w:val="00BB6EF9"/>
    <w:rsid w:val="00BB7869"/>
    <w:rsid w:val="00BB788E"/>
    <w:rsid w:val="00BC7C4D"/>
    <w:rsid w:val="00BD3D0D"/>
    <w:rsid w:val="00BD5E73"/>
    <w:rsid w:val="00BF17ED"/>
    <w:rsid w:val="00BF54B2"/>
    <w:rsid w:val="00BF7B86"/>
    <w:rsid w:val="00C00A2D"/>
    <w:rsid w:val="00C01469"/>
    <w:rsid w:val="00C071A9"/>
    <w:rsid w:val="00C07342"/>
    <w:rsid w:val="00C07A05"/>
    <w:rsid w:val="00C147FD"/>
    <w:rsid w:val="00C217E6"/>
    <w:rsid w:val="00C218BB"/>
    <w:rsid w:val="00C22140"/>
    <w:rsid w:val="00C32780"/>
    <w:rsid w:val="00C3323D"/>
    <w:rsid w:val="00C35838"/>
    <w:rsid w:val="00C47858"/>
    <w:rsid w:val="00C501CA"/>
    <w:rsid w:val="00C50210"/>
    <w:rsid w:val="00C62D03"/>
    <w:rsid w:val="00C636A3"/>
    <w:rsid w:val="00C6514D"/>
    <w:rsid w:val="00C70840"/>
    <w:rsid w:val="00C70C86"/>
    <w:rsid w:val="00C73AEC"/>
    <w:rsid w:val="00C74FB2"/>
    <w:rsid w:val="00C77674"/>
    <w:rsid w:val="00C81385"/>
    <w:rsid w:val="00C95C34"/>
    <w:rsid w:val="00C9608B"/>
    <w:rsid w:val="00C97228"/>
    <w:rsid w:val="00CA0434"/>
    <w:rsid w:val="00CA2DB0"/>
    <w:rsid w:val="00CA4D18"/>
    <w:rsid w:val="00CA6645"/>
    <w:rsid w:val="00CB0441"/>
    <w:rsid w:val="00CC0ADD"/>
    <w:rsid w:val="00CC301D"/>
    <w:rsid w:val="00CD0D4D"/>
    <w:rsid w:val="00CD3B4C"/>
    <w:rsid w:val="00CD3D69"/>
    <w:rsid w:val="00CE0929"/>
    <w:rsid w:val="00CE190B"/>
    <w:rsid w:val="00CE3B59"/>
    <w:rsid w:val="00CE54AF"/>
    <w:rsid w:val="00CE6171"/>
    <w:rsid w:val="00CE702A"/>
    <w:rsid w:val="00CE7955"/>
    <w:rsid w:val="00CE79AB"/>
    <w:rsid w:val="00D04FF0"/>
    <w:rsid w:val="00D064C8"/>
    <w:rsid w:val="00D078B4"/>
    <w:rsid w:val="00D10DED"/>
    <w:rsid w:val="00D12496"/>
    <w:rsid w:val="00D12729"/>
    <w:rsid w:val="00D136CF"/>
    <w:rsid w:val="00D263DE"/>
    <w:rsid w:val="00D27269"/>
    <w:rsid w:val="00D30D75"/>
    <w:rsid w:val="00D30DE7"/>
    <w:rsid w:val="00D30F8C"/>
    <w:rsid w:val="00D30FA8"/>
    <w:rsid w:val="00D3444A"/>
    <w:rsid w:val="00D472C8"/>
    <w:rsid w:val="00D51F2E"/>
    <w:rsid w:val="00D530E5"/>
    <w:rsid w:val="00D53280"/>
    <w:rsid w:val="00D704CC"/>
    <w:rsid w:val="00D76004"/>
    <w:rsid w:val="00D775FC"/>
    <w:rsid w:val="00D81ED0"/>
    <w:rsid w:val="00D8287E"/>
    <w:rsid w:val="00D841E9"/>
    <w:rsid w:val="00D8723E"/>
    <w:rsid w:val="00D938DD"/>
    <w:rsid w:val="00D972B8"/>
    <w:rsid w:val="00D974D2"/>
    <w:rsid w:val="00D97C5B"/>
    <w:rsid w:val="00DA1EA0"/>
    <w:rsid w:val="00DB01AD"/>
    <w:rsid w:val="00DB3C5C"/>
    <w:rsid w:val="00DB3F2B"/>
    <w:rsid w:val="00DB55A1"/>
    <w:rsid w:val="00DB6009"/>
    <w:rsid w:val="00DB7D1B"/>
    <w:rsid w:val="00DC1D36"/>
    <w:rsid w:val="00DC3113"/>
    <w:rsid w:val="00DC4C04"/>
    <w:rsid w:val="00DE19B7"/>
    <w:rsid w:val="00DE3D6B"/>
    <w:rsid w:val="00DE4942"/>
    <w:rsid w:val="00DE5D83"/>
    <w:rsid w:val="00DF153F"/>
    <w:rsid w:val="00E058DD"/>
    <w:rsid w:val="00E05AAC"/>
    <w:rsid w:val="00E12BBB"/>
    <w:rsid w:val="00E219B2"/>
    <w:rsid w:val="00E22576"/>
    <w:rsid w:val="00E2439C"/>
    <w:rsid w:val="00E24808"/>
    <w:rsid w:val="00E33555"/>
    <w:rsid w:val="00E36CCF"/>
    <w:rsid w:val="00E42177"/>
    <w:rsid w:val="00E44CD0"/>
    <w:rsid w:val="00E452E2"/>
    <w:rsid w:val="00E5077D"/>
    <w:rsid w:val="00E51A54"/>
    <w:rsid w:val="00E51C83"/>
    <w:rsid w:val="00E5487B"/>
    <w:rsid w:val="00E5714A"/>
    <w:rsid w:val="00E626AB"/>
    <w:rsid w:val="00E67FEA"/>
    <w:rsid w:val="00E81038"/>
    <w:rsid w:val="00E869E9"/>
    <w:rsid w:val="00E87159"/>
    <w:rsid w:val="00E96A93"/>
    <w:rsid w:val="00EA06D5"/>
    <w:rsid w:val="00EB63A5"/>
    <w:rsid w:val="00EC287F"/>
    <w:rsid w:val="00EC7B5A"/>
    <w:rsid w:val="00ED08E5"/>
    <w:rsid w:val="00ED1550"/>
    <w:rsid w:val="00ED1FBC"/>
    <w:rsid w:val="00ED547E"/>
    <w:rsid w:val="00ED7C8B"/>
    <w:rsid w:val="00EF71D1"/>
    <w:rsid w:val="00F119BA"/>
    <w:rsid w:val="00F13BBF"/>
    <w:rsid w:val="00F140E1"/>
    <w:rsid w:val="00F17BB8"/>
    <w:rsid w:val="00F24BE0"/>
    <w:rsid w:val="00F3002D"/>
    <w:rsid w:val="00F30A45"/>
    <w:rsid w:val="00F318AA"/>
    <w:rsid w:val="00F31DA6"/>
    <w:rsid w:val="00F34E89"/>
    <w:rsid w:val="00F3734F"/>
    <w:rsid w:val="00F43D80"/>
    <w:rsid w:val="00F50160"/>
    <w:rsid w:val="00F5521F"/>
    <w:rsid w:val="00F614A3"/>
    <w:rsid w:val="00F65059"/>
    <w:rsid w:val="00F667EB"/>
    <w:rsid w:val="00F73AAC"/>
    <w:rsid w:val="00F75168"/>
    <w:rsid w:val="00F76407"/>
    <w:rsid w:val="00F80DED"/>
    <w:rsid w:val="00F82980"/>
    <w:rsid w:val="00F849ED"/>
    <w:rsid w:val="00F95657"/>
    <w:rsid w:val="00F968B4"/>
    <w:rsid w:val="00FA2A53"/>
    <w:rsid w:val="00FB01E5"/>
    <w:rsid w:val="00FB3F11"/>
    <w:rsid w:val="00FB56E1"/>
    <w:rsid w:val="00FC31A8"/>
    <w:rsid w:val="00FD25A9"/>
    <w:rsid w:val="00FE09BF"/>
    <w:rsid w:val="00FE208C"/>
    <w:rsid w:val="00FE708B"/>
    <w:rsid w:val="00FE7AED"/>
    <w:rsid w:val="00FF400D"/>
    <w:rsid w:val="00FF7DBF"/>
    <w:rsid w:val="026F7335"/>
    <w:rsid w:val="038F1EB8"/>
    <w:rsid w:val="03AC5ACB"/>
    <w:rsid w:val="05276BDC"/>
    <w:rsid w:val="08A1633B"/>
    <w:rsid w:val="0DBB0B8B"/>
    <w:rsid w:val="0FDF5830"/>
    <w:rsid w:val="10610E55"/>
    <w:rsid w:val="12450F86"/>
    <w:rsid w:val="15774A3C"/>
    <w:rsid w:val="15A71992"/>
    <w:rsid w:val="167504C9"/>
    <w:rsid w:val="19235F91"/>
    <w:rsid w:val="1D713F49"/>
    <w:rsid w:val="1DE20EAA"/>
    <w:rsid w:val="1ED4263C"/>
    <w:rsid w:val="26720558"/>
    <w:rsid w:val="29B44321"/>
    <w:rsid w:val="2D2B029F"/>
    <w:rsid w:val="2DB73E57"/>
    <w:rsid w:val="301536F0"/>
    <w:rsid w:val="36685EBD"/>
    <w:rsid w:val="37D47CF7"/>
    <w:rsid w:val="38A15470"/>
    <w:rsid w:val="3DD0505D"/>
    <w:rsid w:val="43515B2F"/>
    <w:rsid w:val="47B37B67"/>
    <w:rsid w:val="47C06ACE"/>
    <w:rsid w:val="47DF167E"/>
    <w:rsid w:val="4D7E52CA"/>
    <w:rsid w:val="4F293856"/>
    <w:rsid w:val="568A57DF"/>
    <w:rsid w:val="578E5C76"/>
    <w:rsid w:val="57CB2891"/>
    <w:rsid w:val="581F2122"/>
    <w:rsid w:val="58CA3025"/>
    <w:rsid w:val="58CD37B6"/>
    <w:rsid w:val="5A913ED9"/>
    <w:rsid w:val="5B0D3AF1"/>
    <w:rsid w:val="61281AA0"/>
    <w:rsid w:val="61B90307"/>
    <w:rsid w:val="61C06520"/>
    <w:rsid w:val="6415482C"/>
    <w:rsid w:val="65774B59"/>
    <w:rsid w:val="657E576C"/>
    <w:rsid w:val="6C14193E"/>
    <w:rsid w:val="6C3A278E"/>
    <w:rsid w:val="6C4F0192"/>
    <w:rsid w:val="716F27D7"/>
    <w:rsid w:val="761E187D"/>
    <w:rsid w:val="77B94B74"/>
    <w:rsid w:val="7D575211"/>
    <w:rsid w:val="7E71568C"/>
    <w:rsid w:val="7EEE01DA"/>
    <w:rsid w:val="7F2244DC"/>
    <w:rsid w:val="7F264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eastAsia="宋体" w:asciiTheme="minorHAnsi" w:hAnsiTheme="minorHAnsi" w:cstheme="minorBidi"/>
      <w:kern w:val="2"/>
      <w:sz w:val="21"/>
      <w:szCs w:val="22"/>
      <w:lang w:val="en-US" w:eastAsia="zh-CN" w:bidi="ar-SA"/>
    </w:rPr>
  </w:style>
  <w:style w:type="paragraph" w:styleId="2">
    <w:name w:val="heading 1"/>
    <w:next w:val="1"/>
    <w:link w:val="27"/>
    <w:qFormat/>
    <w:uiPriority w:val="9"/>
    <w:pPr>
      <w:keepNext/>
      <w:keepLines/>
      <w:numPr>
        <w:ilvl w:val="0"/>
        <w:numId w:val="1"/>
      </w:numPr>
      <w:pBdr>
        <w:top w:val="none" w:color="auto" w:sz="0" w:space="1"/>
        <w:left w:val="none" w:color="auto" w:sz="0" w:space="4"/>
        <w:bottom w:val="none" w:color="D9E2F3" w:themeColor="accent1" w:themeTint="33" w:sz="0" w:space="0"/>
        <w:right w:val="none" w:color="auto" w:sz="0" w:space="4"/>
      </w:pBdr>
      <w:spacing w:before="50" w:beforeLines="50" w:after="50" w:afterLines="50"/>
      <w:ind w:left="0" w:firstLine="0"/>
      <w:outlineLvl w:val="0"/>
    </w:pPr>
    <w:rPr>
      <w:rFonts w:eastAsia="黑体" w:asciiTheme="majorHAnsi" w:hAnsiTheme="majorHAnsi" w:cstheme="majorBidi"/>
      <w:b/>
      <w:color w:val="000000" w:themeColor="text1"/>
      <w:sz w:val="24"/>
      <w:szCs w:val="36"/>
      <w:lang w:val="en-US" w:eastAsia="ja-JP" w:bidi="ar-SA"/>
      <w14:textFill>
        <w14:solidFill>
          <w14:schemeClr w14:val="tx1"/>
        </w14:solidFill>
      </w14:textFill>
    </w:rPr>
  </w:style>
  <w:style w:type="paragraph" w:styleId="3">
    <w:name w:val="heading 2"/>
    <w:next w:val="4"/>
    <w:link w:val="28"/>
    <w:unhideWhenUsed/>
    <w:qFormat/>
    <w:uiPriority w:val="9"/>
    <w:pPr>
      <w:keepNext/>
      <w:keepLines/>
      <w:numPr>
        <w:ilvl w:val="1"/>
        <w:numId w:val="1"/>
      </w:numPr>
      <w:spacing w:before="50" w:beforeLines="50" w:after="50" w:afterLines="50"/>
      <w:ind w:left="0" w:firstLine="0"/>
      <w:outlineLvl w:val="1"/>
    </w:pPr>
    <w:rPr>
      <w:rFonts w:eastAsia="黑体" w:asciiTheme="minorHAnsi" w:hAnsiTheme="minorHAnsi" w:cstheme="minorBidi"/>
      <w:b/>
      <w:bCs/>
      <w:color w:val="000000" w:themeColor="text1"/>
      <w:sz w:val="21"/>
      <w:szCs w:val="26"/>
      <w:lang w:val="en-US" w:eastAsia="ja-JP" w:bidi="ar-SA"/>
      <w14:textFill>
        <w14:solidFill>
          <w14:schemeClr w14:val="tx1"/>
        </w14:solidFill>
      </w14:textFill>
    </w:rPr>
  </w:style>
  <w:style w:type="paragraph" w:styleId="5">
    <w:name w:val="heading 3"/>
    <w:basedOn w:val="1"/>
    <w:next w:val="1"/>
    <w:link w:val="32"/>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1"/>
    <w:link w:val="33"/>
    <w:unhideWhenUsed/>
    <w:qFormat/>
    <w:uiPriority w:val="9"/>
    <w:pPr>
      <w:keepNext/>
      <w:keepLines/>
      <w:numPr>
        <w:ilvl w:val="3"/>
        <w:numId w:val="1"/>
      </w:numPr>
      <w:spacing w:before="280" w:after="290" w:line="377" w:lineRule="auto"/>
      <w:outlineLvl w:val="3"/>
    </w:pPr>
    <w:rPr>
      <w:rFonts w:eastAsia="黑体" w:asciiTheme="majorHAnsi" w:hAnsiTheme="majorHAnsi" w:cstheme="majorBidi"/>
      <w:b/>
      <w:bCs/>
      <w:sz w:val="24"/>
      <w:szCs w:val="28"/>
    </w:rPr>
  </w:style>
  <w:style w:type="paragraph" w:styleId="7">
    <w:name w:val="heading 5"/>
    <w:basedOn w:val="1"/>
    <w:next w:val="1"/>
    <w:semiHidden/>
    <w:unhideWhenUsed/>
    <w:qFormat/>
    <w:uiPriority w:val="9"/>
    <w:pPr>
      <w:keepNext/>
      <w:keepLines/>
      <w:numPr>
        <w:ilvl w:val="4"/>
        <w:numId w:val="1"/>
      </w:numPr>
      <w:spacing w:before="280" w:after="290" w:line="372" w:lineRule="auto"/>
      <w:outlineLvl w:val="4"/>
    </w:pPr>
    <w:rPr>
      <w:b/>
      <w:sz w:val="28"/>
    </w:rPr>
  </w:style>
  <w:style w:type="paragraph" w:styleId="8">
    <w:name w:val="heading 6"/>
    <w:basedOn w:val="1"/>
    <w:next w:val="1"/>
    <w:semiHidden/>
    <w:unhideWhenUsed/>
    <w:qFormat/>
    <w:uiPriority w:val="9"/>
    <w:pPr>
      <w:keepNext/>
      <w:keepLines/>
      <w:numPr>
        <w:ilvl w:val="5"/>
        <w:numId w:val="1"/>
      </w:numPr>
      <w:spacing w:before="240" w:after="64" w:line="317" w:lineRule="auto"/>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after="64" w:line="317" w:lineRule="auto"/>
      <w:outlineLvl w:val="6"/>
    </w:pPr>
    <w:rPr>
      <w:b/>
      <w:sz w:val="24"/>
    </w:rPr>
  </w:style>
  <w:style w:type="paragraph" w:styleId="10">
    <w:name w:val="heading 8"/>
    <w:basedOn w:val="1"/>
    <w:next w:val="1"/>
    <w:semiHidden/>
    <w:unhideWhenUsed/>
    <w:qFormat/>
    <w:uiPriority w:val="9"/>
    <w:pPr>
      <w:keepNext/>
      <w:keepLines/>
      <w:numPr>
        <w:ilvl w:val="7"/>
        <w:numId w:val="1"/>
      </w:numPr>
      <w:spacing w:before="240" w:after="64" w:line="317" w:lineRule="auto"/>
      <w:outlineLvl w:val="7"/>
    </w:pPr>
    <w:rPr>
      <w:rFonts w:ascii="Arial" w:hAnsi="Arial" w:eastAsia="黑体"/>
      <w:sz w:val="24"/>
    </w:rPr>
  </w:style>
  <w:style w:type="paragraph" w:styleId="11">
    <w:name w:val="heading 9"/>
    <w:basedOn w:val="1"/>
    <w:next w:val="1"/>
    <w:semiHidden/>
    <w:unhideWhenUsed/>
    <w:qFormat/>
    <w:uiPriority w:val="9"/>
    <w:pPr>
      <w:keepNext/>
      <w:keepLines/>
      <w:numPr>
        <w:ilvl w:val="8"/>
        <w:numId w:val="1"/>
      </w:numPr>
      <w:spacing w:before="240" w:after="64" w:line="317" w:lineRule="auto"/>
      <w:outlineLvl w:val="8"/>
    </w:pPr>
    <w:rPr>
      <w:rFonts w:ascii="Arial" w:hAnsi="Arial" w:eastAsia="黑体"/>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4">
    <w:name w:val="Plain Text"/>
    <w:basedOn w:val="1"/>
    <w:semiHidden/>
    <w:unhideWhenUsed/>
    <w:qFormat/>
    <w:uiPriority w:val="99"/>
    <w:rPr>
      <w:rFonts w:ascii="宋体" w:hAnsi="Courier New"/>
    </w:rPr>
  </w:style>
  <w:style w:type="paragraph" w:styleId="12">
    <w:name w:val="caption"/>
    <w:basedOn w:val="1"/>
    <w:next w:val="1"/>
    <w:unhideWhenUsed/>
    <w:qFormat/>
    <w:uiPriority w:val="35"/>
    <w:rPr>
      <w:rFonts w:ascii="Arial" w:hAnsi="Arial" w:eastAsia="黑体"/>
      <w:sz w:val="20"/>
    </w:rPr>
  </w:style>
  <w:style w:type="paragraph" w:styleId="13">
    <w:name w:val="annotation text"/>
    <w:basedOn w:val="1"/>
    <w:link w:val="35"/>
    <w:unhideWhenUsed/>
    <w:qFormat/>
    <w:uiPriority w:val="99"/>
    <w:pPr>
      <w:jc w:val="left"/>
    </w:pPr>
  </w:style>
  <w:style w:type="paragraph" w:styleId="14">
    <w:name w:val="Balloon Text"/>
    <w:basedOn w:val="1"/>
    <w:link w:val="37"/>
    <w:semiHidden/>
    <w:unhideWhenUsed/>
    <w:qFormat/>
    <w:uiPriority w:val="99"/>
    <w:rPr>
      <w:sz w:val="18"/>
      <w:szCs w:val="18"/>
    </w:rPr>
  </w:style>
  <w:style w:type="paragraph" w:styleId="15">
    <w:name w:val="footer"/>
    <w:basedOn w:val="1"/>
    <w:link w:val="30"/>
    <w:unhideWhenUsed/>
    <w:qFormat/>
    <w:uiPriority w:val="99"/>
    <w:pPr>
      <w:tabs>
        <w:tab w:val="center" w:pos="4153"/>
        <w:tab w:val="right" w:pos="8306"/>
      </w:tabs>
      <w:snapToGrid w:val="0"/>
      <w:jc w:val="left"/>
    </w:pPr>
    <w:rPr>
      <w:sz w:val="18"/>
      <w:szCs w:val="18"/>
    </w:rPr>
  </w:style>
  <w:style w:type="paragraph" w:styleId="16">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footnote text"/>
    <w:basedOn w:val="1"/>
    <w:semiHidden/>
    <w:unhideWhenUsed/>
    <w:qFormat/>
    <w:uiPriority w:val="99"/>
    <w:pPr>
      <w:snapToGrid w:val="0"/>
      <w:jc w:val="left"/>
    </w:pPr>
    <w:rPr>
      <w:sz w:val="18"/>
    </w:rPr>
  </w:style>
  <w:style w:type="paragraph" w:styleId="18">
    <w:name w:val="annotation subject"/>
    <w:basedOn w:val="13"/>
    <w:next w:val="13"/>
    <w:link w:val="36"/>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Emphasis"/>
    <w:basedOn w:val="21"/>
    <w:qFormat/>
    <w:uiPriority w:val="20"/>
    <w:rPr>
      <w:i/>
      <w:iCs/>
    </w:rPr>
  </w:style>
  <w:style w:type="character" w:styleId="24">
    <w:name w:val="Hyperlink"/>
    <w:basedOn w:val="21"/>
    <w:unhideWhenUsed/>
    <w:qFormat/>
    <w:uiPriority w:val="99"/>
    <w:rPr>
      <w:color w:val="0000FF"/>
      <w:u w:val="single"/>
    </w:rPr>
  </w:style>
  <w:style w:type="character" w:styleId="25">
    <w:name w:val="annotation reference"/>
    <w:basedOn w:val="21"/>
    <w:semiHidden/>
    <w:unhideWhenUsed/>
    <w:qFormat/>
    <w:uiPriority w:val="99"/>
    <w:rPr>
      <w:sz w:val="21"/>
      <w:szCs w:val="21"/>
    </w:rPr>
  </w:style>
  <w:style w:type="character" w:styleId="26">
    <w:name w:val="footnote reference"/>
    <w:basedOn w:val="21"/>
    <w:semiHidden/>
    <w:unhideWhenUsed/>
    <w:qFormat/>
    <w:uiPriority w:val="99"/>
    <w:rPr>
      <w:vertAlign w:val="superscript"/>
    </w:rPr>
  </w:style>
  <w:style w:type="character" w:customStyle="1" w:styleId="27">
    <w:name w:val="标题 1 字符"/>
    <w:basedOn w:val="21"/>
    <w:link w:val="2"/>
    <w:qFormat/>
    <w:uiPriority w:val="9"/>
    <w:rPr>
      <w:rFonts w:eastAsia="黑体" w:asciiTheme="majorHAnsi" w:hAnsiTheme="majorHAnsi" w:cstheme="majorBidi"/>
      <w:b/>
      <w:color w:val="000000" w:themeColor="text1"/>
      <w:sz w:val="24"/>
      <w:szCs w:val="36"/>
      <w:lang w:eastAsia="ja-JP"/>
      <w14:textFill>
        <w14:solidFill>
          <w14:schemeClr w14:val="tx1"/>
        </w14:solidFill>
      </w14:textFill>
    </w:rPr>
  </w:style>
  <w:style w:type="character" w:customStyle="1" w:styleId="28">
    <w:name w:val="标题 2 字符"/>
    <w:basedOn w:val="21"/>
    <w:link w:val="3"/>
    <w:qFormat/>
    <w:uiPriority w:val="9"/>
    <w:rPr>
      <w:rFonts w:eastAsia="黑体" w:asciiTheme="minorHAnsi" w:hAnsiTheme="minorHAnsi" w:cstheme="minorBidi"/>
      <w:b/>
      <w:bCs/>
      <w:color w:val="000000" w:themeColor="text1"/>
      <w:sz w:val="21"/>
      <w:szCs w:val="26"/>
      <w:lang w:eastAsia="ja-JP"/>
      <w14:textFill>
        <w14:solidFill>
          <w14:schemeClr w14:val="tx1"/>
        </w14:solidFill>
      </w14:textFill>
    </w:rPr>
  </w:style>
  <w:style w:type="character" w:customStyle="1" w:styleId="29">
    <w:name w:val="页眉 字符"/>
    <w:basedOn w:val="21"/>
    <w:link w:val="16"/>
    <w:qFormat/>
    <w:uiPriority w:val="99"/>
    <w:rPr>
      <w:sz w:val="18"/>
      <w:szCs w:val="18"/>
    </w:rPr>
  </w:style>
  <w:style w:type="character" w:customStyle="1" w:styleId="30">
    <w:name w:val="页脚 字符"/>
    <w:basedOn w:val="21"/>
    <w:link w:val="15"/>
    <w:qFormat/>
    <w:uiPriority w:val="99"/>
    <w:rPr>
      <w:sz w:val="18"/>
      <w:szCs w:val="18"/>
    </w:rPr>
  </w:style>
  <w:style w:type="character" w:customStyle="1" w:styleId="31">
    <w:name w:val="未处理的提及1"/>
    <w:basedOn w:val="21"/>
    <w:semiHidden/>
    <w:unhideWhenUsed/>
    <w:qFormat/>
    <w:uiPriority w:val="99"/>
    <w:rPr>
      <w:color w:val="605E5C"/>
      <w:shd w:val="clear" w:color="auto" w:fill="E1DFDD"/>
    </w:rPr>
  </w:style>
  <w:style w:type="character" w:customStyle="1" w:styleId="32">
    <w:name w:val="标题 3 字符"/>
    <w:basedOn w:val="21"/>
    <w:link w:val="5"/>
    <w:qFormat/>
    <w:uiPriority w:val="9"/>
    <w:rPr>
      <w:b/>
      <w:bCs/>
      <w:sz w:val="32"/>
      <w:szCs w:val="32"/>
    </w:rPr>
  </w:style>
  <w:style w:type="character" w:customStyle="1" w:styleId="33">
    <w:name w:val="标题 4 字符"/>
    <w:basedOn w:val="21"/>
    <w:link w:val="6"/>
    <w:qFormat/>
    <w:uiPriority w:val="9"/>
    <w:rPr>
      <w:rFonts w:eastAsia="黑体" w:asciiTheme="majorHAnsi" w:hAnsiTheme="majorHAnsi" w:cstheme="majorBidi"/>
      <w:b/>
      <w:bCs/>
      <w:sz w:val="24"/>
      <w:szCs w:val="28"/>
    </w:rPr>
  </w:style>
  <w:style w:type="paragraph" w:customStyle="1" w:styleId="34">
    <w:name w:val="修订1"/>
    <w:hidden/>
    <w:semiHidden/>
    <w:qFormat/>
    <w:uiPriority w:val="99"/>
    <w:rPr>
      <w:rFonts w:eastAsia="宋体" w:asciiTheme="minorHAnsi" w:hAnsiTheme="minorHAnsi" w:cstheme="minorBidi"/>
      <w:kern w:val="2"/>
      <w:sz w:val="21"/>
      <w:szCs w:val="22"/>
      <w:lang w:val="en-US" w:eastAsia="zh-CN" w:bidi="ar-SA"/>
    </w:rPr>
  </w:style>
  <w:style w:type="character" w:customStyle="1" w:styleId="35">
    <w:name w:val="批注文字 字符"/>
    <w:basedOn w:val="21"/>
    <w:link w:val="13"/>
    <w:qFormat/>
    <w:uiPriority w:val="99"/>
    <w:rPr>
      <w:rFonts w:asciiTheme="minorHAnsi" w:hAnsiTheme="minorHAnsi" w:cstheme="minorBidi"/>
      <w:kern w:val="2"/>
      <w:sz w:val="21"/>
      <w:szCs w:val="22"/>
    </w:rPr>
  </w:style>
  <w:style w:type="character" w:customStyle="1" w:styleId="36">
    <w:name w:val="批注主题 字符"/>
    <w:basedOn w:val="35"/>
    <w:link w:val="18"/>
    <w:semiHidden/>
    <w:qFormat/>
    <w:uiPriority w:val="99"/>
    <w:rPr>
      <w:rFonts w:asciiTheme="minorHAnsi" w:hAnsiTheme="minorHAnsi" w:cstheme="minorBidi"/>
      <w:b/>
      <w:bCs/>
      <w:kern w:val="2"/>
      <w:sz w:val="21"/>
      <w:szCs w:val="22"/>
    </w:rPr>
  </w:style>
  <w:style w:type="character" w:customStyle="1" w:styleId="37">
    <w:name w:val="批注框文本 字符"/>
    <w:basedOn w:val="21"/>
    <w:link w:val="14"/>
    <w:semiHidden/>
    <w:qFormat/>
    <w:uiPriority w:val="99"/>
    <w:rPr>
      <w:rFonts w:asciiTheme="minorHAnsi" w:hAnsiTheme="minorHAnsi" w:cstheme="minorBidi"/>
      <w:kern w:val="2"/>
      <w:sz w:val="18"/>
      <w:szCs w:val="18"/>
    </w:rPr>
  </w:style>
  <w:style w:type="paragraph" w:customStyle="1" w:styleId="38">
    <w:name w:val="修订2"/>
    <w:hidden/>
    <w:unhideWhenUsed/>
    <w:qFormat/>
    <w:uiPriority w:val="99"/>
    <w:rPr>
      <w:rFonts w:eastAsia="宋体" w:asciiTheme="minorHAnsi" w:hAnsiTheme="minorHAnsi" w:cstheme="minorBidi"/>
      <w:kern w:val="2"/>
      <w:sz w:val="21"/>
      <w:szCs w:val="22"/>
      <w:lang w:val="en-US" w:eastAsia="zh-CN" w:bidi="ar-SA"/>
    </w:rPr>
  </w:style>
  <w:style w:type="paragraph" w:styleId="39">
    <w:name w:val="List Paragraph"/>
    <w:basedOn w:val="1"/>
    <w:unhideWhenUsed/>
    <w:qFormat/>
    <w:uiPriority w:val="99"/>
    <w:pPr>
      <w:ind w:firstLine="420"/>
    </w:pPr>
  </w:style>
  <w:style w:type="paragraph" w:customStyle="1" w:styleId="40">
    <w:name w:val="书目1"/>
    <w:basedOn w:val="1"/>
    <w:next w:val="1"/>
    <w:unhideWhenUsed/>
    <w:qFormat/>
    <w:uiPriority w:val="37"/>
    <w:pPr>
      <w:tabs>
        <w:tab w:val="left" w:pos="504"/>
      </w:tabs>
      <w:ind w:left="504" w:hanging="504"/>
    </w:pPr>
  </w:style>
  <w:style w:type="paragraph" w:customStyle="1" w:styleId="41">
    <w:name w:val="修订3"/>
    <w:hidden/>
    <w:unhideWhenUsed/>
    <w:qFormat/>
    <w:uiPriority w:val="99"/>
    <w:rPr>
      <w:rFonts w:eastAsia="宋体" w:asciiTheme="minorHAnsi" w:hAnsiTheme="minorHAnsi" w:cstheme="minorBidi"/>
      <w:kern w:val="2"/>
      <w:sz w:val="21"/>
      <w:szCs w:val="22"/>
      <w:lang w:val="en-US" w:eastAsia="zh-CN" w:bidi="ar-SA"/>
    </w:rPr>
  </w:style>
  <w:style w:type="paragraph" w:customStyle="1" w:styleId="42">
    <w:name w:val="Revision"/>
    <w:hidden/>
    <w:unhideWhenUsed/>
    <w:qFormat/>
    <w:uiPriority w:val="99"/>
    <w:rPr>
      <w:rFonts w:eastAsia="宋体" w:asciiTheme="minorHAnsi" w:hAnsiTheme="minorHAnsi" w:cstheme="minorBidi"/>
      <w:kern w:val="2"/>
      <w:sz w:val="21"/>
      <w:szCs w:val="22"/>
      <w:lang w:val="en-US" w:eastAsia="zh-CN" w:bidi="ar-SA"/>
    </w:rPr>
  </w:style>
  <w:style w:type="table" w:customStyle="1" w:styleId="43">
    <w:name w:val="Plain Table 4"/>
    <w:basedOn w:val="19"/>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4">
    <w:name w:val="Grid Table Light"/>
    <w:basedOn w:val="1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5">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AppData\Roaming\Microsoft\Templates\202309079&#21556;&#27743;&#32534;&#20462;&#36864;&#25913;&#31295;%20(&#24050;&#33258;&#21160;&#24674;&#22797;).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4086D-1B7A-4E75-8AB6-60AB3E37BBAA}">
  <ds:schemaRefs/>
</ds:datastoreItem>
</file>

<file path=docProps/app.xml><?xml version="1.0" encoding="utf-8"?>
<Properties xmlns="http://schemas.openxmlformats.org/officeDocument/2006/extended-properties" xmlns:vt="http://schemas.openxmlformats.org/officeDocument/2006/docPropsVTypes">
  <Template>202309079吴江编修退改稿 (已自动恢复)</Template>
  <Pages>16</Pages>
  <Words>9911</Words>
  <Characters>18951</Characters>
  <Lines>2546</Lines>
  <Paragraphs>2663</Paragraphs>
  <TotalTime>2769</TotalTime>
  <ScaleCrop>false</ScaleCrop>
  <LinksUpToDate>false</LinksUpToDate>
  <CharactersWithSpaces>20248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2026-03-12T12:17:00Z</dcterms:created>
  <dc:creator>王瑜</dc:creator>
  <cp:lastModifiedBy>王一鸣</cp:lastModifiedBy>
  <cp:lastPrinted>2026-03-11T12:35:00Z</cp:lastPrinted>
  <dcterms:modified xsi:type="dcterms:W3CDTF">2026-03-20T08:09:51Z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C6579D5EF6DA4AFE86FB0F1255676C7E_13</vt:lpwstr>
  </property>
  <property fmtid="{D5CDD505-2E9C-101B-9397-08002B2CF9AE}" pid="4" name="KSOTemplateDocerSaveRecord">
    <vt:lpwstr>eyJoZGlkIjoiNTliZDAzYzQ0ZDFiNzQ5ZjlkZjdkMTE5M2ExZjcwZDEiLCJ1c2VySWQiOiIxNzk1MzAyMzI4In0=</vt:lpwstr>
  </property>
  <property fmtid="{D5CDD505-2E9C-101B-9397-08002B2CF9AE}" pid="5" name="ZOTERO_PREF_1">
    <vt:lpwstr>&lt;data data-version="3" zotero-version="7.0.32"&gt;&lt;session id="OeC4SqK4"/&gt;&lt;style id="https://www.zotero-chinese.com/styles/GB-T-7714—2025（征求意见稿，顺序编码，双语）" hasBibliography="1" bibliographyStyleHasBeenSet="1"/&gt;&lt;prefs&gt;&lt;pref name="fieldType" value="Field"/&gt;&lt;/pref</vt:lpwstr>
  </property>
  <property fmtid="{D5CDD505-2E9C-101B-9397-08002B2CF9AE}" pid="6" name="ZOTERO_PREF_2">
    <vt:lpwstr>s&gt;&lt;/data&gt;</vt:lpwstr>
  </property>
</Properties>
</file>