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5293B">
      <w:pPr>
        <w:ind w:firstLine="0" w:firstLineChars="0"/>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基于机器学习构建</w:t>
      </w:r>
      <w:r>
        <w:rPr>
          <w:rFonts w:hint="eastAsia" w:ascii="Times New Roman" w:hAnsi="Times New Roman" w:cs="Times New Roman"/>
          <w:b/>
          <w:bCs/>
          <w:color w:val="auto"/>
          <w:sz w:val="32"/>
          <w:szCs w:val="32"/>
          <w:lang w:val="en-US" w:eastAsia="zh-CN"/>
        </w:rPr>
        <w:t>头颈</w:t>
      </w:r>
      <w:r>
        <w:rPr>
          <w:rFonts w:ascii="Times New Roman" w:hAnsi="Times New Roman" w:cs="Times New Roman"/>
          <w:b/>
          <w:bCs/>
          <w:color w:val="auto"/>
          <w:sz w:val="32"/>
          <w:szCs w:val="32"/>
        </w:rPr>
        <w:t>癌术后肺部感染的风险预测模型</w:t>
      </w:r>
    </w:p>
    <w:p w14:paraId="500B9287">
      <w:pPr>
        <w:ind w:firstLine="360"/>
        <w:jc w:val="center"/>
        <w:rPr>
          <w:rFonts w:ascii="Times New Roman" w:hAnsi="Times New Roman" w:cs="宋体"/>
          <w:color w:val="auto"/>
          <w:sz w:val="18"/>
          <w:szCs w:val="20"/>
        </w:rPr>
      </w:pPr>
      <w:r>
        <w:rPr>
          <w:rFonts w:hint="eastAsia" w:ascii="Times New Roman" w:hAnsi="Times New Roman" w:cs="宋体"/>
          <w:color w:val="auto"/>
          <w:sz w:val="18"/>
          <w:szCs w:val="20"/>
        </w:rPr>
        <w:t>王</w:t>
      </w:r>
      <w:r>
        <w:rPr>
          <w:rFonts w:hint="eastAsia" w:ascii="Times New Roman" w:hAnsi="Times New Roman" w:cs="宋体"/>
          <w:color w:val="auto"/>
          <w:sz w:val="18"/>
          <w:szCs w:val="20"/>
          <w:lang w:val="en-US" w:eastAsia="zh-CN"/>
        </w:rPr>
        <w:t>一鸣</w:t>
      </w:r>
      <w:r>
        <w:rPr>
          <w:rFonts w:hint="eastAsia" w:ascii="Times New Roman" w:hAnsi="Times New Roman" w:cs="宋体"/>
          <w:color w:val="auto"/>
          <w:sz w:val="18"/>
          <w:szCs w:val="20"/>
          <w:vertAlign w:val="superscript"/>
        </w:rPr>
        <w:t>1</w:t>
      </w:r>
      <w:r>
        <w:rPr>
          <w:rFonts w:hint="eastAsia" w:ascii="Times New Roman" w:hAnsi="Times New Roman" w:cs="宋体"/>
          <w:color w:val="auto"/>
          <w:sz w:val="18"/>
          <w:szCs w:val="20"/>
        </w:rPr>
        <w:t>，尹丽霞</w:t>
      </w:r>
      <w:r>
        <w:rPr>
          <w:rFonts w:hint="eastAsia" w:ascii="Times New Roman" w:hAnsi="Times New Roman" w:cs="宋体"/>
          <w:color w:val="auto"/>
          <w:sz w:val="18"/>
          <w:szCs w:val="20"/>
          <w:vertAlign w:val="superscript"/>
        </w:rPr>
        <w:t>2</w:t>
      </w:r>
      <w:r>
        <w:rPr>
          <w:rFonts w:hint="eastAsia" w:ascii="Times New Roman" w:hAnsi="Times New Roman" w:cs="宋体"/>
          <w:color w:val="auto"/>
          <w:sz w:val="18"/>
          <w:szCs w:val="20"/>
        </w:rPr>
        <w:t>，姚博</w:t>
      </w:r>
      <w:r>
        <w:rPr>
          <w:rFonts w:hint="eastAsia" w:ascii="Times New Roman" w:hAnsi="Times New Roman" w:cs="宋体"/>
          <w:color w:val="auto"/>
          <w:sz w:val="18"/>
          <w:szCs w:val="20"/>
          <w:vertAlign w:val="superscript"/>
        </w:rPr>
        <w:t>1</w:t>
      </w:r>
      <w:r>
        <w:rPr>
          <w:rFonts w:hint="eastAsia" w:ascii="Times New Roman" w:hAnsi="Times New Roman" w:cs="宋体"/>
          <w:color w:val="auto"/>
          <w:sz w:val="18"/>
          <w:szCs w:val="20"/>
        </w:rPr>
        <w:t>，蒲江波</w:t>
      </w:r>
      <w:r>
        <w:rPr>
          <w:rFonts w:hint="eastAsia" w:ascii="Times New Roman" w:hAnsi="Times New Roman" w:cs="宋体"/>
          <w:color w:val="auto"/>
          <w:sz w:val="18"/>
          <w:szCs w:val="20"/>
          <w:vertAlign w:val="superscript"/>
        </w:rPr>
        <w:t>1，*</w:t>
      </w:r>
    </w:p>
    <w:p w14:paraId="67011391">
      <w:pPr>
        <w:pStyle w:val="41"/>
        <w:ind w:left="360" w:firstLine="0" w:firstLineChars="0"/>
        <w:rPr>
          <w:rFonts w:ascii="Times New Roman" w:hAnsi="Times New Roman" w:cs="宋体"/>
          <w:color w:val="auto"/>
          <w:sz w:val="18"/>
          <w:szCs w:val="20"/>
        </w:rPr>
      </w:pPr>
      <w:r>
        <w:rPr>
          <w:rFonts w:hint="eastAsia" w:ascii="Times New Roman" w:hAnsi="Times New Roman" w:cs="宋体"/>
          <w:color w:val="auto"/>
          <w:sz w:val="18"/>
          <w:szCs w:val="20"/>
        </w:rPr>
        <w:t>1. 中国医学科学院 北京协和医学院生物医学工程研究所（天津 300192）</w:t>
      </w:r>
    </w:p>
    <w:p w14:paraId="2F58894E">
      <w:pPr>
        <w:pStyle w:val="41"/>
        <w:ind w:left="360" w:firstLine="0" w:firstLineChars="0"/>
        <w:rPr>
          <w:rFonts w:ascii="Times New Roman" w:hAnsi="Times New Roman" w:cs="宋体"/>
          <w:color w:val="auto"/>
          <w:sz w:val="18"/>
          <w:szCs w:val="20"/>
        </w:rPr>
      </w:pPr>
      <w:r>
        <w:rPr>
          <w:rFonts w:hint="eastAsia" w:ascii="Times New Roman" w:hAnsi="Times New Roman" w:cs="宋体"/>
          <w:color w:val="auto"/>
          <w:sz w:val="18"/>
          <w:szCs w:val="20"/>
        </w:rPr>
        <w:t>2. 中国医学科学院 北京协和医学院肿瘤医院 医务处疾病与感染控制办公室（</w:t>
      </w:r>
      <w:r>
        <w:rPr>
          <w:rFonts w:ascii="Times New Roman" w:hAnsi="Times New Roman" w:cs="宋体"/>
          <w:color w:val="auto"/>
          <w:sz w:val="18"/>
          <w:szCs w:val="20"/>
        </w:rPr>
        <w:t>北京 100021</w:t>
      </w:r>
      <w:r>
        <w:rPr>
          <w:rFonts w:hint="eastAsia" w:ascii="Times New Roman" w:hAnsi="Times New Roman" w:cs="宋体"/>
          <w:color w:val="auto"/>
          <w:sz w:val="18"/>
          <w:szCs w:val="20"/>
        </w:rPr>
        <w:t>）</w:t>
      </w:r>
    </w:p>
    <w:p w14:paraId="33D15178">
      <w:pPr>
        <w:pStyle w:val="13"/>
        <w:ind w:firstLine="360"/>
        <w:jc w:val="both"/>
        <w:rPr>
          <w:rFonts w:hint="eastAsia" w:ascii="Times New Roman" w:hAnsi="Times New Roman" w:cs="Times New Roman"/>
          <w:color w:val="auto"/>
          <w:sz w:val="18"/>
          <w:szCs w:val="18"/>
        </w:rPr>
      </w:pPr>
      <w:r>
        <w:rPr>
          <w:rFonts w:ascii="Times New Roman" w:hAnsi="Times New Roman" w:cs="Times New Roman"/>
          <w:color w:val="auto"/>
          <w:sz w:val="18"/>
          <w:szCs w:val="18"/>
        </w:rPr>
        <w:t>【摘要】</w:t>
      </w:r>
      <w:r>
        <w:rPr>
          <w:rFonts w:ascii="Times New Roman" w:hAnsi="Times New Roman" w:cs="Times New Roman"/>
          <w:b/>
          <w:bCs/>
          <w:color w:val="auto"/>
          <w:sz w:val="18"/>
          <w:szCs w:val="18"/>
        </w:rPr>
        <w:t>目的</w:t>
      </w:r>
      <w:r>
        <w:rPr>
          <w:rFonts w:ascii="Times New Roman" w:hAnsi="Times New Roman" w:cs="Times New Roman"/>
          <w:color w:val="auto"/>
          <w:sz w:val="18"/>
          <w:szCs w:val="18"/>
        </w:rPr>
        <w:t xml:space="preserve"> </w:t>
      </w:r>
      <w:r>
        <w:rPr>
          <w:rFonts w:hint="eastAsia" w:ascii="Times New Roman" w:hAnsi="Times New Roman" w:cs="Times New Roman"/>
          <w:color w:val="auto"/>
          <w:sz w:val="18"/>
          <w:szCs w:val="18"/>
          <w:lang w:val="en-US" w:eastAsia="zh-CN"/>
        </w:rPr>
        <w:t>头颈</w:t>
      </w:r>
      <w:r>
        <w:rPr>
          <w:rFonts w:ascii="Times New Roman" w:hAnsi="Times New Roman" w:cs="Times New Roman"/>
          <w:color w:val="auto"/>
          <w:sz w:val="18"/>
          <w:szCs w:val="18"/>
        </w:rPr>
        <w:t>癌术后肺部感染</w:t>
      </w:r>
      <w:r>
        <w:rPr>
          <w:rFonts w:hint="eastAsia" w:ascii="Times New Roman" w:hAnsi="Times New Roman" w:cs="Times New Roman"/>
          <w:color w:val="auto"/>
          <w:sz w:val="18"/>
          <w:szCs w:val="18"/>
        </w:rPr>
        <w:t>（postoperative pulmonary infection，PPI）</w:t>
      </w:r>
      <w:r>
        <w:rPr>
          <w:rFonts w:ascii="Times New Roman" w:hAnsi="Times New Roman" w:cs="Times New Roman"/>
          <w:color w:val="auto"/>
          <w:sz w:val="18"/>
          <w:szCs w:val="18"/>
        </w:rPr>
        <w:t>发生率</w:t>
      </w:r>
      <w:r>
        <w:rPr>
          <w:rFonts w:hint="eastAsia" w:ascii="Times New Roman" w:hAnsi="Times New Roman" w:cs="Times New Roman"/>
          <w:color w:val="auto"/>
          <w:sz w:val="18"/>
          <w:szCs w:val="18"/>
        </w:rPr>
        <w:t>较高（约</w:t>
      </w:r>
      <w:r>
        <w:rPr>
          <w:rFonts w:ascii="Times New Roman" w:hAnsi="Times New Roman" w:cs="Times New Roman"/>
          <w:color w:val="auto"/>
          <w:sz w:val="18"/>
          <w:szCs w:val="18"/>
        </w:rPr>
        <w:t>15%～30%</w:t>
      </w:r>
      <w:r>
        <w:rPr>
          <w:rFonts w:hint="eastAsia" w:ascii="Times New Roman" w:hAnsi="Times New Roman" w:cs="Times New Roman"/>
          <w:color w:val="auto"/>
          <w:sz w:val="18"/>
          <w:szCs w:val="18"/>
        </w:rPr>
        <w:t>）</w:t>
      </w:r>
      <w:r>
        <w:rPr>
          <w:rFonts w:ascii="Times New Roman" w:hAnsi="Times New Roman" w:cs="Times New Roman"/>
          <w:color w:val="auto"/>
          <w:sz w:val="18"/>
          <w:szCs w:val="18"/>
        </w:rPr>
        <w:t>，严重影响患者预后。</w:t>
      </w:r>
      <w:r>
        <w:rPr>
          <w:rFonts w:hint="eastAsia" w:ascii="Times New Roman" w:hAnsi="Times New Roman" w:cs="Times New Roman"/>
          <w:color w:val="auto"/>
          <w:sz w:val="18"/>
          <w:szCs w:val="18"/>
        </w:rPr>
        <w:t>精准的风险分层与早期干预是降低PPI发生率的关键，而现有预测模型多未实现危险因素的阶段化划分，难以同时反映术前基础易感性与围手术期临床事件的协同作用，从而限制了风险识别与干预的靶向性。本研究旨在基于机器学习算法，整合术前基础特征与围手术期全阶段临床指标，构建</w:t>
      </w:r>
      <w:r>
        <w:rPr>
          <w:rFonts w:hint="eastAsia" w:ascii="Times New Roman" w:hAnsi="Times New Roman" w:cs="Times New Roman"/>
          <w:color w:val="auto"/>
          <w:sz w:val="18"/>
          <w:szCs w:val="18"/>
          <w:lang w:eastAsia="zh-CN"/>
        </w:rPr>
        <w:t>头颈</w:t>
      </w:r>
      <w:r>
        <w:rPr>
          <w:rFonts w:hint="eastAsia" w:ascii="Times New Roman" w:hAnsi="Times New Roman" w:cs="Times New Roman"/>
          <w:color w:val="auto"/>
          <w:sz w:val="18"/>
          <w:szCs w:val="18"/>
        </w:rPr>
        <w:t>癌PPI的术前-围手术期两阶段个体化风险预测模型。</w:t>
      </w:r>
      <w:r>
        <w:rPr>
          <w:rFonts w:ascii="Times New Roman" w:hAnsi="Times New Roman" w:cs="Times New Roman"/>
          <w:b/>
          <w:bCs/>
          <w:color w:val="auto"/>
          <w:sz w:val="18"/>
          <w:szCs w:val="18"/>
        </w:rPr>
        <w:t>方法</w:t>
      </w:r>
      <w:r>
        <w:rPr>
          <w:rFonts w:ascii="Times New Roman" w:hAnsi="Times New Roman" w:cs="Times New Roman"/>
          <w:color w:val="auto"/>
          <w:sz w:val="18"/>
          <w:szCs w:val="18"/>
        </w:rPr>
        <w:t xml:space="preserve"> 回顾性</w:t>
      </w:r>
      <w:r>
        <w:rPr>
          <w:rFonts w:hint="eastAsia" w:ascii="Times New Roman" w:hAnsi="Times New Roman" w:cs="Times New Roman"/>
          <w:color w:val="auto"/>
          <w:sz w:val="18"/>
          <w:szCs w:val="18"/>
        </w:rPr>
        <w:t>纳入20</w:t>
      </w:r>
      <w:r>
        <w:rPr>
          <w:rFonts w:hint="eastAsia" w:ascii="Times New Roman" w:hAnsi="Times New Roman" w:cs="Times New Roman"/>
          <w:color w:val="auto"/>
          <w:sz w:val="18"/>
          <w:szCs w:val="18"/>
          <w:lang w:val="en-US" w:eastAsia="zh-CN"/>
        </w:rPr>
        <w:t>18</w:t>
      </w:r>
      <w:r>
        <w:rPr>
          <w:rFonts w:hint="eastAsia" w:ascii="Times New Roman" w:hAnsi="Times New Roman" w:cs="Times New Roman"/>
          <w:color w:val="auto"/>
          <w:sz w:val="18"/>
          <w:szCs w:val="18"/>
        </w:rPr>
        <w:t>年1</w:t>
      </w:r>
      <w:r>
        <w:rPr>
          <w:rFonts w:hint="eastAsia" w:ascii="Times New Roman" w:hAnsi="Times New Roman" w:cs="Times New Roman"/>
          <w:color w:val="auto"/>
          <w:sz w:val="18"/>
          <w:szCs w:val="18"/>
          <w:lang w:val="en-US" w:eastAsia="zh-CN"/>
        </w:rPr>
        <w:t>1</w:t>
      </w:r>
      <w:r>
        <w:rPr>
          <w:rFonts w:hint="eastAsia" w:ascii="Times New Roman" w:hAnsi="Times New Roman" w:cs="Times New Roman"/>
          <w:color w:val="auto"/>
          <w:sz w:val="18"/>
          <w:szCs w:val="18"/>
        </w:rPr>
        <w:t>月至2024年08月</w:t>
      </w:r>
      <w:r>
        <w:rPr>
          <w:rFonts w:ascii="Times New Roman" w:hAnsi="Times New Roman" w:cs="Times New Roman"/>
          <w:color w:val="auto"/>
          <w:sz w:val="18"/>
          <w:szCs w:val="18"/>
        </w:rPr>
        <w:t>中国医学科学院肿瘤医院2</w:t>
      </w:r>
      <w:r>
        <w:rPr>
          <w:rFonts w:hint="eastAsia" w:ascii="Times New Roman" w:hAnsi="Times New Roman" w:cs="Times New Roman"/>
          <w:color w:val="auto"/>
          <w:sz w:val="18"/>
          <w:szCs w:val="18"/>
          <w:lang w:val="en-US" w:eastAsia="zh-CN"/>
        </w:rPr>
        <w:t>430</w:t>
      </w:r>
      <w:r>
        <w:rPr>
          <w:rFonts w:ascii="Times New Roman" w:hAnsi="Times New Roman" w:cs="Times New Roman"/>
          <w:color w:val="auto"/>
          <w:sz w:val="18"/>
          <w:szCs w:val="18"/>
        </w:rPr>
        <w:t>例</w:t>
      </w:r>
      <w:r>
        <w:rPr>
          <w:rFonts w:hint="eastAsia" w:ascii="Times New Roman" w:hAnsi="Times New Roman" w:cs="Times New Roman"/>
          <w:color w:val="auto"/>
          <w:sz w:val="18"/>
          <w:szCs w:val="18"/>
          <w:lang w:eastAsia="zh-CN"/>
        </w:rPr>
        <w:t>头颈</w:t>
      </w:r>
      <w:r>
        <w:rPr>
          <w:rFonts w:ascii="Times New Roman" w:hAnsi="Times New Roman" w:cs="Times New Roman"/>
          <w:color w:val="auto"/>
          <w:sz w:val="18"/>
          <w:szCs w:val="18"/>
        </w:rPr>
        <w:t>癌手术患者的临床资料。采用</w:t>
      </w:r>
      <w:bookmarkStart w:id="0" w:name="_Hlk217398210"/>
      <w:r>
        <w:rPr>
          <w:rFonts w:ascii="Times New Roman" w:hAnsi="Times New Roman" w:cs="Times New Roman"/>
          <w:color w:val="auto"/>
          <w:sz w:val="18"/>
          <w:szCs w:val="18"/>
        </w:rPr>
        <w:t>最小绝对收缩与选择算子（least absolute shrinkage and selection operator</w:t>
      </w:r>
      <w:r>
        <w:rPr>
          <w:rFonts w:hint="eastAsia" w:ascii="Times New Roman" w:hAnsi="Times New Roman" w:cs="Times New Roman"/>
          <w:color w:val="auto"/>
          <w:sz w:val="18"/>
          <w:szCs w:val="18"/>
        </w:rPr>
        <w:t>，</w:t>
      </w:r>
      <w:r>
        <w:rPr>
          <w:rFonts w:ascii="Times New Roman" w:hAnsi="Times New Roman" w:cs="Times New Roman"/>
          <w:color w:val="auto"/>
          <w:sz w:val="18"/>
          <w:szCs w:val="18"/>
        </w:rPr>
        <w:t>LASSO）</w:t>
      </w:r>
      <w:bookmarkEnd w:id="0"/>
      <w:r>
        <w:rPr>
          <w:rFonts w:ascii="Times New Roman" w:hAnsi="Times New Roman" w:cs="Times New Roman"/>
          <w:color w:val="auto"/>
          <w:sz w:val="18"/>
          <w:szCs w:val="18"/>
        </w:rPr>
        <w:t>结合多因素logistic回归</w:t>
      </w:r>
      <w:r>
        <w:rPr>
          <w:rFonts w:hint="eastAsia" w:ascii="Times New Roman" w:hAnsi="Times New Roman" w:cs="Times New Roman"/>
          <w:color w:val="auto"/>
          <w:sz w:val="18"/>
          <w:szCs w:val="18"/>
        </w:rPr>
        <w:t>，</w:t>
      </w:r>
      <w:r>
        <w:rPr>
          <w:rFonts w:ascii="Times New Roman" w:hAnsi="Times New Roman" w:cs="Times New Roman"/>
          <w:color w:val="auto"/>
          <w:sz w:val="18"/>
          <w:szCs w:val="18"/>
        </w:rPr>
        <w:t>分别筛选纯术前、围手术期两阶段的独立预测变量</w:t>
      </w:r>
      <w:r>
        <w:rPr>
          <w:rFonts w:hint="eastAsia" w:ascii="Times New Roman" w:hAnsi="Times New Roman" w:cs="Times New Roman"/>
          <w:color w:val="auto"/>
          <w:sz w:val="18"/>
          <w:szCs w:val="18"/>
        </w:rPr>
        <w:t>。</w:t>
      </w:r>
      <w:r>
        <w:rPr>
          <w:rFonts w:ascii="Times New Roman" w:hAnsi="Times New Roman" w:cs="Times New Roman"/>
          <w:color w:val="auto"/>
          <w:sz w:val="18"/>
          <w:szCs w:val="18"/>
        </w:rPr>
        <w:t>按7:3随机分为训练/测试集</w:t>
      </w:r>
      <w:r>
        <w:rPr>
          <w:rFonts w:hint="eastAsia" w:ascii="Times New Roman" w:hAnsi="Times New Roman" w:cs="Times New Roman"/>
          <w:color w:val="auto"/>
          <w:sz w:val="18"/>
          <w:szCs w:val="18"/>
        </w:rPr>
        <w:t>，</w:t>
      </w:r>
      <w:bookmarkStart w:id="1" w:name="_Hlk217398266"/>
      <w:r>
        <w:rPr>
          <w:rFonts w:ascii="Times New Roman" w:hAnsi="Times New Roman" w:cs="Times New Roman"/>
          <w:color w:val="auto"/>
          <w:sz w:val="18"/>
          <w:szCs w:val="18"/>
        </w:rPr>
        <w:t>构建广义线性模型（generalized linear model</w:t>
      </w:r>
      <w:r>
        <w:rPr>
          <w:rFonts w:hint="eastAsia" w:ascii="Times New Roman" w:hAnsi="Times New Roman" w:cs="Times New Roman"/>
          <w:color w:val="auto"/>
          <w:sz w:val="18"/>
          <w:szCs w:val="18"/>
        </w:rPr>
        <w:t>，</w:t>
      </w:r>
      <w:r>
        <w:rPr>
          <w:rFonts w:ascii="Times New Roman" w:hAnsi="Times New Roman" w:cs="Times New Roman"/>
          <w:color w:val="auto"/>
          <w:sz w:val="18"/>
          <w:szCs w:val="18"/>
        </w:rPr>
        <w:t>GLM），随机森林（random forest</w:t>
      </w:r>
      <w:r>
        <w:rPr>
          <w:rFonts w:hint="eastAsia" w:ascii="Times New Roman" w:hAnsi="Times New Roman" w:cs="Times New Roman"/>
          <w:color w:val="auto"/>
          <w:sz w:val="18"/>
          <w:szCs w:val="18"/>
        </w:rPr>
        <w:t>，</w:t>
      </w:r>
      <w:r>
        <w:rPr>
          <w:rFonts w:ascii="Times New Roman" w:hAnsi="Times New Roman" w:cs="Times New Roman"/>
          <w:color w:val="auto"/>
          <w:sz w:val="18"/>
          <w:szCs w:val="18"/>
        </w:rPr>
        <w:t>RF），支持向量机（support vector machine</w:t>
      </w:r>
      <w:r>
        <w:rPr>
          <w:rFonts w:hint="eastAsia" w:ascii="Times New Roman" w:hAnsi="Times New Roman" w:cs="Times New Roman"/>
          <w:color w:val="auto"/>
          <w:sz w:val="18"/>
          <w:szCs w:val="18"/>
        </w:rPr>
        <w:t>，</w:t>
      </w:r>
      <w:r>
        <w:rPr>
          <w:rFonts w:ascii="Times New Roman" w:hAnsi="Times New Roman" w:cs="Times New Roman"/>
          <w:color w:val="auto"/>
          <w:sz w:val="18"/>
          <w:szCs w:val="18"/>
        </w:rPr>
        <w:t>SVM），神经网络（neural network</w:t>
      </w:r>
      <w:r>
        <w:rPr>
          <w:rFonts w:hint="eastAsia" w:ascii="Times New Roman" w:hAnsi="Times New Roman" w:cs="Times New Roman"/>
          <w:color w:val="auto"/>
          <w:sz w:val="18"/>
          <w:szCs w:val="18"/>
        </w:rPr>
        <w:t>，</w:t>
      </w:r>
      <w:r>
        <w:rPr>
          <w:rFonts w:ascii="Times New Roman" w:hAnsi="Times New Roman" w:cs="Times New Roman"/>
          <w:color w:val="auto"/>
          <w:sz w:val="18"/>
          <w:szCs w:val="18"/>
        </w:rPr>
        <w:t>NNET）和梯度增强机（gradient boosting machine，GBM）</w:t>
      </w:r>
      <w:bookmarkEnd w:id="1"/>
      <w:r>
        <w:rPr>
          <w:rFonts w:ascii="Times New Roman" w:hAnsi="Times New Roman" w:cs="Times New Roman"/>
          <w:color w:val="auto"/>
          <w:sz w:val="18"/>
          <w:szCs w:val="18"/>
        </w:rPr>
        <w:t>共5种机器学习模型。</w:t>
      </w:r>
      <w:r>
        <w:rPr>
          <w:rFonts w:ascii="Times New Roman" w:hAnsi="Times New Roman" w:cs="Times New Roman"/>
          <w:b/>
          <w:bCs/>
          <w:color w:val="auto"/>
          <w:sz w:val="18"/>
          <w:szCs w:val="18"/>
        </w:rPr>
        <w:t>结果</w:t>
      </w:r>
      <w:r>
        <w:rPr>
          <w:rFonts w:hint="eastAsia" w:ascii="Times New Roman" w:hAnsi="Times New Roman" w:cs="Times New Roman"/>
          <w:b/>
          <w:bCs/>
          <w:color w:val="auto"/>
          <w:sz w:val="18"/>
          <w:szCs w:val="18"/>
        </w:rPr>
        <w:t xml:space="preserve"> </w:t>
      </w:r>
      <w:r>
        <w:rPr>
          <w:rFonts w:hint="eastAsia" w:ascii="Times New Roman" w:hAnsi="Times New Roman" w:cs="Times New Roman"/>
          <w:color w:val="auto"/>
          <w:sz w:val="18"/>
          <w:szCs w:val="18"/>
        </w:rPr>
        <w:t>术前阶段共</w:t>
      </w:r>
      <w:r>
        <w:rPr>
          <w:rFonts w:ascii="Times New Roman" w:hAnsi="Times New Roman" w:cs="Times New Roman"/>
          <w:color w:val="auto"/>
          <w:sz w:val="18"/>
          <w:szCs w:val="18"/>
        </w:rPr>
        <w:t>筛选出</w:t>
      </w:r>
      <w:r>
        <w:rPr>
          <w:rFonts w:hint="eastAsia" w:ascii="Times New Roman" w:hAnsi="Times New Roman" w:cs="Times New Roman"/>
          <w:color w:val="auto"/>
          <w:sz w:val="18"/>
          <w:szCs w:val="18"/>
          <w:lang w:val="en-US" w:eastAsia="zh-CN"/>
        </w:rPr>
        <w:t>3</w:t>
      </w:r>
      <w:r>
        <w:rPr>
          <w:rFonts w:ascii="Times New Roman" w:hAnsi="Times New Roman" w:cs="Times New Roman"/>
          <w:color w:val="auto"/>
          <w:sz w:val="18"/>
          <w:szCs w:val="18"/>
        </w:rPr>
        <w:t>个独立预测变量</w:t>
      </w:r>
      <w:r>
        <w:rPr>
          <w:rFonts w:hint="eastAsia" w:ascii="Times New Roman" w:hAnsi="Times New Roman" w:cs="Times New Roman"/>
          <w:color w:val="auto"/>
          <w:sz w:val="18"/>
          <w:szCs w:val="18"/>
        </w:rPr>
        <w:t>，独立因素为PreopConcurrentCRT、PreopHGB、Diabetes；围手术期阶段共</w:t>
      </w:r>
      <w:r>
        <w:rPr>
          <w:rFonts w:ascii="Times New Roman" w:hAnsi="Times New Roman" w:cs="Times New Roman"/>
          <w:color w:val="auto"/>
          <w:sz w:val="18"/>
          <w:szCs w:val="18"/>
        </w:rPr>
        <w:t>筛选出</w:t>
      </w:r>
      <w:r>
        <w:rPr>
          <w:rFonts w:hint="eastAsia" w:ascii="Times New Roman" w:hAnsi="Times New Roman" w:cs="Times New Roman"/>
          <w:color w:val="auto"/>
          <w:sz w:val="18"/>
          <w:szCs w:val="18"/>
          <w:lang w:val="en-US" w:eastAsia="zh-CN"/>
        </w:rPr>
        <w:t>5</w:t>
      </w:r>
      <w:r>
        <w:rPr>
          <w:rFonts w:ascii="Times New Roman" w:hAnsi="Times New Roman" w:cs="Times New Roman"/>
          <w:color w:val="auto"/>
          <w:sz w:val="18"/>
          <w:szCs w:val="18"/>
        </w:rPr>
        <w:t>个独立预测变量</w:t>
      </w:r>
      <w:r>
        <w:rPr>
          <w:rFonts w:hint="eastAsia" w:ascii="Times New Roman" w:hAnsi="Times New Roman" w:cs="Times New Roman"/>
          <w:color w:val="auto"/>
          <w:sz w:val="18"/>
          <w:szCs w:val="18"/>
        </w:rPr>
        <w:t>，独立因素为PreopConcurrentCRT、OperationDurationMin、Tracheostomy、NeckDissection、AlcoholHistory。原始阳性比例约1.77%，存在显著不平衡。围手术期模型整体性能优于术前模型，AUC约0.84–0.88。</w:t>
      </w:r>
    </w:p>
    <w:p w14:paraId="53961765">
      <w:pPr>
        <w:pStyle w:val="13"/>
        <w:ind w:firstLine="360"/>
        <w:jc w:val="both"/>
        <w:rPr>
          <w:rFonts w:ascii="Times New Roman" w:hAnsi="Times New Roman" w:cs="Times New Roman"/>
          <w:color w:val="auto"/>
          <w:sz w:val="18"/>
          <w:szCs w:val="18"/>
        </w:rPr>
      </w:pPr>
      <w:r>
        <w:rPr>
          <w:rFonts w:ascii="Times New Roman" w:hAnsi="Times New Roman" w:cs="Times New Roman"/>
          <w:b/>
          <w:bCs/>
          <w:color w:val="auto"/>
          <w:sz w:val="18"/>
          <w:szCs w:val="18"/>
        </w:rPr>
        <w:t>结论</w:t>
      </w:r>
      <w:r>
        <w:rPr>
          <w:rFonts w:ascii="Times New Roman" w:hAnsi="Times New Roman" w:cs="Times New Roman"/>
          <w:color w:val="auto"/>
          <w:sz w:val="18"/>
          <w:szCs w:val="18"/>
        </w:rPr>
        <w:t xml:space="preserve"> </w:t>
      </w:r>
      <w:r>
        <w:rPr>
          <w:rFonts w:hint="eastAsia" w:ascii="Times New Roman" w:hAnsi="Times New Roman" w:cs="Times New Roman"/>
          <w:color w:val="auto"/>
          <w:sz w:val="18"/>
          <w:szCs w:val="18"/>
        </w:rPr>
        <w:t>基于机器学习的术前-围手术期两阶段风险预测模型可实现分阶段精准防控：术前模型凭借高特异性适用于早期筛查，减少抗生素滥用；围手术期GBM模型兼具平衡的预测性能与可解释性，可为风险分层和管理决策提供支持，未来仍需多中心研究进一步验证模型的泛化能力。</w:t>
      </w:r>
    </w:p>
    <w:p w14:paraId="400C6A90">
      <w:pPr>
        <w:pStyle w:val="13"/>
        <w:ind w:firstLine="360"/>
        <w:rPr>
          <w:rFonts w:ascii="Times New Roman" w:hAnsi="Times New Roman" w:cs="Times New Roman"/>
          <w:color w:val="auto"/>
          <w:sz w:val="18"/>
          <w:szCs w:val="18"/>
        </w:rPr>
      </w:pPr>
      <w:r>
        <w:rPr>
          <w:rFonts w:ascii="Times New Roman" w:hAnsi="Times New Roman" w:cs="Times New Roman"/>
          <w:color w:val="auto"/>
          <w:sz w:val="18"/>
          <w:szCs w:val="18"/>
        </w:rPr>
        <w:t>【关键词】</w:t>
      </w:r>
      <w:r>
        <w:rPr>
          <w:rFonts w:hint="eastAsia" w:ascii="Times New Roman" w:hAnsi="Times New Roman" w:cs="Times New Roman"/>
          <w:color w:val="auto"/>
          <w:sz w:val="18"/>
          <w:szCs w:val="18"/>
          <w:lang w:val="en-US" w:eastAsia="zh-CN"/>
        </w:rPr>
        <w:t>头颈</w:t>
      </w:r>
      <w:r>
        <w:rPr>
          <w:rFonts w:ascii="Times New Roman" w:hAnsi="Times New Roman" w:cs="Times New Roman"/>
          <w:color w:val="auto"/>
          <w:sz w:val="18"/>
          <w:szCs w:val="18"/>
        </w:rPr>
        <w:t>癌；术后肺部感染；机器学习；风险预测</w:t>
      </w:r>
    </w:p>
    <w:p w14:paraId="3760ED3B">
      <w:pPr>
        <w:ind w:firstLine="0" w:firstLineChars="0"/>
        <w:rPr>
          <w:rFonts w:ascii="Times New Roman" w:hAnsi="Times New Roman" w:cs="Times New Roman"/>
          <w:b/>
          <w:bCs/>
          <w:color w:val="auto"/>
          <w:sz w:val="28"/>
          <w:szCs w:val="28"/>
        </w:rPr>
      </w:pPr>
      <w:r>
        <w:rPr>
          <w:rFonts w:hint="eastAsia" w:ascii="Times New Roman" w:hAnsi="Times New Roman" w:cs="Times New Roman"/>
          <w:b/>
          <w:bCs/>
          <w:color w:val="auto"/>
          <w:sz w:val="28"/>
          <w:szCs w:val="28"/>
        </w:rPr>
        <w:t xml:space="preserve">A Two-Stage Model for Predicting Postoperative Pulmonary Infection in </w:t>
      </w:r>
      <w:r>
        <w:rPr>
          <w:rFonts w:hint="eastAsia" w:ascii="Times New Roman" w:hAnsi="Times New Roman" w:cs="Times New Roman"/>
          <w:b/>
          <w:bCs/>
          <w:color w:val="auto"/>
          <w:sz w:val="28"/>
          <w:szCs w:val="28"/>
          <w:lang w:val="en-US" w:eastAsia="zh-CN"/>
        </w:rPr>
        <w:t>H</w:t>
      </w:r>
      <w:r>
        <w:rPr>
          <w:rFonts w:hint="eastAsia" w:ascii="Times New Roman" w:hAnsi="Times New Roman" w:cs="Times New Roman"/>
          <w:b/>
          <w:bCs/>
          <w:color w:val="auto"/>
          <w:sz w:val="28"/>
          <w:szCs w:val="28"/>
        </w:rPr>
        <w:t>ead</w:t>
      </w:r>
      <w:r>
        <w:rPr>
          <w:rFonts w:hint="eastAsia" w:ascii="Times New Roman" w:hAnsi="Times New Roman" w:cs="Times New Roman"/>
          <w:b/>
          <w:bCs/>
          <w:color w:val="auto"/>
          <w:sz w:val="28"/>
          <w:szCs w:val="28"/>
          <w:lang w:val="en-US" w:eastAsia="zh-CN"/>
        </w:rPr>
        <w:t xml:space="preserve"> </w:t>
      </w:r>
      <w:r>
        <w:rPr>
          <w:rFonts w:hint="eastAsia" w:ascii="Times New Roman" w:hAnsi="Times New Roman" w:cs="Times New Roman"/>
          <w:b/>
          <w:bCs/>
          <w:color w:val="auto"/>
          <w:sz w:val="28"/>
          <w:szCs w:val="28"/>
        </w:rPr>
        <w:t>and</w:t>
      </w:r>
      <w:r>
        <w:rPr>
          <w:rFonts w:hint="eastAsia" w:ascii="Times New Roman" w:hAnsi="Times New Roman" w:cs="Times New Roman"/>
          <w:b/>
          <w:bCs/>
          <w:color w:val="auto"/>
          <w:sz w:val="28"/>
          <w:szCs w:val="28"/>
          <w:lang w:val="en-US" w:eastAsia="zh-CN"/>
        </w:rPr>
        <w:t xml:space="preserve"> N</w:t>
      </w:r>
      <w:r>
        <w:rPr>
          <w:rFonts w:hint="eastAsia" w:ascii="Times New Roman" w:hAnsi="Times New Roman" w:cs="Times New Roman"/>
          <w:b/>
          <w:bCs/>
          <w:color w:val="auto"/>
          <w:sz w:val="28"/>
          <w:szCs w:val="28"/>
        </w:rPr>
        <w:t>eck Cancer Patients</w:t>
      </w:r>
    </w:p>
    <w:p w14:paraId="1C79BEE3">
      <w:pPr>
        <w:ind w:firstLine="0" w:firstLineChars="0"/>
        <w:jc w:val="center"/>
        <w:rPr>
          <w:rFonts w:ascii="Times New Roman" w:hAnsi="Times New Roman" w:cs="Times New Roman"/>
          <w:color w:val="auto"/>
          <w:sz w:val="18"/>
          <w:szCs w:val="18"/>
          <w:vertAlign w:val="superscript"/>
        </w:rPr>
      </w:pPr>
      <w:r>
        <w:rPr>
          <w:rFonts w:ascii="Times New Roman" w:hAnsi="Times New Roman" w:cs="Times New Roman"/>
          <w:color w:val="auto"/>
          <w:sz w:val="18"/>
          <w:szCs w:val="18"/>
        </w:rPr>
        <w:t>Wang</w:t>
      </w:r>
      <w:r>
        <w:rPr>
          <w:rFonts w:hint="eastAsia" w:ascii="Times New Roman" w:hAnsi="Times New Roman" w:cs="Times New Roman"/>
          <w:color w:val="auto"/>
          <w:sz w:val="18"/>
          <w:szCs w:val="18"/>
        </w:rPr>
        <w:t xml:space="preserve"> Yu</w:t>
      </w:r>
      <w:r>
        <w:rPr>
          <w:rFonts w:hint="eastAsia" w:ascii="Times New Roman" w:hAnsi="Times New Roman" w:cs="Times New Roman"/>
          <w:color w:val="auto"/>
          <w:sz w:val="18"/>
          <w:szCs w:val="18"/>
          <w:vertAlign w:val="superscript"/>
        </w:rPr>
        <w:t>1</w:t>
      </w:r>
      <w:r>
        <w:rPr>
          <w:rFonts w:hint="eastAsia" w:ascii="Times New Roman" w:hAnsi="Times New Roman" w:cs="Times New Roman"/>
          <w:color w:val="auto"/>
          <w:sz w:val="18"/>
          <w:szCs w:val="18"/>
        </w:rPr>
        <w:t xml:space="preserve">  Yin Linxia</w:t>
      </w:r>
      <w:r>
        <w:rPr>
          <w:rFonts w:hint="eastAsia" w:ascii="Times New Roman" w:hAnsi="Times New Roman" w:cs="Times New Roman"/>
          <w:color w:val="auto"/>
          <w:sz w:val="18"/>
          <w:szCs w:val="18"/>
          <w:vertAlign w:val="superscript"/>
        </w:rPr>
        <w:t>2</w:t>
      </w:r>
      <w:r>
        <w:rPr>
          <w:rFonts w:hint="eastAsia" w:ascii="Times New Roman" w:hAnsi="Times New Roman" w:cs="Times New Roman"/>
          <w:color w:val="auto"/>
          <w:sz w:val="18"/>
          <w:szCs w:val="18"/>
        </w:rPr>
        <w:t xml:space="preserve">  Yao Bo</w:t>
      </w:r>
      <w:r>
        <w:rPr>
          <w:rFonts w:hint="eastAsia" w:ascii="Times New Roman" w:hAnsi="Times New Roman" w:cs="Times New Roman"/>
          <w:color w:val="auto"/>
          <w:sz w:val="18"/>
          <w:szCs w:val="18"/>
          <w:vertAlign w:val="superscript"/>
        </w:rPr>
        <w:t>1</w:t>
      </w:r>
      <w:r>
        <w:rPr>
          <w:rFonts w:hint="eastAsia" w:ascii="Times New Roman" w:hAnsi="Times New Roman" w:cs="Times New Roman"/>
          <w:color w:val="auto"/>
          <w:sz w:val="18"/>
          <w:szCs w:val="18"/>
        </w:rPr>
        <w:t xml:space="preserve">  Wu Jiang</w:t>
      </w:r>
      <w:r>
        <w:rPr>
          <w:rFonts w:hint="eastAsia" w:ascii="Times New Roman" w:hAnsi="Times New Roman" w:cs="Times New Roman"/>
          <w:color w:val="auto"/>
          <w:sz w:val="18"/>
          <w:szCs w:val="18"/>
          <w:vertAlign w:val="superscript"/>
        </w:rPr>
        <w:t>3,*</w:t>
      </w:r>
      <w:r>
        <w:rPr>
          <w:rFonts w:hint="eastAsia" w:ascii="Times New Roman" w:hAnsi="Times New Roman" w:cs="Times New Roman"/>
          <w:color w:val="auto"/>
          <w:sz w:val="18"/>
          <w:szCs w:val="18"/>
        </w:rPr>
        <w:t xml:space="preserve">  Pu Jiangbo</w:t>
      </w:r>
      <w:r>
        <w:rPr>
          <w:rFonts w:hint="eastAsia" w:ascii="Times New Roman" w:hAnsi="Times New Roman" w:cs="Times New Roman"/>
          <w:color w:val="auto"/>
          <w:sz w:val="18"/>
          <w:szCs w:val="18"/>
          <w:vertAlign w:val="superscript"/>
        </w:rPr>
        <w:t>1,*</w:t>
      </w:r>
    </w:p>
    <w:p w14:paraId="059CC4C3">
      <w:pPr>
        <w:tabs>
          <w:tab w:val="left" w:pos="312"/>
        </w:tabs>
        <w:ind w:firstLine="0" w:firstLineChars="0"/>
        <w:jc w:val="left"/>
        <w:rPr>
          <w:rFonts w:ascii="Times New Roman" w:hAnsi="Times New Roman" w:cs="等线"/>
          <w:i/>
          <w:iCs/>
          <w:color w:val="auto"/>
          <w:sz w:val="18"/>
          <w:szCs w:val="18"/>
        </w:rPr>
      </w:pPr>
      <w:r>
        <w:rPr>
          <w:rFonts w:hint="eastAsia" w:ascii="Times New Roman" w:hAnsi="Times New Roman" w:cs="等线"/>
          <w:i/>
          <w:iCs/>
          <w:color w:val="auto"/>
          <w:sz w:val="18"/>
          <w:szCs w:val="18"/>
        </w:rPr>
        <w:t>1.Institute of Biomedical Engineering, Chinese Academy of Medical Science and Pecking Union Medical College, Tianjin 300192, P. R. China</w:t>
      </w:r>
    </w:p>
    <w:p w14:paraId="6A352C74">
      <w:pPr>
        <w:tabs>
          <w:tab w:val="left" w:pos="312"/>
        </w:tabs>
        <w:ind w:firstLine="0" w:firstLineChars="0"/>
        <w:jc w:val="left"/>
        <w:rPr>
          <w:rFonts w:ascii="Times New Roman" w:hAnsi="Times New Roman" w:cs="等线"/>
          <w:i/>
          <w:iCs/>
          <w:color w:val="auto"/>
          <w:sz w:val="18"/>
          <w:szCs w:val="18"/>
        </w:rPr>
      </w:pPr>
      <w:r>
        <w:rPr>
          <w:rFonts w:hint="eastAsia" w:ascii="Times New Roman" w:hAnsi="Times New Roman" w:cs="等线"/>
          <w:i/>
          <w:iCs/>
          <w:color w:val="auto"/>
          <w:sz w:val="18"/>
          <w:szCs w:val="18"/>
        </w:rPr>
        <w:t>2.Department of Hospital Infection Management, Cancer Hospitial, Chinese Academy of Medical Sciences and Peking Union Medical College, Beijing 100021, P. R. China</w:t>
      </w:r>
    </w:p>
    <w:p w14:paraId="14F74026">
      <w:pPr>
        <w:tabs>
          <w:tab w:val="left" w:pos="312"/>
        </w:tabs>
        <w:ind w:firstLine="0" w:firstLineChars="0"/>
        <w:jc w:val="left"/>
        <w:rPr>
          <w:rFonts w:ascii="Times New Roman" w:hAnsi="Times New Roman" w:cs="等线"/>
          <w:i/>
          <w:iCs/>
          <w:color w:val="auto"/>
          <w:sz w:val="18"/>
          <w:szCs w:val="18"/>
        </w:rPr>
      </w:pPr>
      <w:r>
        <w:rPr>
          <w:rFonts w:hint="eastAsia" w:ascii="Times New Roman" w:hAnsi="Times New Roman" w:cs="等线"/>
          <w:i/>
          <w:iCs/>
          <w:color w:val="auto"/>
          <w:sz w:val="18"/>
          <w:szCs w:val="18"/>
        </w:rPr>
        <w:t>3.Deep Underground Space Medical Center, West China Hospital, Sichuan University, Chengdu 610041, P. R. China</w:t>
      </w:r>
    </w:p>
    <w:p w14:paraId="6C64BBC2">
      <w:pPr>
        <w:ind w:firstLine="0" w:firstLineChars="0"/>
        <w:rPr>
          <w:rFonts w:ascii="Times New Roman" w:hAnsi="Times New Roman" w:cs="等线"/>
          <w:i/>
          <w:iCs/>
          <w:color w:val="auto"/>
          <w:sz w:val="18"/>
          <w:szCs w:val="18"/>
        </w:rPr>
      </w:pPr>
      <w:r>
        <w:rPr>
          <w:rFonts w:hint="eastAsia" w:ascii="Times New Roman" w:hAnsi="Times New Roman" w:cs="等线"/>
          <w:i/>
          <w:iCs/>
          <w:color w:val="auto"/>
          <w:sz w:val="18"/>
          <w:szCs w:val="18"/>
        </w:rPr>
        <w:t xml:space="preserve">        </w:t>
      </w:r>
      <w:r>
        <w:rPr>
          <w:rFonts w:hint="eastAsia" w:ascii="Times New Roman" w:hAnsi="Times New Roman" w:cs="等线"/>
          <w:i/>
          <w:iCs/>
          <w:color w:val="auto"/>
          <w:sz w:val="18"/>
          <w:szCs w:val="18"/>
          <w:vertAlign w:val="superscript"/>
        </w:rPr>
        <w:t>*</w:t>
      </w:r>
      <w:r>
        <w:rPr>
          <w:rFonts w:hint="eastAsia" w:ascii="Times New Roman" w:hAnsi="Times New Roman" w:cs="等线"/>
          <w:i/>
          <w:iCs/>
          <w:color w:val="auto"/>
          <w:sz w:val="18"/>
          <w:szCs w:val="18"/>
        </w:rPr>
        <w:t xml:space="preserve">Corresponding author: Pu Jiangbo, Email: </w:t>
      </w:r>
      <w:r>
        <w:rPr>
          <w:rFonts w:ascii="Times New Roman" w:hAnsi="Times New Roman" w:cs="等线"/>
          <w:i/>
          <w:iCs/>
          <w:color w:val="auto"/>
          <w:sz w:val="18"/>
          <w:szCs w:val="18"/>
        </w:rPr>
        <w:t>pujb@bme.pumc</w:t>
      </w:r>
      <w:r>
        <w:rPr>
          <w:rFonts w:ascii="Times New Roman" w:hAnsi="Times New Roman" w:cs="等线"/>
          <w:i/>
          <w:iCs/>
          <w:color w:val="auto"/>
          <w:sz w:val="18"/>
          <w:szCs w:val="18"/>
          <w:lang w:val="it-IT"/>
        </w:rPr>
        <w:t>.edu.cn</w:t>
      </w:r>
    </w:p>
    <w:p w14:paraId="1EC7C84B">
      <w:pPr>
        <w:ind w:firstLine="361"/>
        <w:rPr>
          <w:rFonts w:ascii="Times New Roman" w:hAnsi="Times New Roman" w:cs="Times New Roman"/>
          <w:color w:val="auto"/>
          <w:sz w:val="18"/>
          <w:szCs w:val="18"/>
        </w:rPr>
      </w:pPr>
      <w:r>
        <w:rPr>
          <w:rFonts w:ascii="Times New Roman" w:hAnsi="Times New Roman" w:cs="Times New Roman"/>
          <w:b/>
          <w:bCs/>
          <w:color w:val="auto"/>
          <w:sz w:val="18"/>
          <w:szCs w:val="18"/>
        </w:rPr>
        <w:t>【Abstract】</w:t>
      </w:r>
      <w:r>
        <w:rPr>
          <w:rFonts w:hint="eastAsia" w:ascii="Times New Roman" w:hAnsi="Times New Roman" w:cs="Times New Roman"/>
          <w:b/>
          <w:bCs/>
          <w:color w:val="auto"/>
          <w:sz w:val="18"/>
          <w:szCs w:val="18"/>
        </w:rPr>
        <w:t>Objective</w:t>
      </w:r>
      <w:r>
        <w:rPr>
          <w:rFonts w:hint="eastAsia" w:ascii="Times New Roman" w:hAnsi="Times New Roman" w:cs="Times New Roman"/>
          <w:color w:val="auto"/>
          <w:sz w:val="18"/>
          <w:szCs w:val="18"/>
        </w:rPr>
        <w:t xml:space="preserve"> Postoperative pulmonary infection (PPI) has a high incidence of 15%~30% in esophageal cancer patients, severely affecting prognosis. Accurate risk stratification and early intervention are key to reducing PPI incidence, yet most existing models lack stage-based classification of risk factors and fail to reflect the synergy between preoperative baseline susceptibility and perioperative clinical events, thus limiting targeted risk identification and intervention. This study aimed to construct a preoperative-perioperative two-stage individualized PPI risk prediction model for esophageal cancer based on machine learning algorithms, by integrating preoperative baseline characteristics and full-stage perioperative clinical indicators. </w:t>
      </w:r>
      <w:r>
        <w:rPr>
          <w:rFonts w:hint="eastAsia" w:ascii="Times New Roman" w:hAnsi="Times New Roman" w:cs="Times New Roman"/>
          <w:b/>
          <w:bCs/>
          <w:color w:val="auto"/>
          <w:sz w:val="18"/>
          <w:szCs w:val="18"/>
        </w:rPr>
        <w:t>Methods</w:t>
      </w:r>
      <w:r>
        <w:rPr>
          <w:rFonts w:hint="eastAsia" w:ascii="Times New Roman" w:hAnsi="Times New Roman" w:cs="Times New Roman"/>
          <w:color w:val="auto"/>
          <w:sz w:val="18"/>
          <w:szCs w:val="18"/>
        </w:rPr>
        <w:t xml:space="preserve"> We retrospectively enrolled clinical data of 2200 esophageal cancer patients who underwent surgery at the Cancer Hospital of the Chinese Academy of Medical Sciences from October 2022 to August 2024. Least absolute shrinkage and selection operator (LASSO) regression combined with multivariate logistic regression was used to screen independent predictive variables for the pure preoperative and perioperative stages, respectively. The cohort was randomly divided into training and test sets at a 7:3 ratio to construct five machine learning models: generalized linear model (GLM), random forest (RF), support vector machine (SVM), neural network (NNET) and gradient boosting machine (GBM). </w:t>
      </w:r>
      <w:r>
        <w:rPr>
          <w:rFonts w:hint="eastAsia" w:ascii="Times New Roman" w:hAnsi="Times New Roman" w:cs="Times New Roman"/>
          <w:b/>
          <w:bCs/>
          <w:color w:val="auto"/>
          <w:sz w:val="18"/>
          <w:szCs w:val="18"/>
        </w:rPr>
        <w:t>Results</w:t>
      </w:r>
      <w:r>
        <w:rPr>
          <w:rFonts w:hint="eastAsia" w:ascii="Times New Roman" w:hAnsi="Times New Roman" w:cs="Times New Roman"/>
          <w:color w:val="auto"/>
          <w:sz w:val="18"/>
          <w:szCs w:val="18"/>
        </w:rPr>
        <w:t xml:space="preserve"> Six independent predictive variables were identified. The preoperative variables included gender, American Society of Anesthesiologists (ASA) physical status classification and multidrug-resistant organism colonization, with all preoperative models showing an AUC of 0.71~0.72 and a specificity over 98%. For the perioperative stage, operative duration, postoperative ICU admission and peak C-reactive protein (CRP) level within 0-3 days after surgery were added to the preoperative variables, leading to a significant improvement in predictive performance (AUC &gt; 0.82 for all models). Among them, the GBM model achieved a good balance between sensitivity (69.07%) and specificity (82.59%). </w:t>
      </w:r>
      <w:r>
        <w:rPr>
          <w:rFonts w:hint="eastAsia" w:ascii="Times New Roman" w:hAnsi="Times New Roman" w:cs="Times New Roman"/>
          <w:b/>
          <w:bCs/>
          <w:color w:val="auto"/>
          <w:sz w:val="18"/>
          <w:szCs w:val="18"/>
        </w:rPr>
        <w:t>Conclusion</w:t>
      </w:r>
      <w:r>
        <w:rPr>
          <w:rFonts w:hint="eastAsia" w:ascii="Times New Roman" w:hAnsi="Times New Roman" w:cs="Times New Roman"/>
          <w:color w:val="auto"/>
          <w:sz w:val="18"/>
          <w:szCs w:val="18"/>
        </w:rPr>
        <w:t xml:space="preserve"> The machine learning-based two-stage (preoperative-perioperative) risk prediction model enables stage-specific precise prevention and control of PPI. The preoperative model, with high specificity, is suitable for early screening and reducing antibiotic abuse; the perioperative GBM model, featuring balanced predictive performance and interpretability, can support risk stratification and clinical decision-making. Further multicenter studies are required to verify the model</w:t>
      </w:r>
      <w:r>
        <w:rPr>
          <w:rFonts w:ascii="Times New Roman" w:hAnsi="Times New Roman" w:cs="Times New Roman"/>
          <w:color w:val="auto"/>
          <w:sz w:val="18"/>
          <w:szCs w:val="18"/>
        </w:rPr>
        <w:t>’</w:t>
      </w:r>
      <w:r>
        <w:rPr>
          <w:rFonts w:hint="eastAsia" w:ascii="Times New Roman" w:hAnsi="Times New Roman" w:cs="Times New Roman"/>
          <w:color w:val="auto"/>
          <w:sz w:val="18"/>
          <w:szCs w:val="18"/>
        </w:rPr>
        <w:t>s generalization ability.</w:t>
      </w:r>
    </w:p>
    <w:p w14:paraId="321C91C1">
      <w:pPr>
        <w:ind w:firstLine="361"/>
        <w:rPr>
          <w:rFonts w:ascii="Times New Roman" w:hAnsi="Times New Roman" w:cs="Times New Roman"/>
          <w:color w:val="auto"/>
          <w:sz w:val="18"/>
          <w:szCs w:val="18"/>
        </w:rPr>
      </w:pPr>
      <w:r>
        <w:rPr>
          <w:rFonts w:ascii="Times New Roman" w:hAnsi="Times New Roman" w:cs="Times New Roman"/>
          <w:b/>
          <w:bCs/>
          <w:color w:val="auto"/>
          <w:sz w:val="18"/>
          <w:szCs w:val="18"/>
        </w:rPr>
        <w:t xml:space="preserve">【Key words】 </w:t>
      </w:r>
      <w:r>
        <w:rPr>
          <w:rFonts w:hint="default" w:ascii="Times New Roman" w:hAnsi="Times New Roman" w:cs="Times New Roman"/>
          <w:color w:val="auto"/>
          <w:sz w:val="18"/>
          <w:szCs w:val="18"/>
        </w:rPr>
        <w:t>Head and Neck</w:t>
      </w:r>
      <w:r>
        <w:rPr>
          <w:rFonts w:hint="eastAsia" w:ascii="Times New Roman" w:hAnsi="Times New Roman" w:cs="Times New Roman"/>
          <w:color w:val="auto"/>
          <w:sz w:val="18"/>
          <w:szCs w:val="18"/>
        </w:rPr>
        <w:t xml:space="preserve"> Cancer;</w:t>
      </w:r>
      <w:r>
        <w:rPr>
          <w:rFonts w:ascii="Times New Roman" w:hAnsi="Times New Roman" w:cs="Times New Roman"/>
          <w:color w:val="auto"/>
          <w:sz w:val="18"/>
          <w:szCs w:val="18"/>
        </w:rPr>
        <w:t xml:space="preserve"> </w:t>
      </w:r>
      <w:r>
        <w:rPr>
          <w:rFonts w:hint="eastAsia" w:ascii="Times New Roman" w:hAnsi="Times New Roman" w:cs="Times New Roman"/>
          <w:color w:val="auto"/>
          <w:sz w:val="18"/>
          <w:szCs w:val="18"/>
        </w:rPr>
        <w:t>Postoperative Pulmonary Infection</w:t>
      </w:r>
      <w:r>
        <w:rPr>
          <w:rFonts w:ascii="Times New Roman" w:hAnsi="Times New Roman" w:cs="Times New Roman"/>
          <w:color w:val="auto"/>
          <w:sz w:val="18"/>
          <w:szCs w:val="18"/>
        </w:rPr>
        <w:t xml:space="preserve">; </w:t>
      </w:r>
      <w:r>
        <w:rPr>
          <w:rFonts w:hint="eastAsia" w:ascii="Times New Roman" w:hAnsi="Times New Roman" w:cs="Times New Roman"/>
          <w:color w:val="auto"/>
          <w:sz w:val="18"/>
          <w:szCs w:val="18"/>
        </w:rPr>
        <w:t>Machine Learning</w:t>
      </w:r>
      <w:r>
        <w:rPr>
          <w:rFonts w:ascii="Times New Roman" w:hAnsi="Times New Roman" w:cs="Times New Roman"/>
          <w:color w:val="auto"/>
          <w:sz w:val="18"/>
          <w:szCs w:val="18"/>
        </w:rPr>
        <w:t xml:space="preserve">; </w:t>
      </w:r>
      <w:r>
        <w:rPr>
          <w:rFonts w:hint="eastAsia" w:ascii="Times New Roman" w:hAnsi="Times New Roman" w:cs="Times New Roman"/>
          <w:color w:val="auto"/>
          <w:sz w:val="18"/>
          <w:szCs w:val="18"/>
        </w:rPr>
        <w:t>Risk Prediction</w:t>
      </w:r>
    </w:p>
    <w:p w14:paraId="0D1072A8">
      <w:pPr>
        <w:pStyle w:val="2"/>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引言</w:t>
      </w:r>
    </w:p>
    <w:p w14:paraId="4B0B4CD4">
      <w:pPr>
        <w:ind w:firstLine="420"/>
        <w:rPr>
          <w:rFonts w:ascii="Times New Roman" w:hAnsi="Times New Roman" w:cs="Times New Roman"/>
          <w:color w:val="auto"/>
        </w:rPr>
      </w:pPr>
      <w:bookmarkStart w:id="2" w:name="_Hlk214299068"/>
      <w:r>
        <w:rPr>
          <w:rFonts w:hint="eastAsia" w:ascii="Times New Roman" w:hAnsi="Times New Roman" w:cs="Times New Roman"/>
          <w:color w:val="auto"/>
          <w:lang w:eastAsia="zh-CN"/>
        </w:rPr>
        <w:t>头颈</w:t>
      </w:r>
      <w:r>
        <w:rPr>
          <w:rFonts w:ascii="Times New Roman" w:hAnsi="Times New Roman" w:cs="Times New Roman"/>
          <w:color w:val="auto"/>
        </w:rPr>
        <w:t>癌</w:t>
      </w:r>
      <w:r>
        <w:rPr>
          <w:rFonts w:hint="eastAsia" w:ascii="Times New Roman" w:hAnsi="Times New Roman" w:cs="Times New Roman"/>
          <w:color w:val="auto"/>
        </w:rPr>
        <w:t xml:space="preserve">(Head and neck cancer </w:t>
      </w:r>
      <w:r>
        <w:rPr>
          <w:rFonts w:hint="eastAsia" w:ascii="Times New Roman" w:hAnsi="Times New Roman" w:cs="Times New Roman"/>
          <w:color w:val="auto"/>
          <w:lang w:val="en-US" w:eastAsia="zh-CN"/>
        </w:rPr>
        <w:t xml:space="preserve">, </w:t>
      </w:r>
      <w:r>
        <w:rPr>
          <w:rFonts w:hint="eastAsia" w:ascii="Times New Roman" w:hAnsi="Times New Roman" w:cs="Times New Roman"/>
          <w:color w:val="auto"/>
        </w:rPr>
        <w:t>HNC)</w:t>
      </w:r>
      <w:r>
        <w:rPr>
          <w:rFonts w:hint="eastAsia" w:ascii="Times New Roman" w:hAnsi="Times New Roman" w:cs="Times New Roman"/>
          <w:color w:val="auto"/>
          <w:lang w:val="en-US" w:eastAsia="zh-CN"/>
        </w:rPr>
        <w:t>是</w:t>
      </w:r>
      <w:r>
        <w:rPr>
          <w:rFonts w:hint="eastAsia" w:ascii="Times New Roman" w:hAnsi="Times New Roman" w:cs="Times New Roman"/>
          <w:color w:val="auto"/>
        </w:rPr>
        <w:t>发生于上呼吸消化道解剖部位的异质性肿瘤</w:t>
      </w: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1</w:t>
      </w:r>
      <w:r>
        <w:rPr>
          <w:rFonts w:hint="eastAsia" w:ascii="Times New Roman" w:hAnsi="Times New Roman" w:cs="Times New Roman"/>
          <w:color w:val="auto"/>
          <w:lang w:eastAsia="zh-CN"/>
        </w:rPr>
        <w:t>]。</w:t>
      </w:r>
      <w:r>
        <w:rPr>
          <w:rFonts w:hint="eastAsia" w:ascii="Times New Roman" w:hAnsi="Times New Roman" w:cs="Times New Roman"/>
          <w:color w:val="auto"/>
        </w:rPr>
        <w:t>由于高发病率和死亡率，HNC</w:t>
      </w:r>
      <w:r>
        <w:rPr>
          <w:rFonts w:hint="eastAsia" w:ascii="Times New Roman" w:hAnsi="Times New Roman" w:cs="Times New Roman"/>
          <w:color w:val="auto"/>
          <w:lang w:val="en-US" w:eastAsia="zh-CN"/>
        </w:rPr>
        <w:t>一直</w:t>
      </w:r>
      <w:r>
        <w:rPr>
          <w:rFonts w:hint="eastAsia" w:ascii="Times New Roman" w:hAnsi="Times New Roman" w:cs="Times New Roman"/>
          <w:color w:val="auto"/>
        </w:rPr>
        <w:t>是一个全球性的健康问题，全球每年有946</w:t>
      </w:r>
      <w:r>
        <w:rPr>
          <w:rFonts w:hint="eastAsia" w:ascii="Times New Roman" w:hAnsi="Times New Roman" w:cs="Times New Roman"/>
          <w:color w:val="auto"/>
          <w:lang w:val="en-US" w:eastAsia="zh-CN"/>
        </w:rPr>
        <w:t>,</w:t>
      </w:r>
      <w:r>
        <w:rPr>
          <w:rFonts w:hint="eastAsia" w:ascii="Times New Roman" w:hAnsi="Times New Roman" w:cs="Times New Roman"/>
          <w:color w:val="auto"/>
        </w:rPr>
        <w:t>456例新诊断病例和482</w:t>
      </w:r>
      <w:r>
        <w:rPr>
          <w:rFonts w:hint="eastAsia" w:ascii="Times New Roman" w:hAnsi="Times New Roman" w:cs="Times New Roman"/>
          <w:color w:val="auto"/>
          <w:lang w:val="en-US" w:eastAsia="zh-CN"/>
        </w:rPr>
        <w:t>,</w:t>
      </w:r>
      <w:r>
        <w:rPr>
          <w:rFonts w:hint="eastAsia" w:ascii="Times New Roman" w:hAnsi="Times New Roman" w:cs="Times New Roman"/>
          <w:color w:val="auto"/>
        </w:rPr>
        <w:t>001例死亡病例</w:t>
      </w: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2</w:t>
      </w:r>
      <w:r>
        <w:rPr>
          <w:rFonts w:hint="eastAsia" w:ascii="Times New Roman" w:hAnsi="Times New Roman" w:cs="Times New Roman"/>
          <w:color w:val="auto"/>
          <w:lang w:eastAsia="zh-CN"/>
        </w:rPr>
        <w:t>]</w:t>
      </w:r>
      <w:r>
        <w:rPr>
          <w:rFonts w:hint="eastAsia" w:ascii="Times New Roman" w:hAnsi="Times New Roman" w:cs="Times New Roman"/>
          <w:color w:val="auto"/>
        </w:rPr>
        <w:t>。标准的治疗方式，包括手术、放疗和化疗，往往会导致严重的副作用，如周围健康组织的损伤、功能损伤和生活质量下降</w:t>
      </w: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3</w:t>
      </w: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其中，接受</w:t>
      </w:r>
      <w:r>
        <w:rPr>
          <w:rFonts w:hint="eastAsia" w:ascii="Times New Roman" w:hAnsi="Times New Roman" w:cs="Times New Roman"/>
          <w:color w:val="auto"/>
          <w:lang w:eastAsia="zh-CN"/>
        </w:rPr>
        <w:t>头颈部手术</w:t>
      </w:r>
      <w:r>
        <w:rPr>
          <w:rFonts w:hint="eastAsia" w:ascii="Times New Roman" w:hAnsi="Times New Roman" w:cs="Times New Roman"/>
          <w:color w:val="auto"/>
          <w:lang w:val="en-US" w:eastAsia="zh-CN"/>
        </w:rPr>
        <w:t>使得这一类</w:t>
      </w:r>
      <w:r>
        <w:rPr>
          <w:rFonts w:hint="eastAsia" w:ascii="Times New Roman" w:hAnsi="Times New Roman" w:cs="Times New Roman"/>
          <w:color w:val="auto"/>
          <w:lang w:eastAsia="zh-CN"/>
        </w:rPr>
        <w:t>高危人群</w:t>
      </w:r>
      <w:r>
        <w:rPr>
          <w:rFonts w:hint="eastAsia" w:ascii="Times New Roman" w:hAnsi="Times New Roman" w:cs="Times New Roman"/>
          <w:color w:val="auto"/>
          <w:lang w:val="en-US" w:eastAsia="zh-CN"/>
        </w:rPr>
        <w:t>术后肺部感染</w:t>
      </w:r>
      <w:r>
        <w:rPr>
          <w:rFonts w:hint="eastAsia" w:ascii="Times New Roman" w:hAnsi="Times New Roman" w:cs="Times New Roman"/>
          <w:color w:val="auto"/>
        </w:rPr>
        <w:t>（postoperative pulmonary infection，PPI）</w:t>
      </w:r>
      <w:r>
        <w:rPr>
          <w:rFonts w:hint="eastAsia" w:ascii="Times New Roman" w:hAnsi="Times New Roman" w:cs="Times New Roman"/>
          <w:color w:val="auto"/>
          <w:lang w:eastAsia="zh-CN"/>
        </w:rPr>
        <w:t>风险增加[</w:t>
      </w:r>
      <w:r>
        <w:rPr>
          <w:rFonts w:hint="eastAsia" w:ascii="Times New Roman" w:hAnsi="Times New Roman" w:cs="Times New Roman"/>
          <w:color w:val="auto"/>
          <w:lang w:val="en-US" w:eastAsia="zh-CN"/>
        </w:rPr>
        <w:t>4</w:t>
      </w: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研究表明，</w:t>
      </w:r>
      <w:r>
        <w:rPr>
          <w:rFonts w:hint="eastAsia" w:ascii="Times New Roman" w:hAnsi="Times New Roman" w:cs="Times New Roman"/>
          <w:color w:val="auto"/>
          <w:lang w:eastAsia="zh-CN"/>
        </w:rPr>
        <w:t>头颈</w:t>
      </w:r>
      <w:r>
        <w:rPr>
          <w:rFonts w:hint="eastAsia" w:ascii="Times New Roman" w:hAnsi="Times New Roman" w:cs="Times New Roman"/>
          <w:color w:val="auto"/>
          <w:lang w:val="en-US" w:eastAsia="zh-CN"/>
        </w:rPr>
        <w:t>癌</w:t>
      </w:r>
      <w:r>
        <w:rPr>
          <w:rFonts w:hint="eastAsia" w:ascii="Times New Roman" w:hAnsi="Times New Roman" w:cs="Times New Roman"/>
          <w:color w:val="auto"/>
          <w:lang w:eastAsia="zh-CN"/>
        </w:rPr>
        <w:t>手术</w:t>
      </w:r>
      <w:r>
        <w:rPr>
          <w:rFonts w:hint="eastAsia" w:ascii="Times New Roman" w:hAnsi="Times New Roman" w:cs="Times New Roman"/>
          <w:color w:val="auto"/>
          <w:lang w:val="en-US" w:eastAsia="zh-CN"/>
        </w:rPr>
        <w:t>后PPI的发生是多因素共同作用的结果，既包括患者层面的术前易感性因素，如吸烟史、饮酒史、慢性肺部疾病、营养不良及免疫功能低下[5-7]，也包括围手术期相关因素，如手术创伤大、手术时间延长、术后机械通气等，这些因素均可通过削弱肺部清除功能及气道防御机制而促进感染发生。</w:t>
      </w:r>
      <w:r>
        <w:rPr>
          <w:rFonts w:ascii="Times New Roman" w:hAnsi="Times New Roman" w:cs="Times New Roman"/>
          <w:color w:val="auto"/>
        </w:rPr>
        <w:t>临床上，</w:t>
      </w:r>
      <w:r>
        <w:rPr>
          <w:rFonts w:hint="eastAsia" w:ascii="Times New Roman" w:hAnsi="Times New Roman" w:cs="Times New Roman"/>
          <w:color w:val="auto"/>
        </w:rPr>
        <w:t>PPI</w:t>
      </w:r>
      <w:r>
        <w:rPr>
          <w:rFonts w:ascii="Times New Roman" w:hAnsi="Times New Roman" w:cs="Times New Roman"/>
          <w:color w:val="auto"/>
        </w:rPr>
        <w:t>的诊断往往依赖胸部</w:t>
      </w:r>
      <w:r>
        <w:rPr>
          <w:rFonts w:hint="eastAsia" w:ascii="Times New Roman" w:hAnsi="Times New Roman" w:cs="Times New Roman"/>
          <w:color w:val="auto"/>
        </w:rPr>
        <w:t>计算机断层扫描（computed tomography，CT）</w:t>
      </w:r>
      <w:r>
        <w:rPr>
          <w:rFonts w:ascii="Times New Roman" w:hAnsi="Times New Roman" w:cs="Times New Roman"/>
          <w:color w:val="auto"/>
        </w:rPr>
        <w:t>等影像学检查和C-反应蛋白（C-reactive protein，CRP）升高等实验室指标，但这些方法存在延迟诊断的风险</w:t>
      </w: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8</w:t>
      </w:r>
      <w:r>
        <w:rPr>
          <w:rFonts w:hint="eastAsia" w:ascii="Times New Roman" w:hAnsi="Times New Roman" w:cs="Times New Roman"/>
          <w:color w:val="auto"/>
          <w:lang w:eastAsia="zh-CN"/>
        </w:rPr>
        <w:t>]</w:t>
      </w:r>
      <w:r>
        <w:rPr>
          <w:rFonts w:ascii="Times New Roman" w:hAnsi="Times New Roman" w:cs="Times New Roman"/>
          <w:color w:val="auto"/>
        </w:rPr>
        <w:t>。</w:t>
      </w:r>
    </w:p>
    <w:p w14:paraId="4D7F0BFB">
      <w:pPr>
        <w:ind w:firstLine="420"/>
        <w:rPr>
          <w:rFonts w:ascii="Times New Roman" w:hAnsi="Times New Roman"/>
          <w:color w:val="auto"/>
        </w:rPr>
      </w:pPr>
      <w:r>
        <w:rPr>
          <w:rFonts w:hint="eastAsia" w:ascii="Times New Roman" w:hAnsi="Times New Roman"/>
          <w:color w:val="auto"/>
        </w:rPr>
        <w:t>目前</w:t>
      </w:r>
      <w:r>
        <w:rPr>
          <w:rFonts w:ascii="Times New Roman" w:hAnsi="Times New Roman"/>
          <w:color w:val="auto"/>
        </w:rPr>
        <w:t>主要基于logistic回归模型</w:t>
      </w:r>
      <w:r>
        <w:rPr>
          <w:rFonts w:hint="eastAsia" w:ascii="Times New Roman" w:hAnsi="Times New Roman"/>
          <w:color w:val="auto"/>
        </w:rPr>
        <w:t>进行</w:t>
      </w:r>
      <w:r>
        <w:rPr>
          <w:rFonts w:hint="eastAsia" w:ascii="Times New Roman" w:hAnsi="Times New Roman" w:cs="Times New Roman"/>
          <w:color w:val="auto"/>
        </w:rPr>
        <w:t>PPI</w:t>
      </w:r>
      <w:r>
        <w:rPr>
          <w:rFonts w:hint="eastAsia" w:ascii="Times New Roman" w:hAnsi="Times New Roman"/>
          <w:color w:val="auto"/>
        </w:rPr>
        <w:t>预测</w:t>
      </w:r>
      <w:r>
        <w:rPr>
          <w:rFonts w:hint="eastAsia" w:ascii="Times New Roman" w:hAnsi="Times New Roman"/>
          <w:color w:val="auto"/>
          <w:lang w:eastAsia="zh-CN"/>
        </w:rPr>
        <w:t>。Borne等</w:t>
      </w:r>
      <w:r>
        <w:rPr>
          <w:rFonts w:hint="eastAsia" w:ascii="Times New Roman" w:hAnsi="Times New Roman" w:cs="Times New Roman"/>
          <w:color w:val="auto"/>
          <w:lang w:eastAsia="zh-CN"/>
        </w:rPr>
        <w:t>[</w:t>
      </w:r>
      <w:r>
        <w:rPr>
          <w:rFonts w:hint="eastAsia" w:ascii="Times New Roman" w:hAnsi="Times New Roman" w:cs="Times New Roman"/>
          <w:color w:val="auto"/>
          <w:lang w:val="en-US" w:eastAsia="zh-CN"/>
        </w:rPr>
        <w:t>4</w:t>
      </w:r>
      <w:r>
        <w:rPr>
          <w:rFonts w:hint="eastAsia" w:ascii="Times New Roman" w:hAnsi="Times New Roman" w:cs="Times New Roman"/>
          <w:color w:val="auto"/>
          <w:lang w:eastAsia="zh-CN"/>
        </w:rPr>
        <w:t>]</w:t>
      </w:r>
      <w:r>
        <w:rPr>
          <w:rFonts w:hint="eastAsia" w:ascii="Times New Roman" w:hAnsi="Times New Roman"/>
          <w:color w:val="auto"/>
          <w:lang w:eastAsia="zh-CN"/>
        </w:rPr>
        <w:t>纳入10 037例头颈癌手术患者，基于美国Nationwide Inpatient Sample数据库，采用单因素分析及多因素Logistic回归筛选危险因素。结果显示，术后肺炎发生率为2.8%，贫血（OR=3.28）及慢性阻塞性肺疾病（OR=2.04）为主要危险因素，同时高血压、痴呆及部分手术方式亦与其发生相关。</w:t>
      </w:r>
      <w:r>
        <w:rPr>
          <w:rFonts w:hint="default" w:ascii="Times New Roman" w:hAnsi="Times New Roman" w:cs="Times New Roman"/>
          <w:color w:val="auto"/>
          <w:lang w:val="en-US" w:eastAsia="zh-CN"/>
        </w:rPr>
        <w:t>Che</w:t>
      </w:r>
      <w:r>
        <w:rPr>
          <w:rFonts w:hint="default" w:ascii="Times New Roman" w:hAnsi="Times New Roman" w:cs="Times New Roman"/>
          <w:color w:val="auto"/>
          <w:lang w:val="en-US" w:eastAsia="zh-CN"/>
        </w:rPr>
        <w:t>n等</w:t>
      </w:r>
      <w:r>
        <w:rPr>
          <w:rFonts w:hint="eastAsia" w:ascii="Times New Roman" w:hAnsi="Times New Roman" w:cs="Times New Roman"/>
          <w:color w:val="auto"/>
          <w:lang w:val="en-US" w:eastAsia="zh-CN"/>
        </w:rPr>
        <w:t>[9]</w:t>
      </w:r>
      <w:r>
        <w:rPr>
          <w:rFonts w:hint="default" w:ascii="Times New Roman" w:hAnsi="Times New Roman" w:cs="Times New Roman"/>
          <w:color w:val="auto"/>
          <w:lang w:val="en-US" w:eastAsia="zh-CN"/>
        </w:rPr>
        <w:t>纳入667例食管癌手术患者，采用LASSO回归筛选预测因素（包括机械通气时间及输血等），通过逻辑回归构建列线图的方法预测PPI发生率，结果显示术后肺炎发生率为9.1%，模型受试者工作特征曲线下面积（AUC）为0.8</w:t>
      </w:r>
      <w:r>
        <w:rPr>
          <w:rFonts w:hint="default" w:ascii="Times New Roman" w:hAnsi="Times New Roman" w:cs="Times New Roman"/>
          <w:color w:val="auto"/>
          <w:lang w:val="en-US" w:eastAsia="zh-CN"/>
        </w:rPr>
        <w:t>39。</w:t>
      </w:r>
      <w:r>
        <w:rPr>
          <w:rFonts w:ascii="Times New Roman" w:hAnsi="Times New Roman"/>
          <w:color w:val="auto"/>
        </w:rPr>
        <w:t>尽管现有感染预测模型已取得一定进展，但部分研究纳入的患者数据相对偏少，模型</w:t>
      </w:r>
      <w:r>
        <w:rPr>
          <w:rFonts w:hint="eastAsia" w:ascii="Times New Roman" w:hAnsi="Times New Roman"/>
          <w:color w:val="auto"/>
        </w:rPr>
        <w:t>外推性差</w:t>
      </w:r>
      <w:r>
        <w:rPr>
          <w:rFonts w:hint="eastAsia" w:ascii="Times New Roman" w:hAnsi="Times New Roman"/>
          <w:color w:val="auto"/>
          <w:lang w:eastAsia="zh-CN"/>
        </w:rPr>
        <w:t>[</w:t>
      </w:r>
      <w:r>
        <w:rPr>
          <w:rFonts w:hint="eastAsia" w:ascii="Times New Roman" w:hAnsi="Times New Roman"/>
          <w:color w:val="auto"/>
          <w:lang w:val="en-US" w:eastAsia="zh-CN"/>
        </w:rPr>
        <w:t>11</w:t>
      </w:r>
      <w:r>
        <w:rPr>
          <w:rFonts w:hint="eastAsia" w:ascii="Times New Roman" w:hAnsi="Times New Roman"/>
          <w:color w:val="auto"/>
          <w:lang w:eastAsia="zh-CN"/>
        </w:rPr>
        <w:t>]</w:t>
      </w:r>
      <w:r>
        <w:rPr>
          <w:rFonts w:ascii="Times New Roman" w:hAnsi="Times New Roman"/>
          <w:color w:val="auto"/>
        </w:rPr>
        <w:t>，且线性模型难以捕捉非线性交互作用</w:t>
      </w:r>
      <w:r>
        <w:rPr>
          <w:rFonts w:hint="eastAsia" w:ascii="Times New Roman" w:hAnsi="Times New Roman"/>
          <w:color w:val="auto"/>
          <w:lang w:eastAsia="zh-CN"/>
        </w:rPr>
        <w:t>[</w:t>
      </w:r>
      <w:r>
        <w:rPr>
          <w:rFonts w:hint="eastAsia" w:ascii="Times New Roman" w:hAnsi="Times New Roman"/>
          <w:color w:val="auto"/>
          <w:lang w:val="en-US" w:eastAsia="zh-CN"/>
        </w:rPr>
        <w:t>12</w:t>
      </w:r>
      <w:r>
        <w:rPr>
          <w:rFonts w:hint="eastAsia" w:ascii="Times New Roman" w:hAnsi="Times New Roman"/>
          <w:color w:val="auto"/>
          <w:lang w:eastAsia="zh-CN"/>
        </w:rPr>
        <w:t>]</w:t>
      </w:r>
      <w:r>
        <w:rPr>
          <w:rFonts w:ascii="Times New Roman" w:hAnsi="Times New Roman"/>
          <w:color w:val="auto"/>
        </w:rPr>
        <w:t>。近年来，机器学习（</w:t>
      </w:r>
      <w:bookmarkStart w:id="3" w:name="_Hlk217413674"/>
      <w:r>
        <w:rPr>
          <w:rFonts w:ascii="Times New Roman" w:hAnsi="Times New Roman"/>
          <w:color w:val="auto"/>
        </w:rPr>
        <w:t>Machine Learning</w:t>
      </w:r>
      <w:bookmarkEnd w:id="3"/>
      <w:r>
        <w:rPr>
          <w:rFonts w:ascii="Times New Roman" w:hAnsi="Times New Roman"/>
          <w:color w:val="auto"/>
        </w:rPr>
        <w:t>，ML）技术凭借强大的数据挖掘与复杂关系拟合能力，</w:t>
      </w:r>
      <w:r>
        <w:rPr>
          <w:rFonts w:hint="eastAsia" w:ascii="Times New Roman" w:hAnsi="Times New Roman"/>
          <w:color w:val="auto"/>
        </w:rPr>
        <w:t>在外科围手术期并发症预测领域得到广泛应用</w:t>
      </w:r>
      <w:r>
        <w:rPr>
          <w:rFonts w:hint="eastAsia" w:ascii="Times New Roman" w:hAnsi="Times New Roman"/>
          <w:color w:val="auto"/>
          <w:lang w:eastAsia="zh-CN"/>
        </w:rPr>
        <w:t>[</w:t>
      </w:r>
      <w:r>
        <w:rPr>
          <w:rFonts w:hint="eastAsia" w:ascii="Times New Roman" w:hAnsi="Times New Roman"/>
          <w:color w:val="auto"/>
          <w:lang w:val="en-US" w:eastAsia="zh-CN"/>
        </w:rPr>
        <w:t>13,14</w:t>
      </w:r>
      <w:r>
        <w:rPr>
          <w:rFonts w:hint="eastAsia" w:ascii="Times New Roman" w:hAnsi="Times New Roman"/>
          <w:color w:val="auto"/>
          <w:lang w:eastAsia="zh-CN"/>
        </w:rPr>
        <w:t>]</w:t>
      </w:r>
      <w:r>
        <w:rPr>
          <w:rFonts w:ascii="Times New Roman" w:hAnsi="Times New Roman"/>
          <w:color w:val="auto"/>
        </w:rPr>
        <w:t>。</w:t>
      </w:r>
      <w:r>
        <w:rPr>
          <w:rFonts w:hint="eastAsia" w:ascii="Times New Roman" w:hAnsi="Times New Roman"/>
          <w:color w:val="auto"/>
        </w:rPr>
        <w:t>但目前针对</w:t>
      </w:r>
      <w:r>
        <w:rPr>
          <w:rFonts w:hint="eastAsia" w:ascii="Times New Roman" w:hAnsi="Times New Roman"/>
          <w:color w:val="auto"/>
          <w:lang w:eastAsia="zh-CN"/>
        </w:rPr>
        <w:t>头颈</w:t>
      </w:r>
      <w:r>
        <w:rPr>
          <w:rFonts w:hint="eastAsia" w:ascii="Times New Roman" w:hAnsi="Times New Roman"/>
          <w:color w:val="auto"/>
        </w:rPr>
        <w:t>癌 PPI 的机器学习预测研究仍处于探索阶段，多集中于单一阶段临床特征，对于模型结果的可解释性仍较为有限。基于此，本研究构建并比较了术前和围手术期两阶段下的ML模型在预测</w:t>
      </w:r>
      <w:r>
        <w:rPr>
          <w:rFonts w:hint="eastAsia" w:ascii="Times New Roman" w:hAnsi="Times New Roman"/>
          <w:color w:val="auto"/>
          <w:lang w:eastAsia="zh-CN"/>
        </w:rPr>
        <w:t>头颈</w:t>
      </w:r>
      <w:r>
        <w:rPr>
          <w:rFonts w:hint="eastAsia" w:ascii="Times New Roman" w:hAnsi="Times New Roman"/>
          <w:color w:val="auto"/>
        </w:rPr>
        <w:t>癌PPI中的表现，并通过 SHAP 方法进行可解释性分析，为围手术期个体化风险分层和精准管理提供</w:t>
      </w:r>
      <w:r>
        <w:rPr>
          <w:rFonts w:ascii="Times New Roman" w:hAnsi="Times New Roman"/>
          <w:color w:val="auto"/>
        </w:rPr>
        <w:t>循证</w:t>
      </w:r>
      <w:r>
        <w:rPr>
          <w:rFonts w:hint="eastAsia" w:ascii="Times New Roman" w:hAnsi="Times New Roman"/>
          <w:color w:val="auto"/>
        </w:rPr>
        <w:t>依据。</w:t>
      </w:r>
      <w:bookmarkEnd w:id="2"/>
    </w:p>
    <w:p w14:paraId="1C97D082">
      <w:pPr>
        <w:pStyle w:val="2"/>
        <w:spacing w:before="156" w:after="156"/>
        <w:rPr>
          <w:rFonts w:hint="eastAsia"/>
          <w:color w:val="auto"/>
        </w:rPr>
      </w:pPr>
      <w:r>
        <w:rPr>
          <w:color w:val="auto"/>
        </w:rPr>
        <w:t>资料和方法</w:t>
      </w:r>
    </w:p>
    <w:p w14:paraId="06FEF66E">
      <w:pPr>
        <w:pStyle w:val="3"/>
        <w:spacing w:before="156" w:after="156"/>
        <w:rPr>
          <w:color w:val="auto"/>
        </w:rPr>
      </w:pPr>
      <w:r>
        <w:rPr>
          <w:color w:val="auto"/>
        </w:rPr>
        <w:t>资料收集</w:t>
      </w:r>
    </w:p>
    <w:p w14:paraId="7E408544">
      <w:pPr>
        <w:ind w:firstLine="420"/>
        <w:rPr>
          <w:rFonts w:ascii="Times New Roman" w:hAnsi="Times New Roman" w:cs="Times New Roman"/>
          <w:color w:val="auto"/>
        </w:rPr>
      </w:pPr>
      <w:r>
        <w:rPr>
          <w:rFonts w:hint="eastAsia" w:ascii="Times New Roman" w:hAnsi="Times New Roman" w:cs="Times New Roman"/>
          <w:color w:val="auto"/>
        </w:rPr>
        <w:t>本研究</w:t>
      </w:r>
      <w:r>
        <w:rPr>
          <w:rFonts w:ascii="Times New Roman" w:hAnsi="Times New Roman" w:cs="Times New Roman"/>
          <w:color w:val="auto"/>
        </w:rPr>
        <w:t>连续收集并回顾性分析了20</w:t>
      </w:r>
      <w:r>
        <w:rPr>
          <w:rFonts w:hint="eastAsia" w:ascii="Times New Roman" w:hAnsi="Times New Roman" w:cs="Times New Roman"/>
          <w:color w:val="auto"/>
          <w:lang w:val="en-US" w:eastAsia="zh-CN"/>
        </w:rPr>
        <w:t>18</w:t>
      </w:r>
      <w:r>
        <w:rPr>
          <w:rFonts w:ascii="Times New Roman" w:hAnsi="Times New Roman" w:cs="Times New Roman"/>
          <w:color w:val="auto"/>
        </w:rPr>
        <w:t>年1</w:t>
      </w:r>
      <w:r>
        <w:rPr>
          <w:rFonts w:hint="eastAsia" w:ascii="Times New Roman" w:hAnsi="Times New Roman" w:cs="Times New Roman"/>
          <w:color w:val="auto"/>
          <w:lang w:val="en-US" w:eastAsia="zh-CN"/>
        </w:rPr>
        <w:t>1</w:t>
      </w:r>
      <w:r>
        <w:rPr>
          <w:rFonts w:ascii="Times New Roman" w:hAnsi="Times New Roman" w:cs="Times New Roman"/>
          <w:color w:val="auto"/>
        </w:rPr>
        <w:t>月至2024年08月期间在中国医学科学院肿瘤医院接受手术的</w:t>
      </w:r>
      <w:r>
        <w:rPr>
          <w:rFonts w:hint="eastAsia" w:ascii="Times New Roman" w:hAnsi="Times New Roman" w:cs="Times New Roman"/>
          <w:color w:val="auto"/>
          <w:lang w:val="en-US" w:eastAsia="zh-CN"/>
        </w:rPr>
        <w:t>头颈</w:t>
      </w:r>
      <w:r>
        <w:rPr>
          <w:rFonts w:ascii="Times New Roman" w:hAnsi="Times New Roman" w:cs="Times New Roman"/>
          <w:color w:val="auto"/>
        </w:rPr>
        <w:t>癌患者的临床资料</w:t>
      </w:r>
      <w:r>
        <w:rPr>
          <w:rFonts w:hint="eastAsia" w:ascii="Times New Roman" w:hAnsi="Times New Roman" w:cs="Times New Roman"/>
          <w:color w:val="auto"/>
        </w:rPr>
        <w:t>，</w:t>
      </w:r>
      <w:r>
        <w:rPr>
          <w:rFonts w:ascii="Times New Roman" w:hAnsi="Times New Roman" w:cs="Times New Roman"/>
          <w:color w:val="auto"/>
        </w:rPr>
        <w:t>研究共</w:t>
      </w:r>
      <w:bookmarkStart w:id="4" w:name="_Hlk210980490"/>
      <w:r>
        <w:rPr>
          <w:rFonts w:hint="eastAsia" w:ascii="Times New Roman" w:hAnsi="Times New Roman" w:cs="Times New Roman"/>
          <w:color w:val="auto"/>
        </w:rPr>
        <w:t>纳入</w:t>
      </w:r>
      <w:r>
        <w:rPr>
          <w:rFonts w:ascii="Times New Roman" w:hAnsi="Times New Roman" w:cs="Times New Roman"/>
          <w:color w:val="auto"/>
        </w:rPr>
        <w:t>2</w:t>
      </w:r>
      <w:bookmarkEnd w:id="4"/>
      <w:r>
        <w:rPr>
          <w:rFonts w:hint="eastAsia" w:ascii="Times New Roman" w:hAnsi="Times New Roman" w:cs="Times New Roman"/>
          <w:color w:val="auto"/>
          <w:lang w:val="en-US" w:eastAsia="zh-CN"/>
        </w:rPr>
        <w:t>430</w:t>
      </w:r>
      <w:r>
        <w:rPr>
          <w:rFonts w:ascii="Times New Roman" w:hAnsi="Times New Roman" w:cs="Times New Roman"/>
          <w:color w:val="auto"/>
        </w:rPr>
        <w:t>名患者。纳入标准为：1.具有完整临床及随访资料的患者；2.符合</w:t>
      </w:r>
      <w:r>
        <w:rPr>
          <w:rFonts w:ascii="Times New Roman" w:hAnsi="Times New Roman" w:cs="Times New Roman"/>
          <w:color w:val="auto"/>
        </w:rPr>
        <w:t>《</w:t>
      </w:r>
      <w:r>
        <w:rPr>
          <w:rFonts w:hint="eastAsia" w:ascii="Times New Roman" w:hAnsi="Times New Roman" w:cs="Times New Roman"/>
          <w:color w:val="auto"/>
          <w:lang w:val="en-US" w:eastAsia="zh-CN"/>
        </w:rPr>
        <w:t>2025</w:t>
      </w:r>
      <w:r>
        <w:rPr>
          <w:rFonts w:hint="eastAsia" w:ascii="Times New Roman" w:hAnsi="Times New Roman" w:cs="Times New Roman"/>
          <w:color w:val="auto"/>
          <w:lang w:eastAsia="zh-CN"/>
        </w:rPr>
        <w:t>CSCO头颈部肿瘤诊疗指南</w:t>
      </w:r>
      <w:r>
        <w:rPr>
          <w:rFonts w:ascii="Times New Roman" w:hAnsi="Times New Roman" w:cs="Times New Roman"/>
          <w:color w:val="auto"/>
        </w:rPr>
        <w:t>》</w:t>
      </w:r>
      <w:r>
        <w:rPr>
          <w:rFonts w:ascii="Times New Roman" w:hAnsi="Times New Roman" w:cs="Times New Roman"/>
          <w:color w:val="auto"/>
          <w:vertAlign w:val="baseline"/>
        </w:rPr>
        <w:fldChar w:fldCharType="begin"/>
      </w:r>
      <w:r>
        <w:rPr>
          <w:rFonts w:ascii="Times New Roman" w:hAnsi="Times New Roman" w:cs="Times New Roman"/>
          <w:color w:val="auto"/>
          <w:vertAlign w:val="baseline"/>
        </w:rPr>
        <w:instrText xml:space="preserve"> ADDIN ZOTERO_ITEM CSL_CITATION {"citationID":"Zf3uNHeE","properties":{"formattedCitation":"\\super [14]\\nosupersub{}","plainCitation":"[14]","noteIndex":0},"citationItems":[{"id":1022,"uris":["http://zotero.org/users/16461411/items/7F4YXIJQ"],"itemData"</w:instrText>
      </w:r>
      <w:r>
        <w:rPr>
          <w:rFonts w:hint="eastAsia" w:ascii="Times New Roman" w:hAnsi="Times New Roman" w:cs="Times New Roman"/>
          <w:color w:val="auto"/>
          <w:vertAlign w:val="baseline"/>
        </w:rPr>
        <w:instrText xml:space="preserve">:{"id":1022,"type":"article-journal","container-title":"中华消化外科杂志","issue":"21","page":"1247-1268","title":"食管癌诊疗指南（2022 年版）","volume":"21","author":[{"family":"中华人民共和国国家卫生健康委员会医政医管局","given":""}],"issued":{"date-parts":[["2022"]]}}}],"schema":"https://git</w:instrText>
      </w:r>
      <w:r>
        <w:rPr>
          <w:rFonts w:ascii="Times New Roman" w:hAnsi="Times New Roman" w:cs="Times New Roman"/>
          <w:color w:val="auto"/>
          <w:vertAlign w:val="baseline"/>
        </w:rPr>
        <w:instrText xml:space="preserve">hub.com/citation-style-language/schema/raw/master/csl-citation.json"} </w:instrText>
      </w:r>
      <w:r>
        <w:rPr>
          <w:rFonts w:ascii="Times New Roman" w:hAnsi="Times New Roman" w:cs="Times New Roman"/>
          <w:color w:val="auto"/>
          <w:vertAlign w:val="baseline"/>
        </w:rPr>
        <w:fldChar w:fldCharType="separate"/>
      </w:r>
      <w:r>
        <w:rPr>
          <w:rFonts w:ascii="Times New Roman" w:hAnsi="Times New Roman" w:cs="Times New Roman"/>
          <w:color w:val="auto"/>
          <w:kern w:val="0"/>
          <w:vertAlign w:val="baseline"/>
        </w:rPr>
        <w:t>[14]</w:t>
      </w:r>
      <w:r>
        <w:rPr>
          <w:rFonts w:ascii="Times New Roman" w:hAnsi="Times New Roman" w:cs="Times New Roman"/>
          <w:color w:val="auto"/>
          <w:vertAlign w:val="baseline"/>
        </w:rPr>
        <w:fldChar w:fldCharType="end"/>
      </w:r>
      <w:r>
        <w:rPr>
          <w:rFonts w:ascii="Times New Roman" w:hAnsi="Times New Roman" w:cs="Times New Roman"/>
          <w:color w:val="auto"/>
        </w:rPr>
        <w:t>中所述诊断标准的患者；3.接受如</w:t>
      </w:r>
      <w:r>
        <w:rPr>
          <w:rFonts w:hint="eastAsia" w:ascii="Times New Roman" w:hAnsi="Times New Roman" w:cs="Times New Roman"/>
          <w:color w:val="auto"/>
          <w:lang w:val="en-US" w:eastAsia="zh-CN"/>
        </w:rPr>
        <w:t>喉部分</w:t>
      </w:r>
      <w:r>
        <w:rPr>
          <w:rFonts w:ascii="Times New Roman" w:hAnsi="Times New Roman" w:cs="Times New Roman"/>
          <w:color w:val="auto"/>
        </w:rPr>
        <w:t>切除术、</w:t>
      </w:r>
      <w:r>
        <w:rPr>
          <w:rFonts w:hint="eastAsia" w:ascii="Times New Roman" w:hAnsi="Times New Roman" w:cs="Times New Roman"/>
          <w:color w:val="auto"/>
          <w:lang w:val="en-US" w:eastAsia="zh-CN"/>
        </w:rPr>
        <w:t>腮腺部分</w:t>
      </w:r>
      <w:r>
        <w:rPr>
          <w:rFonts w:ascii="Times New Roman" w:hAnsi="Times New Roman" w:cs="Times New Roman"/>
          <w:color w:val="auto"/>
        </w:rPr>
        <w:t>切除术等</w:t>
      </w:r>
      <w:r>
        <w:rPr>
          <w:rFonts w:hint="eastAsia" w:ascii="Times New Roman" w:hAnsi="Times New Roman" w:cs="Times New Roman"/>
          <w:color w:val="auto"/>
          <w:lang w:eastAsia="zh-CN"/>
        </w:rPr>
        <w:t>头颈</w:t>
      </w:r>
      <w:r>
        <w:rPr>
          <w:rFonts w:ascii="Times New Roman" w:hAnsi="Times New Roman" w:cs="Times New Roman"/>
          <w:color w:val="auto"/>
        </w:rPr>
        <w:t>癌相关外科治疗手术的患者。排除标准为：1.存在认知功能及沟通障碍的患者；</w:t>
      </w:r>
      <w:r>
        <w:rPr>
          <w:rFonts w:hint="eastAsia" w:ascii="Times New Roman" w:hAnsi="Times New Roman" w:cs="Times New Roman"/>
          <w:color w:val="auto"/>
        </w:rPr>
        <w:t>2</w:t>
      </w:r>
      <w:r>
        <w:rPr>
          <w:rFonts w:ascii="Times New Roman" w:hAnsi="Times New Roman" w:cs="Times New Roman"/>
          <w:color w:val="auto"/>
        </w:rPr>
        <w:t>.有严重心、肺、肝、肾功能不全的患者；3.入院前已发生肺部感染的患者。本研究无年龄限制。本研究已获得中国医学科学院肿瘤医院伦理批准</w:t>
      </w:r>
      <w:r>
        <w:rPr>
          <w:rFonts w:hint="eastAsia" w:ascii="Times New Roman" w:hAnsi="Times New Roman" w:cs="Times New Roman"/>
          <w:color w:val="auto"/>
        </w:rPr>
        <w:t>本研究通过（批准号：NCC2024C-799）</w:t>
      </w:r>
      <w:r>
        <w:rPr>
          <w:rFonts w:ascii="Times New Roman" w:hAnsi="Times New Roman" w:cs="Times New Roman"/>
          <w:color w:val="auto"/>
        </w:rPr>
        <w:t>。所有方法均按相关指南和规定执行</w:t>
      </w:r>
      <w:r>
        <w:rPr>
          <w:rFonts w:ascii="Times New Roman" w:hAnsi="Times New Roman" w:cs="Times New Roman"/>
          <w:color w:val="auto"/>
        </w:rPr>
        <w:t>。</w:t>
      </w:r>
    </w:p>
    <w:p w14:paraId="0C458176">
      <w:pPr>
        <w:ind w:firstLine="420"/>
        <w:rPr>
          <w:rFonts w:ascii="Times New Roman" w:hAnsi="Times New Roman" w:cs="Times New Roman"/>
          <w:color w:val="auto"/>
          <w:sz w:val="24"/>
        </w:rPr>
      </w:pPr>
      <w:r>
        <w:rPr>
          <w:rFonts w:hint="eastAsia" w:ascii="Times New Roman" w:hAnsi="Times New Roman" w:cs="Times New Roman"/>
          <w:color w:val="auto"/>
        </w:rPr>
        <w:t>收集的临床变量覆盖围手术期不同阶段，包括术前、术中及术后早期因素。</w:t>
      </w:r>
      <w:r>
        <w:rPr>
          <w:rFonts w:hint="default" w:ascii="Times New Roman" w:hAnsi="Times New Roman" w:cs="Times New Roman"/>
          <w:color w:val="auto"/>
          <w:lang w:val="en-US" w:eastAsia="zh-CN"/>
        </w:rPr>
        <w:t>术前变量共 16 个，包括：性别、年龄、体重指数（body mass index，BMI）、既往头颈部疾病手术/外伤史、冠心病、外周血管病、糖尿病、吸烟史、饮酒史、术前前白蛋白（PreopPALB）、术前白蛋白（PreopALB）、术前血红蛋白（PreopHGB）、美国麻醉医师学会（American Society of Anesthesiologists，ASA）身体状态分级、术前放疗、术前化疗及术前同步放化疗（PreopConcurrentCRT）。 在围手术期全变量分析中，全部候选变量共 24 个，即在上述 16 个术前变量基础上，新增 8 个术中/术后早期变量：手术持续时间、术中输血、颈清扫、气管造瘘、术后是否入住 ICU、术后 0–3 天 CRP 峰值、是否发生非计划二次手术及是否机械通气。</w:t>
      </w:r>
      <w:r>
        <w:rPr>
          <w:rFonts w:hint="eastAsia" w:ascii="Times New Roman" w:hAnsi="Times New Roman" w:cs="Times New Roman"/>
          <w:color w:val="auto"/>
        </w:rPr>
        <w:t>结局指标为术后30天内肺部感染，诊断标准参照《医院感染诊断标准（2001版）》</w:t>
      </w:r>
      <w:r>
        <w:rPr>
          <w:rFonts w:hint="eastAsia" w:ascii="Times New Roman" w:hAnsi="Times New Roman" w:cs="Times New Roman"/>
          <w:color w:val="auto"/>
        </w:rPr>
        <w:fldChar w:fldCharType="begin"/>
      </w:r>
      <w:r>
        <w:rPr>
          <w:rFonts w:hint="eastAsia" w:ascii="Times New Roman" w:hAnsi="Times New Roman" w:cs="Times New Roman"/>
          <w:color w:val="auto"/>
        </w:rPr>
        <w:instrText xml:space="preserve"> ADDIN ZOTERO_ITEM CSL_CITATION {"citationID":"2QIqsfJ0","properties":{"formattedCitation":"\\super [15]\\nosupersub{}","plainCitation":"[15]","noteIndex":0},"citationItems":[{"id":1023,"uris":["http://zotero.org/users/16461411/items/ATK9VREK"],"itemData":{"id":1023,"type":"standard","number":"5","publisher":"中华医学杂志","title":"医院感染诊断标准（试行）","author":[{"family":"中华人民共和国卫生部","given":""}],"issued":{"date-parts":[["2001"]]}}}],"schema":"https://github.com/citation-style-language/schema/raw/master/csl-citation.json"} </w:instrText>
      </w:r>
      <w:r>
        <w:rPr>
          <w:rFonts w:hint="eastAsia" w:ascii="Times New Roman" w:hAnsi="Times New Roman" w:cs="Times New Roman"/>
          <w:color w:val="auto"/>
        </w:rPr>
        <w:fldChar w:fldCharType="separate"/>
      </w:r>
      <w:r>
        <w:rPr>
          <w:rFonts w:hint="eastAsia" w:ascii="Times New Roman" w:hAnsi="Times New Roman" w:cs="Times New Roman"/>
          <w:color w:val="auto"/>
        </w:rPr>
        <w:t>[15]</w:t>
      </w:r>
      <w:r>
        <w:rPr>
          <w:rFonts w:hint="eastAsia" w:ascii="Times New Roman" w:hAnsi="Times New Roman" w:cs="Times New Roman"/>
          <w:color w:val="auto"/>
        </w:rPr>
        <w:fldChar w:fldCharType="end"/>
      </w:r>
      <w:r>
        <w:rPr>
          <w:rFonts w:hint="eastAsia" w:ascii="Times New Roman" w:hAnsi="Times New Roman" w:cs="Times New Roman"/>
          <w:color w:val="auto"/>
        </w:rPr>
        <w:t>、《肺炎诊断》</w:t>
      </w:r>
      <w:r>
        <w:rPr>
          <w:rFonts w:hint="eastAsia" w:ascii="Times New Roman" w:hAnsi="Times New Roman" w:cs="Times New Roman"/>
          <w:color w:val="auto"/>
        </w:rPr>
        <w:fldChar w:fldCharType="begin"/>
      </w:r>
      <w:r>
        <w:rPr>
          <w:rFonts w:hint="eastAsia" w:ascii="Times New Roman" w:hAnsi="Times New Roman" w:cs="Times New Roman"/>
          <w:color w:val="auto"/>
        </w:rPr>
        <w:instrText xml:space="preserve"> ADDIN ZOTERO_ITEM CSL_CITATION {"citationID":"v7hQvMGp","properties":{"formattedCitation":"\\super [16]\\nosupersub{}","plainCitation":"[16]","noteIndex":0},"citationItems":[{"id":1024,"uris":["http://zotero.org/users/16461411/items/GV6YQKXV"],"itemData":{"id":1024,"type":"standard","number":"WS 382 - 2012","title":"肺炎诊断","author":[{"family":"中华人民共和国卫生部","given":""}]}}],"schema":"https://github.com/citation-style-language/schema/raw/master/csl-citation.json"} </w:instrText>
      </w:r>
      <w:r>
        <w:rPr>
          <w:rFonts w:hint="eastAsia" w:ascii="Times New Roman" w:hAnsi="Times New Roman" w:cs="Times New Roman"/>
          <w:color w:val="auto"/>
        </w:rPr>
        <w:fldChar w:fldCharType="separate"/>
      </w:r>
      <w:r>
        <w:rPr>
          <w:rFonts w:hint="eastAsia" w:ascii="Times New Roman" w:hAnsi="Times New Roman" w:cs="Times New Roman"/>
          <w:color w:val="auto"/>
        </w:rPr>
        <w:t>[16]</w:t>
      </w:r>
      <w:r>
        <w:rPr>
          <w:rFonts w:hint="eastAsia" w:ascii="Times New Roman" w:hAnsi="Times New Roman" w:cs="Times New Roman"/>
          <w:color w:val="auto"/>
        </w:rPr>
        <w:fldChar w:fldCharType="end"/>
      </w:r>
      <w:r>
        <w:rPr>
          <w:rFonts w:hint="eastAsia" w:ascii="Times New Roman" w:hAnsi="Times New Roman" w:cs="Times New Roman"/>
          <w:color w:val="auto"/>
        </w:rPr>
        <w:t>。</w:t>
      </w:r>
    </w:p>
    <w:p w14:paraId="618433CD">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模型构建</w:t>
      </w:r>
    </w:p>
    <w:p w14:paraId="27C4388F">
      <w:pPr>
        <w:ind w:firstLine="420"/>
        <w:rPr>
          <w:rFonts w:ascii="Times New Roman" w:hAnsi="Times New Roman" w:cs="Times New Roman"/>
          <w:color w:val="auto"/>
        </w:rPr>
      </w:pPr>
      <w:r>
        <w:rPr>
          <w:rFonts w:ascii="Times New Roman" w:hAnsi="Times New Roman" w:cs="Times New Roman"/>
          <w:color w:val="auto"/>
        </w:rPr>
        <w:t>采用Python</w:t>
      </w:r>
      <w:r>
        <w:rPr>
          <w:rFonts w:hint="eastAsia" w:ascii="Times New Roman" w:hAnsi="Times New Roman" w:cs="Times New Roman"/>
          <w:color w:val="auto"/>
        </w:rPr>
        <w:t xml:space="preserve"> </w:t>
      </w:r>
      <w:r>
        <w:rPr>
          <w:rFonts w:ascii="Times New Roman" w:hAnsi="Times New Roman" w:cs="Times New Roman"/>
          <w:color w:val="auto"/>
        </w:rPr>
        <w:t>3.8进行数据处理，确保模型稳定性：</w:t>
      </w:r>
      <w:r>
        <w:rPr>
          <w:rFonts w:ascii="Cambria Math" w:hAnsi="Cambria Math" w:cs="Cambria Math"/>
          <w:color w:val="auto"/>
        </w:rPr>
        <w:t>①</w:t>
      </w:r>
      <w:r>
        <w:rPr>
          <w:rFonts w:ascii="Times New Roman" w:hAnsi="Times New Roman" w:cs="Times New Roman"/>
          <w:color w:val="auto"/>
        </w:rPr>
        <w:t>缺失值处理：连续变量用中位数填充，分类变量用众数填充，所有变量缺失率均&lt;5%，符合机器学习建模要求；</w:t>
      </w:r>
      <w:r>
        <w:rPr>
          <w:rFonts w:ascii="Cambria Math" w:hAnsi="Cambria Math" w:cs="Cambria Math"/>
          <w:color w:val="auto"/>
        </w:rPr>
        <w:t>②</w:t>
      </w:r>
      <w:r>
        <w:rPr>
          <w:rFonts w:ascii="Times New Roman" w:hAnsi="Times New Roman" w:cs="Times New Roman"/>
          <w:color w:val="auto"/>
        </w:rPr>
        <w:t>连续变量标准化（Z-score）：消除量纲影响，避免模型过度依赖数值范围大的变量；</w:t>
      </w:r>
      <w:r>
        <w:rPr>
          <w:rFonts w:ascii="Cambria Math" w:hAnsi="Cambria Math" w:cs="Cambria Math"/>
          <w:color w:val="auto"/>
        </w:rPr>
        <w:t>③</w:t>
      </w:r>
      <w:r>
        <w:rPr>
          <w:rFonts w:ascii="Times New Roman" w:hAnsi="Times New Roman" w:cs="Times New Roman"/>
          <w:color w:val="auto"/>
        </w:rPr>
        <w:t>分类变量编码：二分类变量用0/1编码，多分类变量用序列编码；</w:t>
      </w:r>
    </w:p>
    <w:p w14:paraId="6804FE37">
      <w:pPr>
        <w:ind w:firstLine="420"/>
        <w:rPr>
          <w:rFonts w:ascii="Times New Roman" w:hAnsi="Times New Roman"/>
          <w:color w:val="auto"/>
        </w:rPr>
      </w:pPr>
      <w:r>
        <w:rPr>
          <w:rFonts w:hint="eastAsia" w:ascii="Times New Roman" w:hAnsi="Times New Roman"/>
          <w:color w:val="auto"/>
        </w:rPr>
        <w:t>本研究构建了两种不同阶段的机器学习预测模型：术前模型仅纳入术前变量，围手术期模型纳入围手术期全阶段变量，包括术前、术中及术后早期因素。研究采用分层抽样的方法，按照7∶3比例将患者随机分为训练集和测试集，保证两组样本阴阳比例均与原始数据集保持一致，</w:t>
      </w:r>
      <w:r>
        <w:rPr>
          <w:rFonts w:ascii="Times New Roman" w:hAnsi="Times New Roman"/>
          <w:color w:val="auto"/>
        </w:rPr>
        <w:t>整个特征选择的过程都在训练集进行</w:t>
      </w:r>
      <w:r>
        <w:rPr>
          <w:rFonts w:hint="eastAsia" w:ascii="Times New Roman" w:hAnsi="Times New Roman"/>
          <w:color w:val="auto"/>
        </w:rPr>
        <w:t>。首先，</w:t>
      </w:r>
      <w:r>
        <w:rPr>
          <w:rFonts w:ascii="Times New Roman" w:hAnsi="Times New Roman"/>
          <w:color w:val="auto"/>
        </w:rPr>
        <w:t>应用LASSO进行特征变量选择，保留回归系数非0的变量。然后基于最小绝对收缩与选择算子（least absolute shrinkage and selection operator</w:t>
      </w:r>
      <w:r>
        <w:rPr>
          <w:rFonts w:hint="eastAsia" w:ascii="Times New Roman" w:hAnsi="Times New Roman"/>
          <w:color w:val="auto"/>
        </w:rPr>
        <w:t>，</w:t>
      </w:r>
      <w:r>
        <w:rPr>
          <w:rFonts w:ascii="Times New Roman" w:hAnsi="Times New Roman"/>
          <w:color w:val="auto"/>
        </w:rPr>
        <w:t>LASSO）回归筛选出的特征进行相关性分析，当两个变量的</w:t>
      </w:r>
      <w:r>
        <w:rPr>
          <w:rFonts w:hint="eastAsia" w:ascii="Times New Roman" w:hAnsi="Times New Roman"/>
          <w:color w:val="auto"/>
        </w:rPr>
        <w:t>Spearman</w:t>
      </w:r>
      <w:r>
        <w:rPr>
          <w:rFonts w:ascii="Times New Roman" w:hAnsi="Times New Roman"/>
          <w:color w:val="auto"/>
        </w:rPr>
        <w:t>绝对值大于0.6，则移除</w:t>
      </w:r>
      <w:r>
        <w:rPr>
          <w:rFonts w:hint="eastAsia" w:ascii="Times New Roman" w:hAnsi="Times New Roman"/>
          <w:color w:val="auto"/>
        </w:rPr>
        <w:t>其</w:t>
      </w:r>
      <w:r>
        <w:rPr>
          <w:rFonts w:ascii="Times New Roman" w:hAnsi="Times New Roman"/>
          <w:color w:val="auto"/>
        </w:rPr>
        <w:t>中LASSO回归系数较低的变量。</w:t>
      </w:r>
      <w:r>
        <w:rPr>
          <w:rFonts w:hint="eastAsia" w:ascii="Times New Roman" w:hAnsi="Times New Roman"/>
          <w:color w:val="auto"/>
        </w:rPr>
        <w:t>进一步的</w:t>
      </w:r>
      <w:r>
        <w:rPr>
          <w:rFonts w:ascii="Times New Roman" w:hAnsi="Times New Roman"/>
          <w:color w:val="auto"/>
        </w:rPr>
        <w:t>，进行多因素logistic分析，筛选出独立预测因素。</w:t>
      </w:r>
      <w:r>
        <w:rPr>
          <w:rFonts w:hint="eastAsia" w:ascii="Times New Roman" w:hAnsi="Times New Roman"/>
          <w:color w:val="auto"/>
        </w:rPr>
        <w:t>最后，构建</w:t>
      </w:r>
      <w:r>
        <w:rPr>
          <w:rFonts w:hint="eastAsia" w:ascii="Times New Roman" w:hAnsi="Times New Roman"/>
          <w:color w:val="auto"/>
          <w:lang w:val="en-US" w:eastAsia="zh-CN"/>
        </w:rPr>
        <w:t>5</w:t>
      </w:r>
      <w:r>
        <w:rPr>
          <w:rFonts w:hint="eastAsia" w:ascii="Times New Roman" w:hAnsi="Times New Roman"/>
          <w:color w:val="auto"/>
        </w:rPr>
        <w:t>种机器学习模型用于预测分析：广义线性模型（generalized linear model, GLM）通过链接函数拓展线性回归，适配非正态结局并量化变量线性关联；随机森林（random forest, RF）以多棵随机抽样生成的决策树集成投票，降低过拟合且提升稳定性；支持向量机（support vector machine, SVM）借助核函数映射高维空间，以最优超平面实现类别划分，适配高维数据；神经网络（neural network, NNET）模拟神经元多层网络结构，通过权重更新学习复杂非线性关系；梯度增强机（gradient boosting machine, GBM）迭代优化残差构建弱学习器，以梯度下降最小化损失函数提升预测精度</w:t>
      </w:r>
      <w:r>
        <w:rPr>
          <w:rFonts w:ascii="Times New Roman" w:hAnsi="Times New Roman"/>
          <w:color w:val="auto"/>
        </w:rPr>
        <w:fldChar w:fldCharType="begin"/>
      </w:r>
      <w:r>
        <w:rPr>
          <w:rFonts w:ascii="Times New Roman" w:hAnsi="Times New Roman"/>
          <w:color w:val="auto"/>
        </w:rPr>
        <w:instrText xml:space="preserve"> ADDIN ZOTERO_ITEM CSL_CITATION {"citationID":"EVqSjTGk","properties":{"formattedCitation":"\\super [17,18]\\nosupersub{}","plainCitation":"[17,18]","noteIndex":0},"citationItems":[{"id":1037,"uris":["http://zotero.org/users/16461411/items/NJ4UQP4D"],"ite</w:instrText>
      </w:r>
      <w:r>
        <w:rPr>
          <w:rFonts w:hint="eastAsia" w:ascii="Times New Roman" w:hAnsi="Times New Roman"/>
          <w:color w:val="auto"/>
        </w:rPr>
        <w:instrText xml:space="preserve">mData":{"id":1037,"type":"article-journal","abstract":"终末期肾病(end stage renal disease,ESRD)患者持续增长，腹膜透析(peritoneal dialysis, PD)因其居家治疗的特性，为患者提供更为便捷的选择。但其引发的感染性和非感染性并发症严重影响患者生活质量和生存率。因此，准确预测PD患者并发症风险并及时干预至关重要。机器学习(machine learning,ML)构建预测模型能够预估个体患病概率，其分支深度学习(deep learning,DL)通过多层神经网络结构，能自动从原始数据中学习深层次特征，预测准确性和效率更高。本文综述了ML及其子学科的基本概念，阐述ML在PD并发症风险预测中的应用，通过总结最新研究进展，为未来PD患者并发症管理提供借鉴。","container-title":"中国血液净化","ISSN":"1671-4091","issue":"10","language":"zh-CN","note":"original-container-title: Chinese Journal of Blood Purification\nfoundation: 慢性肾脏病患者营养管理方案的构建及应用（2024029）；\nalbum: 医药卫生科技;信息科技\nCLC: TP181;R692.5\ndbcode: CJFQ\ndbname: CJFDLAST2025\nfilename: ZGJH202510009\npublicationTag: JST, CSCD\nCIF: 1.527\nAIF: 1.239","source":"CNKI","title":"机器学习在腹膜透析并发症风险预测模型中的研究进展","URL":"https://kns.cnki.net/KCMS/detail/detail.aspx?dbcode=CJFQ&amp;dbname=CJFDLAST2025&amp;filename=ZGJH202510009","volume":"24","author":[{"literal":"刘欣悦"},{"literal":"姜改英"},{"literal":"王晓娟"},{"literal":"王菊子"},{"literal":"左妙荷"},{"literal":"刘志艳"}],"accessed":{"date-parts":[["2026",3,11]]},"issued":{"date-parts":[["2025"]]}}},{"id":1038,"uris":["http://zotero.org/users/16461411/items/5UEKXKBZ"],"itemData":{"id":1038,"type":"article-journal","abstract":"机器学习作为一门源于人工智能和统计学的学科,是当前数据分析领域重点研究方向之一。首先通过追溯机器学习起源和介绍不同算法在求解策略上的启发性思路,讨论五类机器学习的发展及其主要算法在评价方法和优化方式上的实现,进一步总结归纳各算法适用领域和算法优劣,最后指出各算法克服自身缺陷的最新进展和未来实现多算法融合的研究方向。","container-title":"软件导刊","ISSN":"1672-7800","issue":"7","language":"zh-CN","note":"original-container-title: Software Guide\nalbum: 信息科技\nCLC: TP181\ndbcode: CJFQ\ndbname: CJFDLAST2019\nfilename: RJDK201907003\nCIF: 1.064\nAIF: 0.574","source":"CNKI","title":"机器学习的五大类别及其主要算法综述","URL":"https://kns.cnki.net/KCMS/detail/detail.aspx?dbcode=CJFQ&amp;dbname=CJFDLAST2019&amp;filename=RJDK201907003","volume":"18","author":[{"literal":"李旭然"},{"literal":"丁晓红"}],"accessed":{"date-parts":[["2026",3,11]]},"issued":{"date-parts":[["2019"]]}}}],"schema":"https://github.com/citation-style-language/schema/raw/master/csl-citation.json"} </w:instrText>
      </w:r>
      <w:r>
        <w:rPr>
          <w:rFonts w:ascii="Times New Roman" w:hAnsi="Times New Roman"/>
          <w:color w:val="auto"/>
        </w:rPr>
        <w:fldChar w:fldCharType="separate"/>
      </w:r>
      <w:r>
        <w:rPr>
          <w:rFonts w:ascii="Times New Roman" w:hAnsi="Times New Roman" w:cs="Times New Roman"/>
          <w:color w:val="auto"/>
          <w:kern w:val="0"/>
          <w:vertAlign w:val="superscript"/>
        </w:rPr>
        <w:t>[17,18]</w:t>
      </w:r>
      <w:r>
        <w:rPr>
          <w:rFonts w:ascii="Times New Roman" w:hAnsi="Times New Roman"/>
          <w:color w:val="auto"/>
        </w:rPr>
        <w:fldChar w:fldCharType="end"/>
      </w:r>
      <w:r>
        <w:rPr>
          <w:rFonts w:hint="eastAsia" w:ascii="Times New Roman" w:hAnsi="Times New Roman"/>
          <w:color w:val="auto"/>
        </w:rPr>
        <w:t>。本研究</w:t>
      </w:r>
      <w:r>
        <w:rPr>
          <w:rFonts w:ascii="Times New Roman" w:hAnsi="Times New Roman"/>
          <w:color w:val="auto"/>
        </w:rPr>
        <w:t>使用AUC、准确度、灵敏度、特异度和F1分数评估模型信度。</w:t>
      </w:r>
      <w:r>
        <w:rPr>
          <w:rFonts w:hint="eastAsia" w:ascii="Times New Roman" w:hAnsi="Times New Roman"/>
          <w:color w:val="auto"/>
        </w:rPr>
        <w:t>其中，AUC 为模型 100 次重复 10 折交叉验证所得的平均值。</w:t>
      </w:r>
      <w:r>
        <w:rPr>
          <w:rFonts w:ascii="Times New Roman" w:hAnsi="Times New Roman"/>
          <w:color w:val="auto"/>
        </w:rPr>
        <w:t>通过</w:t>
      </w:r>
      <w:r>
        <w:rPr>
          <w:rFonts w:hint="eastAsia" w:ascii="Times New Roman" w:hAnsi="Times New Roman"/>
          <w:color w:val="auto"/>
        </w:rPr>
        <w:t>Bootstrap进行内部验证，重复抽样1000次并重建模型，计算AUC的置信区间，以提供更可靠、更稳定的性能估计。针对表现最优的模型，采用沙普利加性解释（Shapley Additive exPlanations, SHAP）方法进行结果解读，明确关键预测因素的作用机制与贡献度。</w:t>
      </w:r>
    </w:p>
    <w:p w14:paraId="4C806932">
      <w:pPr>
        <w:ind w:firstLine="420"/>
        <w:rPr>
          <w:rFonts w:hint="eastAsia" w:ascii="Times New Roman" w:hAnsi="Times New Roman"/>
          <w:color w:val="auto"/>
        </w:rPr>
      </w:pPr>
      <w:r>
        <w:rPr>
          <w:rFonts w:hint="eastAsia" w:ascii="Times New Roman" w:hAnsi="Times New Roman"/>
          <w:color w:val="auto"/>
        </w:rPr>
        <w:t>所有统计与机器学习分析均使用 Python 3.8 完成。关键库包括用于模型构建的 Scikit-learn、用于数据预处理的 Pandas 和 NumPy，以及用于模型可解释性分析的 SHAP。所有计算均在配备 Intel Core i5-13600KF CPU 和 64 GB 内存 的 Windows 10 电脑上进行，以确保结果稳定且可复现。</w:t>
      </w:r>
    </w:p>
    <w:p w14:paraId="68DEF917">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统计学方法</w:t>
      </w:r>
    </w:p>
    <w:p w14:paraId="1B9AF9E2">
      <w:pPr>
        <w:ind w:firstLine="420"/>
        <w:rPr>
          <w:rFonts w:ascii="Times New Roman" w:hAnsi="Times New Roman" w:cs="Times New Roman"/>
          <w:color w:val="auto"/>
        </w:rPr>
      </w:pPr>
      <w:r>
        <w:rPr>
          <w:rFonts w:ascii="Times New Roman" w:hAnsi="Times New Roman" w:cs="Times New Roman"/>
          <w:color w:val="auto"/>
        </w:rPr>
        <w:t>使用SPSS</w:t>
      </w:r>
      <w:r>
        <w:rPr>
          <w:rFonts w:hint="eastAsia" w:ascii="Times New Roman" w:hAnsi="Times New Roman" w:cs="Times New Roman"/>
          <w:color w:val="auto"/>
        </w:rPr>
        <w:t xml:space="preserve"> </w:t>
      </w:r>
      <w:r>
        <w:rPr>
          <w:rFonts w:ascii="Times New Roman" w:hAnsi="Times New Roman" w:cs="Times New Roman"/>
          <w:color w:val="auto"/>
        </w:rPr>
        <w:t>26.0进行描述性统计：连续变量以“均值±标准差”或“中位数（四分位数）”表示，连续变量比较用t检验或Mann-Whitney</w:t>
      </w:r>
      <w:r>
        <w:rPr>
          <w:rFonts w:hint="eastAsia" w:ascii="Times New Roman" w:hAnsi="Times New Roman" w:cs="Times New Roman"/>
          <w:color w:val="auto"/>
        </w:rPr>
        <w:t xml:space="preserve"> </w:t>
      </w:r>
      <w:r>
        <w:rPr>
          <w:rFonts w:ascii="Times New Roman" w:hAnsi="Times New Roman" w:cs="Times New Roman"/>
          <w:color w:val="auto"/>
        </w:rPr>
        <w:t>U检验；分类变量以“例数（百分比）”表示，组间比较用χ²检验或Fisher精确检验。</w:t>
      </w:r>
      <w:r>
        <w:rPr>
          <w:rFonts w:hint="eastAsia" w:ascii="Times New Roman" w:hAnsi="Times New Roman" w:cs="Times New Roman"/>
          <w:color w:val="auto"/>
        </w:rPr>
        <w:t>模型间使用DeLong 检验。</w:t>
      </w:r>
      <w:r>
        <w:rPr>
          <w:rFonts w:ascii="Times New Roman" w:hAnsi="Times New Roman" w:cs="Times New Roman"/>
          <w:color w:val="auto"/>
        </w:rPr>
        <w:t>所有统计检验均为双侧检验，P&lt;0.05为差异有统计学意义。</w:t>
      </w:r>
    </w:p>
    <w:p w14:paraId="198A783A">
      <w:pPr>
        <w:pStyle w:val="2"/>
        <w:spacing w:before="156" w:after="156"/>
        <w:rPr>
          <w:rFonts w:hint="eastAsia" w:eastAsia="宋体"/>
          <w:color w:val="auto"/>
          <w:lang w:eastAsia="zh-CN"/>
        </w:rPr>
      </w:pPr>
      <w:r>
        <w:rPr>
          <w:rFonts w:hint="eastAsia"/>
          <w:color w:val="auto"/>
        </w:rPr>
        <w:t>结果</w:t>
      </w:r>
    </w:p>
    <w:p w14:paraId="2371200E">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患者基本特征</w:t>
      </w:r>
    </w:p>
    <w:p w14:paraId="45E78177">
      <w:pPr>
        <w:ind w:firstLine="420"/>
        <w:rPr>
          <w:rFonts w:ascii="Times New Roman" w:hAnsi="Times New Roman" w:cs="Times New Roman"/>
          <w:color w:val="auto"/>
        </w:rPr>
      </w:pPr>
      <w:r>
        <w:rPr>
          <w:rFonts w:ascii="Times New Roman" w:hAnsi="Times New Roman" w:cs="Times New Roman"/>
          <w:color w:val="auto"/>
        </w:rPr>
        <w:t>共纳入</w:t>
      </w:r>
      <w:r>
        <w:rPr>
          <w:rFonts w:hint="eastAsia" w:ascii="Times New Roman" w:hAnsi="Times New Roman" w:cs="Times New Roman"/>
          <w:color w:val="auto"/>
          <w:lang w:val="en-US" w:eastAsia="zh-CN"/>
        </w:rPr>
        <w:t>2430</w:t>
      </w:r>
      <w:r>
        <w:rPr>
          <w:rFonts w:ascii="Times New Roman" w:hAnsi="Times New Roman" w:cs="Times New Roman"/>
          <w:color w:val="auto"/>
        </w:rPr>
        <w:t>例患者，整体PPI发生率为</w:t>
      </w:r>
      <w:r>
        <w:rPr>
          <w:rFonts w:hint="eastAsia" w:ascii="Times New Roman" w:hAnsi="Times New Roman" w:cs="Times New Roman"/>
          <w:color w:val="auto"/>
          <w:lang w:val="en-US" w:eastAsia="zh-CN"/>
        </w:rPr>
        <w:t>1.77</w:t>
      </w:r>
      <w:r>
        <w:rPr>
          <w:rFonts w:ascii="Times New Roman" w:hAnsi="Times New Roman" w:cs="Times New Roman"/>
          <w:color w:val="auto"/>
        </w:rPr>
        <w:t>%。患者的人口统计学特征差异如表1所示。</w:t>
      </w:r>
    </w:p>
    <w:p w14:paraId="5D5E9DE7">
      <w:pPr>
        <w:ind w:firstLine="360"/>
        <w:jc w:val="center"/>
        <w:rPr>
          <w:rFonts w:ascii="Times New Roman" w:hAnsi="Times New Roman" w:cs="Times New Roman"/>
          <w:color w:val="auto"/>
          <w:sz w:val="18"/>
          <w:szCs w:val="20"/>
        </w:rPr>
      </w:pPr>
      <w:r>
        <w:rPr>
          <w:rFonts w:ascii="Times New Roman" w:hAnsi="Times New Roman" w:cs="Times New Roman"/>
          <w:color w:val="auto"/>
          <w:sz w:val="18"/>
          <w:szCs w:val="20"/>
        </w:rPr>
        <w:t>表1 患者的人口统计学特征差异</w:t>
      </w:r>
    </w:p>
    <w:p w14:paraId="11DC816F">
      <w:pPr>
        <w:ind w:firstLine="360"/>
        <w:jc w:val="center"/>
        <w:rPr>
          <w:rFonts w:ascii="Times New Roman" w:hAnsi="Times New Roman" w:cs="Times New Roman"/>
          <w:color w:val="auto"/>
          <w:sz w:val="18"/>
          <w:szCs w:val="20"/>
        </w:rPr>
      </w:pPr>
      <w:r>
        <w:rPr>
          <w:rFonts w:hint="eastAsia" w:ascii="Times New Roman" w:hAnsi="Times New Roman" w:cs="Times New Roman"/>
          <w:color w:val="auto"/>
          <w:sz w:val="18"/>
          <w:szCs w:val="20"/>
        </w:rPr>
        <w:t>Table 1 Differences in Demographic Characteristics of Patients</w:t>
      </w:r>
    </w:p>
    <w:tbl>
      <w:tblPr>
        <w:tblStyle w:val="2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9"/>
        <w:gridCol w:w="2142"/>
        <w:gridCol w:w="2423"/>
        <w:gridCol w:w="1295"/>
      </w:tblGrid>
      <w:tr w14:paraId="2681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vMerge w:val="restart"/>
            <w:tcBorders>
              <w:top w:val="single" w:color="000000" w:sz="12" w:space="0"/>
              <w:left w:val="nil"/>
              <w:right w:val="nil"/>
              <w:tl2br w:val="nil"/>
            </w:tcBorders>
            <w:shd w:val="clear" w:color="auto" w:fill="FFFFFF"/>
            <w:vAlign w:val="center"/>
          </w:tcPr>
          <w:p w14:paraId="535E42F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257" w:type="pct"/>
            <w:tcBorders>
              <w:top w:val="single" w:color="000000" w:sz="12" w:space="0"/>
              <w:left w:val="nil"/>
              <w:bottom w:val="single" w:color="000000" w:sz="4" w:space="0"/>
              <w:right w:val="nil"/>
            </w:tcBorders>
            <w:shd w:val="clear" w:color="auto" w:fill="FFFFFF"/>
            <w:vAlign w:val="center"/>
          </w:tcPr>
          <w:p w14:paraId="623C983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肺部感染</w:t>
            </w:r>
          </w:p>
        </w:tc>
        <w:tc>
          <w:tcPr>
            <w:tcW w:w="1422" w:type="pct"/>
            <w:tcBorders>
              <w:top w:val="single" w:color="000000" w:sz="12" w:space="0"/>
              <w:left w:val="nil"/>
              <w:bottom w:val="single" w:color="000000" w:sz="4" w:space="0"/>
              <w:right w:val="nil"/>
            </w:tcBorders>
            <w:shd w:val="clear" w:color="auto" w:fill="FFFFFF"/>
            <w:vAlign w:val="center"/>
          </w:tcPr>
          <w:p w14:paraId="49A8213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非肺部感染</w:t>
            </w:r>
          </w:p>
        </w:tc>
        <w:tc>
          <w:tcPr>
            <w:tcW w:w="760" w:type="pct"/>
            <w:vMerge w:val="restart"/>
            <w:tcBorders>
              <w:top w:val="single" w:color="000000" w:sz="12" w:space="0"/>
              <w:left w:val="nil"/>
              <w:right w:val="nil"/>
            </w:tcBorders>
            <w:shd w:val="clear" w:color="auto" w:fill="FFFFFF"/>
            <w:vAlign w:val="center"/>
          </w:tcPr>
          <w:p w14:paraId="520F0D6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P-value</w:t>
            </w:r>
          </w:p>
        </w:tc>
      </w:tr>
      <w:tr w14:paraId="004A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60" w:type="pct"/>
            <w:vMerge w:val="continue"/>
            <w:tcBorders>
              <w:left w:val="nil"/>
              <w:bottom w:val="single" w:color="auto" w:sz="4" w:space="0"/>
              <w:right w:val="nil"/>
            </w:tcBorders>
            <w:shd w:val="clear" w:color="auto" w:fill="FFFFFF"/>
            <w:vAlign w:val="center"/>
          </w:tcPr>
          <w:p w14:paraId="637DFC9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257" w:type="pct"/>
            <w:tcBorders>
              <w:top w:val="single" w:color="000000" w:sz="4" w:space="0"/>
              <w:left w:val="nil"/>
              <w:bottom w:val="single" w:color="auto" w:sz="4" w:space="0"/>
              <w:right w:val="nil"/>
            </w:tcBorders>
            <w:shd w:val="clear" w:color="auto" w:fill="FFFFFF"/>
            <w:vAlign w:val="center"/>
          </w:tcPr>
          <w:p w14:paraId="734FAFA0">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N=43</w:t>
            </w:r>
          </w:p>
        </w:tc>
        <w:tc>
          <w:tcPr>
            <w:tcW w:w="1422" w:type="pct"/>
            <w:tcBorders>
              <w:top w:val="single" w:color="000000" w:sz="4" w:space="0"/>
              <w:left w:val="nil"/>
              <w:bottom w:val="single" w:color="auto" w:sz="4" w:space="0"/>
              <w:right w:val="nil"/>
            </w:tcBorders>
            <w:shd w:val="clear" w:color="auto" w:fill="FFFFFF"/>
            <w:vAlign w:val="center"/>
          </w:tcPr>
          <w:p w14:paraId="5311829D">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N=2387</w:t>
            </w:r>
          </w:p>
        </w:tc>
        <w:tc>
          <w:tcPr>
            <w:tcW w:w="760" w:type="pct"/>
            <w:vMerge w:val="continue"/>
            <w:tcBorders>
              <w:left w:val="nil"/>
              <w:bottom w:val="single" w:color="auto" w:sz="4" w:space="0"/>
              <w:right w:val="nil"/>
            </w:tcBorders>
            <w:shd w:val="clear" w:color="auto" w:fill="FFFFFF"/>
            <w:vAlign w:val="center"/>
          </w:tcPr>
          <w:p w14:paraId="61CC93A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7A0B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60" w:type="pct"/>
            <w:tcBorders>
              <w:top w:val="single" w:color="auto" w:sz="4" w:space="0"/>
              <w:left w:val="nil"/>
              <w:bottom w:val="single" w:color="auto" w:sz="4" w:space="0"/>
              <w:right w:val="nil"/>
            </w:tcBorders>
            <w:shd w:val="clear" w:color="auto" w:fill="auto"/>
            <w:vAlign w:val="center"/>
          </w:tcPr>
          <w:p w14:paraId="4089D13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Sex</w:t>
            </w:r>
          </w:p>
        </w:tc>
        <w:tc>
          <w:tcPr>
            <w:tcW w:w="1257" w:type="pct"/>
            <w:tcBorders>
              <w:top w:val="single" w:color="auto" w:sz="4" w:space="0"/>
              <w:left w:val="nil"/>
              <w:bottom w:val="nil"/>
              <w:right w:val="nil"/>
            </w:tcBorders>
            <w:shd w:val="clear" w:color="auto" w:fill="FFFFFF"/>
            <w:vAlign w:val="center"/>
          </w:tcPr>
          <w:p w14:paraId="022D2E8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1A5E2A8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2992A68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4637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60" w:type="pct"/>
            <w:tcBorders>
              <w:top w:val="single" w:color="auto" w:sz="4" w:space="0"/>
              <w:left w:val="nil"/>
              <w:bottom w:val="nil"/>
              <w:right w:val="nil"/>
            </w:tcBorders>
            <w:shd w:val="clear" w:color="auto" w:fill="FFFFFF"/>
            <w:vAlign w:val="center"/>
          </w:tcPr>
          <w:p w14:paraId="2A51C865">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Male</w:t>
            </w:r>
          </w:p>
        </w:tc>
        <w:tc>
          <w:tcPr>
            <w:tcW w:w="1257" w:type="pct"/>
            <w:tcBorders>
              <w:top w:val="nil"/>
              <w:left w:val="nil"/>
              <w:bottom w:val="nil"/>
              <w:right w:val="nil"/>
            </w:tcBorders>
            <w:shd w:val="clear" w:color="auto" w:fill="FFFFFF"/>
            <w:vAlign w:val="center"/>
          </w:tcPr>
          <w:p w14:paraId="1E81821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34 (79.1%)</w:t>
            </w:r>
          </w:p>
        </w:tc>
        <w:tc>
          <w:tcPr>
            <w:tcW w:w="1422" w:type="pct"/>
            <w:tcBorders>
              <w:top w:val="nil"/>
              <w:left w:val="nil"/>
              <w:bottom w:val="nil"/>
              <w:right w:val="nil"/>
            </w:tcBorders>
            <w:shd w:val="clear" w:color="auto" w:fill="FFFFFF"/>
            <w:vAlign w:val="center"/>
          </w:tcPr>
          <w:p w14:paraId="6967829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1676 (70.2%)</w:t>
            </w:r>
          </w:p>
        </w:tc>
        <w:tc>
          <w:tcPr>
            <w:tcW w:w="760" w:type="pct"/>
            <w:tcBorders>
              <w:top w:val="nil"/>
              <w:left w:val="nil"/>
              <w:bottom w:val="nil"/>
              <w:right w:val="nil"/>
            </w:tcBorders>
            <w:shd w:val="clear" w:color="auto" w:fill="FFFFFF"/>
            <w:vAlign w:val="center"/>
          </w:tcPr>
          <w:p w14:paraId="4308DDF3">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0.207</w:t>
            </w:r>
          </w:p>
        </w:tc>
      </w:tr>
      <w:tr w14:paraId="64C1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single" w:color="auto" w:sz="4" w:space="0"/>
              <w:right w:val="nil"/>
            </w:tcBorders>
            <w:shd w:val="clear" w:color="auto" w:fill="FFFFFF"/>
            <w:vAlign w:val="center"/>
          </w:tcPr>
          <w:p w14:paraId="5D5B5BFD">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Female</w:t>
            </w:r>
          </w:p>
        </w:tc>
        <w:tc>
          <w:tcPr>
            <w:tcW w:w="1257" w:type="pct"/>
            <w:tcBorders>
              <w:top w:val="nil"/>
              <w:left w:val="nil"/>
              <w:bottom w:val="single" w:color="auto" w:sz="4" w:space="0"/>
              <w:right w:val="nil"/>
            </w:tcBorders>
            <w:shd w:val="clear" w:color="auto" w:fill="FFFFFF"/>
            <w:vAlign w:val="center"/>
          </w:tcPr>
          <w:p w14:paraId="14E4EDF3">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9 (20.9%)</w:t>
            </w:r>
          </w:p>
        </w:tc>
        <w:tc>
          <w:tcPr>
            <w:tcW w:w="1422" w:type="pct"/>
            <w:tcBorders>
              <w:top w:val="nil"/>
              <w:left w:val="nil"/>
              <w:bottom w:val="single" w:color="auto" w:sz="4" w:space="0"/>
              <w:right w:val="nil"/>
            </w:tcBorders>
            <w:shd w:val="clear" w:color="auto" w:fill="FFFFFF"/>
            <w:vAlign w:val="center"/>
          </w:tcPr>
          <w:p w14:paraId="2D89527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711 (29.8%)</w:t>
            </w:r>
          </w:p>
        </w:tc>
        <w:tc>
          <w:tcPr>
            <w:tcW w:w="760" w:type="pct"/>
            <w:tcBorders>
              <w:top w:val="nil"/>
              <w:left w:val="nil"/>
              <w:bottom w:val="single" w:color="auto" w:sz="4" w:space="0"/>
              <w:right w:val="nil"/>
            </w:tcBorders>
            <w:shd w:val="clear" w:color="auto" w:fill="FFFFFF"/>
            <w:vAlign w:val="center"/>
          </w:tcPr>
          <w:p w14:paraId="082DEBF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56C0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60" w:type="pct"/>
            <w:tcBorders>
              <w:top w:val="nil"/>
              <w:left w:val="nil"/>
              <w:bottom w:val="single" w:color="auto" w:sz="4" w:space="0"/>
              <w:right w:val="nil"/>
            </w:tcBorders>
            <w:shd w:val="clear" w:color="auto" w:fill="auto"/>
            <w:vAlign w:val="center"/>
          </w:tcPr>
          <w:p w14:paraId="6E130ECB">
            <w:pPr>
              <w:spacing w:line="240" w:lineRule="auto"/>
              <w:ind w:firstLine="320"/>
              <w:jc w:val="center"/>
              <w:rPr>
                <w:rFonts w:hint="eastAsia" w:ascii="Times New Roman" w:hAnsi="Times New Roman" w:cs="Times New Roman"/>
                <w:b/>
                <w:bCs/>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Age</w:t>
            </w:r>
          </w:p>
        </w:tc>
        <w:tc>
          <w:tcPr>
            <w:tcW w:w="1257" w:type="pct"/>
            <w:tcBorders>
              <w:top w:val="nil"/>
              <w:left w:val="nil"/>
              <w:bottom w:val="single" w:color="auto" w:sz="4" w:space="0"/>
              <w:right w:val="nil"/>
            </w:tcBorders>
            <w:shd w:val="clear" w:color="auto" w:fill="FFFFFF"/>
            <w:vAlign w:val="center"/>
          </w:tcPr>
          <w:p w14:paraId="67FB02A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57.84 ± 8.92</w:t>
            </w:r>
          </w:p>
        </w:tc>
        <w:tc>
          <w:tcPr>
            <w:tcW w:w="1422" w:type="pct"/>
            <w:tcBorders>
              <w:top w:val="nil"/>
              <w:left w:val="nil"/>
              <w:bottom w:val="single" w:color="auto" w:sz="4" w:space="0"/>
              <w:right w:val="nil"/>
            </w:tcBorders>
            <w:shd w:val="clear" w:color="auto" w:fill="FFFFFF"/>
            <w:vAlign w:val="center"/>
          </w:tcPr>
          <w:p w14:paraId="150F57A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57.07 ± 12.21</w:t>
            </w:r>
          </w:p>
        </w:tc>
        <w:tc>
          <w:tcPr>
            <w:tcW w:w="760" w:type="pct"/>
            <w:tcBorders>
              <w:top w:val="nil"/>
              <w:left w:val="nil"/>
              <w:bottom w:val="single" w:color="auto" w:sz="4" w:space="0"/>
              <w:right w:val="nil"/>
            </w:tcBorders>
            <w:shd w:val="clear" w:color="auto" w:fill="FFFFFF"/>
            <w:vAlign w:val="center"/>
          </w:tcPr>
          <w:p w14:paraId="6CAB3AF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0.582</w:t>
            </w:r>
          </w:p>
        </w:tc>
      </w:tr>
      <w:tr w14:paraId="2527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single" w:color="auto" w:sz="4" w:space="0"/>
              <w:right w:val="nil"/>
            </w:tcBorders>
            <w:shd w:val="clear" w:color="auto" w:fill="auto"/>
            <w:vAlign w:val="center"/>
          </w:tcPr>
          <w:p w14:paraId="6C28E562">
            <w:pPr>
              <w:spacing w:line="240" w:lineRule="auto"/>
              <w:ind w:firstLine="320"/>
              <w:jc w:val="center"/>
              <w:rPr>
                <w:rFonts w:hint="eastAsia" w:ascii="Times New Roman" w:hAnsi="Times New Roman" w:cs="Times New Roman"/>
                <w:b/>
                <w:bCs/>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BMI</w:t>
            </w:r>
          </w:p>
        </w:tc>
        <w:tc>
          <w:tcPr>
            <w:tcW w:w="1257" w:type="pct"/>
            <w:tcBorders>
              <w:top w:val="nil"/>
              <w:left w:val="nil"/>
              <w:bottom w:val="single" w:color="auto" w:sz="4" w:space="0"/>
              <w:right w:val="nil"/>
            </w:tcBorders>
            <w:shd w:val="clear" w:color="auto" w:fill="FFFFFF"/>
            <w:vAlign w:val="center"/>
          </w:tcPr>
          <w:p w14:paraId="6F71BF1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22.97 ± 3.15</w:t>
            </w:r>
          </w:p>
        </w:tc>
        <w:tc>
          <w:tcPr>
            <w:tcW w:w="1422" w:type="pct"/>
            <w:tcBorders>
              <w:top w:val="nil"/>
              <w:left w:val="nil"/>
              <w:bottom w:val="single" w:color="auto" w:sz="4" w:space="0"/>
              <w:right w:val="nil"/>
            </w:tcBorders>
            <w:shd w:val="clear" w:color="auto" w:fill="FFFFFF"/>
            <w:vAlign w:val="center"/>
          </w:tcPr>
          <w:p w14:paraId="460B43F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23.86 ± 3.50</w:t>
            </w:r>
          </w:p>
        </w:tc>
        <w:tc>
          <w:tcPr>
            <w:tcW w:w="760" w:type="pct"/>
            <w:tcBorders>
              <w:top w:val="nil"/>
              <w:left w:val="nil"/>
              <w:bottom w:val="single" w:color="auto" w:sz="4" w:space="0"/>
              <w:right w:val="nil"/>
            </w:tcBorders>
            <w:shd w:val="clear" w:color="auto" w:fill="FFFFFF"/>
            <w:vAlign w:val="center"/>
          </w:tcPr>
          <w:p w14:paraId="1CCCE996">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0.076</w:t>
            </w:r>
          </w:p>
        </w:tc>
      </w:tr>
      <w:tr w14:paraId="343F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auto"/>
            <w:vAlign w:val="center"/>
          </w:tcPr>
          <w:p w14:paraId="5E010064">
            <w:pPr>
              <w:spacing w:line="240" w:lineRule="auto"/>
              <w:ind w:firstLine="320"/>
              <w:jc w:val="center"/>
              <w:rPr>
                <w:rFonts w:hint="eastAsia" w:ascii="Times New Roman" w:hAnsi="Times New Roman" w:cs="Times New Roman"/>
                <w:b/>
                <w:bCs/>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PriorHeadNeckHistory</w:t>
            </w:r>
          </w:p>
        </w:tc>
        <w:tc>
          <w:tcPr>
            <w:tcW w:w="1257" w:type="pct"/>
            <w:tcBorders>
              <w:top w:val="single" w:color="auto" w:sz="4" w:space="0"/>
              <w:left w:val="nil"/>
              <w:bottom w:val="nil"/>
              <w:right w:val="nil"/>
            </w:tcBorders>
            <w:shd w:val="clear" w:color="auto" w:fill="FFFFFF"/>
            <w:vAlign w:val="center"/>
          </w:tcPr>
          <w:p w14:paraId="6778EFC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2594151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3CF8EA3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2BCB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nil"/>
              <w:right w:val="nil"/>
            </w:tcBorders>
            <w:shd w:val="clear" w:color="auto" w:fill="FFFFFF"/>
            <w:vAlign w:val="center"/>
          </w:tcPr>
          <w:p w14:paraId="75E62CF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1A5930D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29 (67.4%)</w:t>
            </w:r>
          </w:p>
        </w:tc>
        <w:tc>
          <w:tcPr>
            <w:tcW w:w="1422" w:type="pct"/>
            <w:tcBorders>
              <w:top w:val="nil"/>
              <w:left w:val="nil"/>
              <w:bottom w:val="nil"/>
              <w:right w:val="nil"/>
            </w:tcBorders>
            <w:shd w:val="clear" w:color="auto" w:fill="FFFFFF"/>
            <w:vAlign w:val="center"/>
          </w:tcPr>
          <w:p w14:paraId="6AB2974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1549 (64.9%)</w:t>
            </w:r>
          </w:p>
        </w:tc>
        <w:tc>
          <w:tcPr>
            <w:tcW w:w="760" w:type="pct"/>
            <w:tcBorders>
              <w:top w:val="nil"/>
              <w:left w:val="nil"/>
              <w:bottom w:val="nil"/>
              <w:right w:val="nil"/>
            </w:tcBorders>
            <w:shd w:val="clear" w:color="auto" w:fill="FFFFFF"/>
            <w:vAlign w:val="center"/>
          </w:tcPr>
          <w:p w14:paraId="606207A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0.728</w:t>
            </w:r>
          </w:p>
        </w:tc>
      </w:tr>
      <w:tr w14:paraId="66FBE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nil"/>
              <w:right w:val="nil"/>
            </w:tcBorders>
            <w:shd w:val="clear" w:color="auto" w:fill="FFFFFF"/>
            <w:vAlign w:val="center"/>
          </w:tcPr>
          <w:p w14:paraId="42049A43">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nil"/>
              <w:right w:val="nil"/>
            </w:tcBorders>
            <w:shd w:val="clear" w:color="auto" w:fill="FFFFFF"/>
            <w:vAlign w:val="center"/>
          </w:tcPr>
          <w:p w14:paraId="459EDB93">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14 (32.6%)</w:t>
            </w:r>
          </w:p>
        </w:tc>
        <w:tc>
          <w:tcPr>
            <w:tcW w:w="1422" w:type="pct"/>
            <w:tcBorders>
              <w:top w:val="nil"/>
              <w:left w:val="nil"/>
              <w:bottom w:val="nil"/>
              <w:right w:val="nil"/>
            </w:tcBorders>
            <w:shd w:val="clear" w:color="auto" w:fill="FFFFFF"/>
            <w:vAlign w:val="center"/>
          </w:tcPr>
          <w:p w14:paraId="7A5A6B1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838 (35.1%)</w:t>
            </w:r>
          </w:p>
        </w:tc>
        <w:tc>
          <w:tcPr>
            <w:tcW w:w="760" w:type="pct"/>
            <w:tcBorders>
              <w:top w:val="nil"/>
              <w:left w:val="nil"/>
              <w:bottom w:val="nil"/>
              <w:right w:val="nil"/>
            </w:tcBorders>
            <w:shd w:val="clear" w:color="auto" w:fill="FFFFFF"/>
            <w:vAlign w:val="center"/>
          </w:tcPr>
          <w:p w14:paraId="79CA751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7659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auto"/>
            <w:vAlign w:val="center"/>
          </w:tcPr>
          <w:p w14:paraId="6D10DAB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CoronaryHeartDisease</w:t>
            </w:r>
          </w:p>
        </w:tc>
        <w:tc>
          <w:tcPr>
            <w:tcW w:w="1257" w:type="pct"/>
            <w:tcBorders>
              <w:top w:val="single" w:color="auto" w:sz="4" w:space="0"/>
              <w:left w:val="nil"/>
              <w:bottom w:val="nil"/>
              <w:right w:val="nil"/>
            </w:tcBorders>
            <w:shd w:val="clear" w:color="auto" w:fill="FFFFFF"/>
            <w:vAlign w:val="center"/>
          </w:tcPr>
          <w:p w14:paraId="3AA4CE7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5F90A50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4B1817E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5973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60" w:type="pct"/>
            <w:tcBorders>
              <w:top w:val="single" w:color="auto" w:sz="4" w:space="0"/>
              <w:left w:val="nil"/>
              <w:bottom w:val="nil"/>
              <w:right w:val="nil"/>
            </w:tcBorders>
            <w:shd w:val="clear" w:color="auto" w:fill="FFFFFF"/>
            <w:vAlign w:val="center"/>
          </w:tcPr>
          <w:p w14:paraId="648026A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2358BF3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41 (95.3%)</w:t>
            </w:r>
          </w:p>
        </w:tc>
        <w:tc>
          <w:tcPr>
            <w:tcW w:w="1422" w:type="pct"/>
            <w:tcBorders>
              <w:top w:val="nil"/>
              <w:left w:val="nil"/>
              <w:bottom w:val="nil"/>
              <w:right w:val="nil"/>
            </w:tcBorders>
            <w:shd w:val="clear" w:color="auto" w:fill="FFFFFF"/>
            <w:vAlign w:val="center"/>
          </w:tcPr>
          <w:p w14:paraId="1EADAC2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2267 (95.0%)</w:t>
            </w:r>
          </w:p>
        </w:tc>
        <w:tc>
          <w:tcPr>
            <w:tcW w:w="760" w:type="pct"/>
            <w:tcBorders>
              <w:top w:val="nil"/>
              <w:left w:val="nil"/>
              <w:bottom w:val="nil"/>
              <w:right w:val="nil"/>
            </w:tcBorders>
            <w:shd w:val="clear" w:color="auto" w:fill="FFFFFF"/>
            <w:vAlign w:val="center"/>
          </w:tcPr>
          <w:p w14:paraId="07B22CF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0.911</w:t>
            </w:r>
          </w:p>
        </w:tc>
      </w:tr>
      <w:tr w14:paraId="7582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single" w:color="auto" w:sz="4" w:space="0"/>
              <w:right w:val="nil"/>
            </w:tcBorders>
            <w:shd w:val="clear" w:color="auto" w:fill="FFFFFF"/>
            <w:vAlign w:val="center"/>
          </w:tcPr>
          <w:p w14:paraId="42565BF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single" w:color="auto" w:sz="4" w:space="0"/>
              <w:right w:val="nil"/>
            </w:tcBorders>
            <w:shd w:val="clear" w:color="auto" w:fill="FFFFFF"/>
            <w:vAlign w:val="center"/>
          </w:tcPr>
          <w:p w14:paraId="06134EC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 (4.7%)</w:t>
            </w:r>
          </w:p>
        </w:tc>
        <w:tc>
          <w:tcPr>
            <w:tcW w:w="1422" w:type="pct"/>
            <w:tcBorders>
              <w:top w:val="nil"/>
              <w:left w:val="nil"/>
              <w:bottom w:val="single" w:color="auto" w:sz="4" w:space="0"/>
              <w:right w:val="nil"/>
            </w:tcBorders>
            <w:shd w:val="clear" w:color="auto" w:fill="FFFFFF"/>
            <w:vAlign w:val="center"/>
          </w:tcPr>
          <w:p w14:paraId="2DC2E52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120 (5.0%)</w:t>
            </w:r>
          </w:p>
        </w:tc>
        <w:tc>
          <w:tcPr>
            <w:tcW w:w="760" w:type="pct"/>
            <w:tcBorders>
              <w:top w:val="nil"/>
              <w:left w:val="nil"/>
              <w:bottom w:val="single" w:color="auto" w:sz="4" w:space="0"/>
              <w:right w:val="nil"/>
            </w:tcBorders>
            <w:shd w:val="clear" w:color="auto" w:fill="FFFFFF"/>
            <w:vAlign w:val="center"/>
          </w:tcPr>
          <w:p w14:paraId="28DE5C2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6EA4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auto"/>
            <w:vAlign w:val="center"/>
          </w:tcPr>
          <w:p w14:paraId="2FE51CA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PeripheralVascularDisease</w:t>
            </w:r>
          </w:p>
        </w:tc>
        <w:tc>
          <w:tcPr>
            <w:tcW w:w="1257" w:type="pct"/>
            <w:tcBorders>
              <w:top w:val="single" w:color="auto" w:sz="4" w:space="0"/>
              <w:left w:val="nil"/>
              <w:bottom w:val="nil"/>
              <w:right w:val="nil"/>
            </w:tcBorders>
            <w:shd w:val="clear" w:color="auto" w:fill="FFFFFF"/>
            <w:vAlign w:val="center"/>
          </w:tcPr>
          <w:p w14:paraId="0388D2A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33068CB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1D52055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6C28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nil"/>
              <w:right w:val="nil"/>
            </w:tcBorders>
            <w:shd w:val="clear" w:color="auto" w:fill="FFFFFF"/>
            <w:vAlign w:val="center"/>
          </w:tcPr>
          <w:p w14:paraId="2B7659F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76663DA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42 (97.7%)</w:t>
            </w:r>
          </w:p>
        </w:tc>
        <w:tc>
          <w:tcPr>
            <w:tcW w:w="1422" w:type="pct"/>
            <w:tcBorders>
              <w:top w:val="nil"/>
              <w:left w:val="nil"/>
              <w:bottom w:val="nil"/>
              <w:right w:val="nil"/>
            </w:tcBorders>
            <w:shd w:val="clear" w:color="auto" w:fill="FFFFFF"/>
            <w:vAlign w:val="center"/>
          </w:tcPr>
          <w:p w14:paraId="4B58499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2358 (98.8%)</w:t>
            </w:r>
          </w:p>
        </w:tc>
        <w:tc>
          <w:tcPr>
            <w:tcW w:w="760" w:type="pct"/>
            <w:tcBorders>
              <w:top w:val="nil"/>
              <w:left w:val="nil"/>
              <w:bottom w:val="nil"/>
              <w:right w:val="nil"/>
            </w:tcBorders>
            <w:shd w:val="clear" w:color="auto" w:fill="FFFFFF"/>
            <w:vAlign w:val="center"/>
          </w:tcPr>
          <w:p w14:paraId="150B437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0.513</w:t>
            </w:r>
          </w:p>
        </w:tc>
      </w:tr>
      <w:tr w14:paraId="70E8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single" w:color="auto" w:sz="4" w:space="0"/>
              <w:right w:val="nil"/>
            </w:tcBorders>
            <w:shd w:val="clear" w:color="auto" w:fill="FFFFFF"/>
            <w:vAlign w:val="center"/>
          </w:tcPr>
          <w:p w14:paraId="64E5AC4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single" w:color="auto" w:sz="4" w:space="0"/>
              <w:right w:val="nil"/>
            </w:tcBorders>
            <w:shd w:val="clear" w:color="auto" w:fill="FFFFFF"/>
            <w:vAlign w:val="center"/>
          </w:tcPr>
          <w:p w14:paraId="5A0F4CC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 (2.3%)</w:t>
            </w:r>
          </w:p>
        </w:tc>
        <w:tc>
          <w:tcPr>
            <w:tcW w:w="1422" w:type="pct"/>
            <w:tcBorders>
              <w:top w:val="nil"/>
              <w:left w:val="nil"/>
              <w:bottom w:val="single" w:color="auto" w:sz="4" w:space="0"/>
              <w:right w:val="nil"/>
            </w:tcBorders>
            <w:shd w:val="clear" w:color="auto" w:fill="FFFFFF"/>
            <w:vAlign w:val="center"/>
          </w:tcPr>
          <w:p w14:paraId="18023DF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29 (1.2%)</w:t>
            </w:r>
          </w:p>
        </w:tc>
        <w:tc>
          <w:tcPr>
            <w:tcW w:w="760" w:type="pct"/>
            <w:tcBorders>
              <w:top w:val="nil"/>
              <w:left w:val="nil"/>
              <w:bottom w:val="nil"/>
              <w:right w:val="nil"/>
            </w:tcBorders>
            <w:shd w:val="clear" w:color="auto" w:fill="FFFFFF"/>
            <w:vAlign w:val="center"/>
          </w:tcPr>
          <w:p w14:paraId="291049B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0371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1FA41D8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Diabetes</w:t>
            </w:r>
          </w:p>
        </w:tc>
        <w:tc>
          <w:tcPr>
            <w:tcW w:w="1257" w:type="pct"/>
            <w:tcBorders>
              <w:top w:val="single" w:color="auto" w:sz="4" w:space="0"/>
              <w:left w:val="nil"/>
              <w:bottom w:val="nil"/>
              <w:right w:val="nil"/>
            </w:tcBorders>
            <w:shd w:val="clear" w:color="auto" w:fill="FFFFFF"/>
            <w:vAlign w:val="center"/>
          </w:tcPr>
          <w:p w14:paraId="760E223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2182" w:type="pct"/>
            <w:gridSpan w:val="2"/>
            <w:tcBorders>
              <w:top w:val="single" w:color="auto" w:sz="4" w:space="0"/>
              <w:left w:val="nil"/>
              <w:bottom w:val="nil"/>
              <w:right w:val="nil"/>
            </w:tcBorders>
            <w:shd w:val="clear" w:color="auto" w:fill="FFFFFF"/>
            <w:vAlign w:val="center"/>
          </w:tcPr>
          <w:p w14:paraId="17431463">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2DE9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nil"/>
              <w:right w:val="nil"/>
            </w:tcBorders>
            <w:shd w:val="clear" w:color="auto" w:fill="FFFFFF"/>
            <w:vAlign w:val="center"/>
          </w:tcPr>
          <w:p w14:paraId="4181271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12C5D7D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34 (79.1%)</w:t>
            </w:r>
          </w:p>
        </w:tc>
        <w:tc>
          <w:tcPr>
            <w:tcW w:w="1422" w:type="pct"/>
            <w:tcBorders>
              <w:top w:val="nil"/>
              <w:left w:val="nil"/>
              <w:bottom w:val="nil"/>
              <w:right w:val="nil"/>
            </w:tcBorders>
            <w:shd w:val="clear" w:color="auto" w:fill="FFFFFF"/>
            <w:vAlign w:val="center"/>
          </w:tcPr>
          <w:p w14:paraId="4AF6A40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2118 (88.7%)</w:t>
            </w:r>
          </w:p>
        </w:tc>
        <w:tc>
          <w:tcPr>
            <w:tcW w:w="760" w:type="pct"/>
            <w:tcBorders>
              <w:top w:val="nil"/>
              <w:left w:val="nil"/>
              <w:bottom w:val="nil"/>
              <w:right w:val="nil"/>
            </w:tcBorders>
            <w:shd w:val="clear" w:color="auto" w:fill="FFFFFF"/>
            <w:vAlign w:val="center"/>
          </w:tcPr>
          <w:p w14:paraId="72FEA41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0.049</w:t>
            </w:r>
          </w:p>
        </w:tc>
      </w:tr>
      <w:tr w14:paraId="051B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single" w:color="auto" w:sz="4" w:space="0"/>
              <w:right w:val="nil"/>
            </w:tcBorders>
            <w:shd w:val="clear" w:color="auto" w:fill="FFFFFF"/>
            <w:vAlign w:val="center"/>
          </w:tcPr>
          <w:p w14:paraId="7C3CFEA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single" w:color="auto" w:sz="4" w:space="0"/>
              <w:right w:val="nil"/>
            </w:tcBorders>
            <w:shd w:val="clear" w:color="auto" w:fill="FFFFFF"/>
            <w:vAlign w:val="center"/>
          </w:tcPr>
          <w:p w14:paraId="4B02EB5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9 (20.9%)</w:t>
            </w:r>
          </w:p>
        </w:tc>
        <w:tc>
          <w:tcPr>
            <w:tcW w:w="1422" w:type="pct"/>
            <w:tcBorders>
              <w:top w:val="nil"/>
              <w:left w:val="nil"/>
              <w:bottom w:val="single" w:color="auto" w:sz="4" w:space="0"/>
              <w:right w:val="nil"/>
            </w:tcBorders>
            <w:shd w:val="clear" w:color="auto" w:fill="FFFFFF"/>
            <w:vAlign w:val="center"/>
          </w:tcPr>
          <w:p w14:paraId="4A0B674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269 (11.3%)</w:t>
            </w:r>
          </w:p>
        </w:tc>
        <w:tc>
          <w:tcPr>
            <w:tcW w:w="760" w:type="pct"/>
            <w:tcBorders>
              <w:top w:val="nil"/>
              <w:left w:val="nil"/>
              <w:bottom w:val="single" w:color="auto" w:sz="4" w:space="0"/>
              <w:right w:val="nil"/>
            </w:tcBorders>
            <w:shd w:val="clear" w:color="auto" w:fill="FFFFFF"/>
            <w:vAlign w:val="center"/>
          </w:tcPr>
          <w:p w14:paraId="3287217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237E2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06EEBB9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SmokingHistory</w:t>
            </w:r>
          </w:p>
        </w:tc>
        <w:tc>
          <w:tcPr>
            <w:tcW w:w="1257" w:type="pct"/>
            <w:tcBorders>
              <w:top w:val="single" w:color="auto" w:sz="4" w:space="0"/>
              <w:left w:val="nil"/>
              <w:bottom w:val="nil"/>
              <w:right w:val="nil"/>
            </w:tcBorders>
            <w:shd w:val="clear" w:color="auto" w:fill="FFFFFF"/>
            <w:vAlign w:val="center"/>
          </w:tcPr>
          <w:p w14:paraId="0F9F555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6E98C683">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7604715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7BB2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nil"/>
              <w:right w:val="nil"/>
            </w:tcBorders>
            <w:shd w:val="clear" w:color="auto" w:fill="FFFFFF"/>
            <w:vAlign w:val="center"/>
          </w:tcPr>
          <w:p w14:paraId="395E429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702DBA0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20 (46.5%)</w:t>
            </w:r>
          </w:p>
        </w:tc>
        <w:tc>
          <w:tcPr>
            <w:tcW w:w="1422" w:type="pct"/>
            <w:tcBorders>
              <w:top w:val="nil"/>
              <w:left w:val="nil"/>
              <w:bottom w:val="nil"/>
              <w:right w:val="nil"/>
            </w:tcBorders>
            <w:shd w:val="clear" w:color="auto" w:fill="FFFFFF"/>
            <w:vAlign w:val="center"/>
          </w:tcPr>
          <w:p w14:paraId="25458AB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1246 (52.2%)</w:t>
            </w:r>
          </w:p>
        </w:tc>
        <w:tc>
          <w:tcPr>
            <w:tcW w:w="760" w:type="pct"/>
            <w:tcBorders>
              <w:top w:val="nil"/>
              <w:left w:val="nil"/>
              <w:bottom w:val="nil"/>
              <w:right w:val="nil"/>
            </w:tcBorders>
            <w:shd w:val="clear" w:color="auto" w:fill="FFFFFF"/>
            <w:vAlign w:val="center"/>
          </w:tcPr>
          <w:p w14:paraId="77E7339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0.459</w:t>
            </w:r>
          </w:p>
        </w:tc>
      </w:tr>
      <w:tr w14:paraId="0A51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single" w:color="auto" w:sz="4" w:space="0"/>
              <w:right w:val="nil"/>
            </w:tcBorders>
            <w:shd w:val="clear" w:color="auto" w:fill="FFFFFF"/>
            <w:vAlign w:val="center"/>
          </w:tcPr>
          <w:p w14:paraId="0014CC6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single" w:color="auto" w:sz="4" w:space="0"/>
              <w:right w:val="nil"/>
            </w:tcBorders>
            <w:shd w:val="clear" w:color="auto" w:fill="FFFFFF"/>
            <w:vAlign w:val="center"/>
          </w:tcPr>
          <w:p w14:paraId="38F1864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23 (53.5%)</w:t>
            </w:r>
          </w:p>
        </w:tc>
        <w:tc>
          <w:tcPr>
            <w:tcW w:w="1422" w:type="pct"/>
            <w:tcBorders>
              <w:top w:val="nil"/>
              <w:left w:val="nil"/>
              <w:bottom w:val="single" w:color="auto" w:sz="4" w:space="0"/>
              <w:right w:val="nil"/>
            </w:tcBorders>
            <w:shd w:val="clear" w:color="auto" w:fill="FFFFFF"/>
            <w:vAlign w:val="center"/>
          </w:tcPr>
          <w:p w14:paraId="24B8E78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1141 (47.8%)</w:t>
            </w:r>
          </w:p>
        </w:tc>
        <w:tc>
          <w:tcPr>
            <w:tcW w:w="760" w:type="pct"/>
            <w:tcBorders>
              <w:top w:val="nil"/>
              <w:left w:val="nil"/>
              <w:bottom w:val="single" w:color="auto" w:sz="4" w:space="0"/>
              <w:right w:val="nil"/>
            </w:tcBorders>
            <w:shd w:val="clear" w:color="auto" w:fill="FFFFFF"/>
            <w:vAlign w:val="center"/>
          </w:tcPr>
          <w:p w14:paraId="6496DAB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3EAF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767E258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AlcoholHistory</w:t>
            </w:r>
          </w:p>
        </w:tc>
        <w:tc>
          <w:tcPr>
            <w:tcW w:w="1257" w:type="pct"/>
            <w:tcBorders>
              <w:top w:val="single" w:color="auto" w:sz="4" w:space="0"/>
              <w:left w:val="nil"/>
              <w:bottom w:val="nil"/>
              <w:right w:val="nil"/>
            </w:tcBorders>
            <w:shd w:val="clear" w:color="auto" w:fill="FFFFFF"/>
            <w:vAlign w:val="center"/>
          </w:tcPr>
          <w:p w14:paraId="6073667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462DDD2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688B2FA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5827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jc w:val="center"/>
        </w:trPr>
        <w:tc>
          <w:tcPr>
            <w:tcW w:w="1560" w:type="pct"/>
            <w:tcBorders>
              <w:top w:val="single" w:color="auto" w:sz="4" w:space="0"/>
              <w:left w:val="nil"/>
              <w:bottom w:val="nil"/>
              <w:right w:val="nil"/>
            </w:tcBorders>
            <w:shd w:val="clear" w:color="auto" w:fill="FFFFFF"/>
            <w:vAlign w:val="center"/>
          </w:tcPr>
          <w:p w14:paraId="67EADF1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387D25D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18 (41.9%)</w:t>
            </w:r>
          </w:p>
        </w:tc>
        <w:tc>
          <w:tcPr>
            <w:tcW w:w="1422" w:type="pct"/>
            <w:tcBorders>
              <w:top w:val="nil"/>
              <w:left w:val="nil"/>
              <w:bottom w:val="nil"/>
              <w:right w:val="nil"/>
            </w:tcBorders>
            <w:shd w:val="clear" w:color="auto" w:fill="FFFFFF"/>
            <w:vAlign w:val="center"/>
          </w:tcPr>
          <w:p w14:paraId="34214A3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1499 (62.8%)</w:t>
            </w:r>
          </w:p>
        </w:tc>
        <w:tc>
          <w:tcPr>
            <w:tcW w:w="760" w:type="pct"/>
            <w:tcBorders>
              <w:top w:val="nil"/>
              <w:left w:val="nil"/>
              <w:bottom w:val="nil"/>
              <w:right w:val="nil"/>
            </w:tcBorders>
            <w:shd w:val="clear" w:color="auto" w:fill="FFFFFF"/>
            <w:vAlign w:val="center"/>
          </w:tcPr>
          <w:p w14:paraId="7C29517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0.005</w:t>
            </w:r>
          </w:p>
        </w:tc>
      </w:tr>
      <w:tr w14:paraId="3DBE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60" w:type="pct"/>
            <w:tcBorders>
              <w:top w:val="nil"/>
              <w:left w:val="nil"/>
              <w:bottom w:val="single" w:color="auto" w:sz="4" w:space="0"/>
              <w:right w:val="nil"/>
            </w:tcBorders>
            <w:shd w:val="clear" w:color="auto" w:fill="FFFFFF"/>
            <w:vAlign w:val="center"/>
          </w:tcPr>
          <w:p w14:paraId="0DEEB0D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single" w:color="auto" w:sz="4" w:space="0"/>
              <w:right w:val="nil"/>
            </w:tcBorders>
            <w:shd w:val="clear" w:color="auto" w:fill="FFFFFF"/>
            <w:vAlign w:val="center"/>
          </w:tcPr>
          <w:p w14:paraId="1902B9F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25 (58.1%)</w:t>
            </w:r>
          </w:p>
        </w:tc>
        <w:tc>
          <w:tcPr>
            <w:tcW w:w="1422" w:type="pct"/>
            <w:tcBorders>
              <w:top w:val="nil"/>
              <w:left w:val="nil"/>
              <w:bottom w:val="single" w:color="auto" w:sz="4" w:space="0"/>
              <w:right w:val="nil"/>
            </w:tcBorders>
            <w:shd w:val="clear" w:color="auto" w:fill="FFFFFF"/>
            <w:vAlign w:val="center"/>
          </w:tcPr>
          <w:p w14:paraId="18A40ED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888 (37.2%)</w:t>
            </w:r>
          </w:p>
        </w:tc>
        <w:tc>
          <w:tcPr>
            <w:tcW w:w="760" w:type="pct"/>
            <w:tcBorders>
              <w:top w:val="nil"/>
              <w:left w:val="nil"/>
              <w:bottom w:val="single" w:color="auto" w:sz="4" w:space="0"/>
              <w:right w:val="nil"/>
            </w:tcBorders>
            <w:shd w:val="clear" w:color="auto" w:fill="FFFFFF"/>
            <w:vAlign w:val="center"/>
          </w:tcPr>
          <w:p w14:paraId="68DB3CF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71CF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auto"/>
            <w:vAlign w:val="center"/>
          </w:tcPr>
          <w:p w14:paraId="1F8149E0">
            <w:pPr>
              <w:spacing w:line="240" w:lineRule="auto"/>
              <w:ind w:firstLine="320"/>
              <w:jc w:val="center"/>
              <w:rPr>
                <w:rFonts w:hint="eastAsia" w:ascii="Times New Roman" w:hAnsi="Times New Roman" w:cs="Times New Roman"/>
                <w:b/>
                <w:bCs/>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PreopPALB</w:t>
            </w:r>
          </w:p>
        </w:tc>
        <w:tc>
          <w:tcPr>
            <w:tcW w:w="1257" w:type="pct"/>
            <w:tcBorders>
              <w:top w:val="single" w:color="auto" w:sz="4" w:space="0"/>
              <w:left w:val="nil"/>
              <w:bottom w:val="nil"/>
              <w:right w:val="nil"/>
            </w:tcBorders>
            <w:shd w:val="clear" w:color="auto" w:fill="FFFFFF"/>
            <w:vAlign w:val="center"/>
          </w:tcPr>
          <w:p w14:paraId="40E7CD4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24.00 ± 9.36</w:t>
            </w:r>
          </w:p>
        </w:tc>
        <w:tc>
          <w:tcPr>
            <w:tcW w:w="1422" w:type="pct"/>
            <w:tcBorders>
              <w:top w:val="single" w:color="auto" w:sz="4" w:space="0"/>
              <w:left w:val="nil"/>
              <w:bottom w:val="nil"/>
              <w:right w:val="nil"/>
            </w:tcBorders>
            <w:shd w:val="clear" w:color="auto" w:fill="FFFFFF"/>
            <w:vAlign w:val="center"/>
          </w:tcPr>
          <w:p w14:paraId="0793163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24.07 ± 8.63</w:t>
            </w:r>
          </w:p>
        </w:tc>
        <w:tc>
          <w:tcPr>
            <w:tcW w:w="760" w:type="pct"/>
            <w:tcBorders>
              <w:top w:val="single" w:color="auto" w:sz="4" w:space="0"/>
              <w:left w:val="nil"/>
              <w:bottom w:val="nil"/>
              <w:right w:val="nil"/>
            </w:tcBorders>
            <w:shd w:val="clear" w:color="auto" w:fill="FFFFFF"/>
            <w:vAlign w:val="center"/>
          </w:tcPr>
          <w:p w14:paraId="4EFCD16E">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0.965</w:t>
            </w:r>
          </w:p>
        </w:tc>
      </w:tr>
      <w:tr w14:paraId="6E10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auto"/>
            <w:vAlign w:val="center"/>
          </w:tcPr>
          <w:p w14:paraId="14B2B27E">
            <w:pPr>
              <w:spacing w:line="240" w:lineRule="auto"/>
              <w:ind w:firstLine="320"/>
              <w:jc w:val="center"/>
              <w:rPr>
                <w:rFonts w:hint="eastAsia" w:ascii="Times New Roman" w:hAnsi="Times New Roman" w:cs="Times New Roman"/>
                <w:b/>
                <w:bCs/>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PreopALB</w:t>
            </w:r>
          </w:p>
        </w:tc>
        <w:tc>
          <w:tcPr>
            <w:tcW w:w="1257" w:type="pct"/>
            <w:tcBorders>
              <w:top w:val="single" w:color="auto" w:sz="4" w:space="0"/>
              <w:left w:val="nil"/>
              <w:bottom w:val="nil"/>
              <w:right w:val="nil"/>
            </w:tcBorders>
            <w:shd w:val="clear" w:color="auto" w:fill="FFFFFF"/>
            <w:vAlign w:val="center"/>
          </w:tcPr>
          <w:p w14:paraId="44FA395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37.57 ± 14.08</w:t>
            </w:r>
          </w:p>
        </w:tc>
        <w:tc>
          <w:tcPr>
            <w:tcW w:w="1422" w:type="pct"/>
            <w:tcBorders>
              <w:top w:val="single" w:color="auto" w:sz="4" w:space="0"/>
              <w:left w:val="nil"/>
              <w:bottom w:val="nil"/>
              <w:right w:val="nil"/>
            </w:tcBorders>
            <w:shd w:val="clear" w:color="auto" w:fill="FFFFFF"/>
            <w:vAlign w:val="center"/>
          </w:tcPr>
          <w:p w14:paraId="74648C3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40.90 ± 10.59</w:t>
            </w:r>
          </w:p>
        </w:tc>
        <w:tc>
          <w:tcPr>
            <w:tcW w:w="760" w:type="pct"/>
            <w:tcBorders>
              <w:top w:val="single" w:color="auto" w:sz="4" w:space="0"/>
              <w:left w:val="nil"/>
              <w:bottom w:val="nil"/>
              <w:right w:val="nil"/>
            </w:tcBorders>
            <w:shd w:val="clear" w:color="auto" w:fill="FFFFFF"/>
            <w:vAlign w:val="center"/>
          </w:tcPr>
          <w:p w14:paraId="32ED7E4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0.129</w:t>
            </w:r>
          </w:p>
        </w:tc>
      </w:tr>
      <w:tr w14:paraId="6D5A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auto"/>
            <w:vAlign w:val="center"/>
          </w:tcPr>
          <w:p w14:paraId="4953D16D">
            <w:pPr>
              <w:spacing w:line="240" w:lineRule="auto"/>
              <w:ind w:firstLine="320"/>
              <w:jc w:val="center"/>
              <w:rPr>
                <w:rFonts w:hint="eastAsia" w:ascii="Times New Roman" w:hAnsi="Times New Roman" w:cs="Times New Roman"/>
                <w:b/>
                <w:bCs/>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PreopHGB</w:t>
            </w:r>
          </w:p>
        </w:tc>
        <w:tc>
          <w:tcPr>
            <w:tcW w:w="1257" w:type="pct"/>
            <w:tcBorders>
              <w:top w:val="single" w:color="auto" w:sz="4" w:space="0"/>
              <w:left w:val="nil"/>
              <w:bottom w:val="nil"/>
              <w:right w:val="nil"/>
            </w:tcBorders>
            <w:shd w:val="clear" w:color="auto" w:fill="FFFFFF"/>
            <w:vAlign w:val="center"/>
          </w:tcPr>
          <w:p w14:paraId="6FC9CF8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108.72 ± 51.67</w:t>
            </w:r>
          </w:p>
        </w:tc>
        <w:tc>
          <w:tcPr>
            <w:tcW w:w="1422" w:type="pct"/>
            <w:tcBorders>
              <w:top w:val="single" w:color="auto" w:sz="4" w:space="0"/>
              <w:left w:val="nil"/>
              <w:bottom w:val="nil"/>
              <w:right w:val="nil"/>
            </w:tcBorders>
            <w:shd w:val="clear" w:color="auto" w:fill="FFFFFF"/>
            <w:vAlign w:val="center"/>
          </w:tcPr>
          <w:p w14:paraId="1CA3D34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129.98 ± 42.36</w:t>
            </w:r>
          </w:p>
        </w:tc>
        <w:tc>
          <w:tcPr>
            <w:tcW w:w="760" w:type="pct"/>
            <w:tcBorders>
              <w:top w:val="single" w:color="auto" w:sz="4" w:space="0"/>
              <w:left w:val="nil"/>
              <w:bottom w:val="nil"/>
              <w:right w:val="nil"/>
            </w:tcBorders>
            <w:shd w:val="clear" w:color="auto" w:fill="FFFFFF"/>
            <w:vAlign w:val="center"/>
          </w:tcPr>
          <w:p w14:paraId="745058E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0.010</w:t>
            </w:r>
          </w:p>
        </w:tc>
      </w:tr>
      <w:tr w14:paraId="38FA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vAlign w:val="center"/>
          </w:tcPr>
          <w:p w14:paraId="4708C9AA">
            <w:pPr>
              <w:spacing w:line="240" w:lineRule="auto"/>
              <w:ind w:firstLine="320"/>
              <w:jc w:val="center"/>
              <w:rPr>
                <w:rFonts w:hint="eastAsia" w:ascii="Times New Roman" w:hAnsi="Times New Roman" w:cs="Times New Roman"/>
                <w:b/>
                <w:bCs/>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ASA</w:t>
            </w:r>
          </w:p>
        </w:tc>
        <w:tc>
          <w:tcPr>
            <w:tcW w:w="1257" w:type="pct"/>
            <w:tcBorders>
              <w:top w:val="single" w:color="auto" w:sz="4" w:space="0"/>
              <w:left w:val="nil"/>
              <w:bottom w:val="nil"/>
              <w:right w:val="nil"/>
            </w:tcBorders>
            <w:shd w:val="clear" w:color="auto" w:fill="FFFFFF"/>
            <w:vAlign w:val="center"/>
          </w:tcPr>
          <w:p w14:paraId="372D50F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6087847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49F0E12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0380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nil"/>
              <w:right w:val="nil"/>
            </w:tcBorders>
            <w:shd w:val="clear" w:color="auto" w:fill="FFFFFF"/>
            <w:vAlign w:val="center"/>
          </w:tcPr>
          <w:p w14:paraId="7E8962F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I</w:t>
            </w:r>
          </w:p>
        </w:tc>
        <w:tc>
          <w:tcPr>
            <w:tcW w:w="1257" w:type="pct"/>
            <w:tcBorders>
              <w:top w:val="nil"/>
              <w:left w:val="nil"/>
              <w:bottom w:val="nil"/>
              <w:right w:val="nil"/>
            </w:tcBorders>
            <w:shd w:val="clear" w:color="auto" w:fill="FFFFFF"/>
            <w:vAlign w:val="center"/>
          </w:tcPr>
          <w:p w14:paraId="77A6AE3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 (0.0%)</w:t>
            </w:r>
          </w:p>
        </w:tc>
        <w:tc>
          <w:tcPr>
            <w:tcW w:w="1422" w:type="pct"/>
            <w:tcBorders>
              <w:top w:val="nil"/>
              <w:left w:val="nil"/>
              <w:bottom w:val="nil"/>
              <w:right w:val="nil"/>
            </w:tcBorders>
            <w:shd w:val="clear" w:color="auto" w:fill="FFFFFF"/>
            <w:vAlign w:val="center"/>
          </w:tcPr>
          <w:p w14:paraId="50756F6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52 (2.2%)</w:t>
            </w:r>
          </w:p>
        </w:tc>
        <w:tc>
          <w:tcPr>
            <w:tcW w:w="760" w:type="pct"/>
            <w:tcBorders>
              <w:top w:val="nil"/>
              <w:left w:val="nil"/>
              <w:bottom w:val="nil"/>
              <w:right w:val="nil"/>
            </w:tcBorders>
            <w:shd w:val="clear" w:color="auto" w:fill="FFFFFF"/>
            <w:vAlign w:val="center"/>
          </w:tcPr>
          <w:p w14:paraId="4440C2E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0.679</w:t>
            </w:r>
          </w:p>
        </w:tc>
      </w:tr>
      <w:tr w14:paraId="4172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nil"/>
              <w:right w:val="nil"/>
            </w:tcBorders>
            <w:shd w:val="clear" w:color="auto" w:fill="FFFFFF"/>
            <w:vAlign w:val="center"/>
          </w:tcPr>
          <w:p w14:paraId="02E360C9">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II</w:t>
            </w:r>
          </w:p>
        </w:tc>
        <w:tc>
          <w:tcPr>
            <w:tcW w:w="1257" w:type="pct"/>
            <w:tcBorders>
              <w:top w:val="nil"/>
              <w:left w:val="nil"/>
              <w:bottom w:val="nil"/>
              <w:right w:val="nil"/>
            </w:tcBorders>
            <w:shd w:val="clear" w:color="auto" w:fill="FFFFFF"/>
            <w:vAlign w:val="center"/>
          </w:tcPr>
          <w:p w14:paraId="6804B62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29 (67.4%)</w:t>
            </w:r>
          </w:p>
        </w:tc>
        <w:tc>
          <w:tcPr>
            <w:tcW w:w="1422" w:type="pct"/>
            <w:tcBorders>
              <w:top w:val="nil"/>
              <w:left w:val="nil"/>
              <w:bottom w:val="nil"/>
              <w:right w:val="nil"/>
            </w:tcBorders>
            <w:shd w:val="clear" w:color="auto" w:fill="FFFFFF"/>
            <w:vAlign w:val="center"/>
          </w:tcPr>
          <w:p w14:paraId="17CD5D7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1691 (70.8%)</w:t>
            </w:r>
          </w:p>
        </w:tc>
        <w:tc>
          <w:tcPr>
            <w:tcW w:w="760" w:type="pct"/>
            <w:tcBorders>
              <w:top w:val="nil"/>
              <w:left w:val="nil"/>
              <w:bottom w:val="nil"/>
              <w:right w:val="nil"/>
            </w:tcBorders>
            <w:shd w:val="clear" w:color="auto" w:fill="FFFFFF"/>
            <w:vAlign w:val="center"/>
          </w:tcPr>
          <w:p w14:paraId="3C87D13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223C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60" w:type="pct"/>
            <w:tcBorders>
              <w:top w:val="nil"/>
              <w:left w:val="nil"/>
              <w:bottom w:val="nil"/>
              <w:right w:val="nil"/>
            </w:tcBorders>
            <w:shd w:val="clear" w:color="auto" w:fill="FFFFFF"/>
            <w:vAlign w:val="center"/>
          </w:tcPr>
          <w:p w14:paraId="538FCB89">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III</w:t>
            </w:r>
          </w:p>
        </w:tc>
        <w:tc>
          <w:tcPr>
            <w:tcW w:w="1257" w:type="pct"/>
            <w:tcBorders>
              <w:top w:val="nil"/>
              <w:left w:val="nil"/>
              <w:bottom w:val="nil"/>
              <w:right w:val="nil"/>
            </w:tcBorders>
            <w:shd w:val="clear" w:color="auto" w:fill="FFFFFF"/>
            <w:vAlign w:val="center"/>
          </w:tcPr>
          <w:p w14:paraId="22D6B94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 (7.0%)</w:t>
            </w:r>
          </w:p>
        </w:tc>
        <w:tc>
          <w:tcPr>
            <w:tcW w:w="1422" w:type="pct"/>
            <w:tcBorders>
              <w:top w:val="nil"/>
              <w:left w:val="nil"/>
              <w:bottom w:val="nil"/>
              <w:right w:val="nil"/>
            </w:tcBorders>
            <w:shd w:val="clear" w:color="auto" w:fill="FFFFFF"/>
            <w:vAlign w:val="center"/>
          </w:tcPr>
          <w:p w14:paraId="5F0D6B1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148 (6.2%)</w:t>
            </w:r>
          </w:p>
        </w:tc>
        <w:tc>
          <w:tcPr>
            <w:tcW w:w="760" w:type="pct"/>
            <w:tcBorders>
              <w:top w:val="nil"/>
              <w:left w:val="nil"/>
              <w:bottom w:val="nil"/>
              <w:right w:val="nil"/>
            </w:tcBorders>
            <w:shd w:val="clear" w:color="auto" w:fill="FFFFFF"/>
            <w:vAlign w:val="center"/>
          </w:tcPr>
          <w:p w14:paraId="7E4FDD1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1A98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single" w:color="auto" w:sz="4" w:space="0"/>
              <w:right w:val="nil"/>
            </w:tcBorders>
            <w:shd w:val="clear" w:color="auto" w:fill="FFFFFF"/>
            <w:vAlign w:val="center"/>
          </w:tcPr>
          <w:p w14:paraId="3B3BA8F8">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IV</w:t>
            </w:r>
          </w:p>
        </w:tc>
        <w:tc>
          <w:tcPr>
            <w:tcW w:w="1257" w:type="pct"/>
            <w:tcBorders>
              <w:top w:val="nil"/>
              <w:left w:val="nil"/>
              <w:bottom w:val="single" w:color="auto" w:sz="4" w:space="0"/>
              <w:right w:val="nil"/>
            </w:tcBorders>
            <w:shd w:val="clear" w:color="auto" w:fill="FFFFFF"/>
            <w:vAlign w:val="center"/>
          </w:tcPr>
          <w:p w14:paraId="1068103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11 (25.6%)</w:t>
            </w:r>
          </w:p>
        </w:tc>
        <w:tc>
          <w:tcPr>
            <w:tcW w:w="1422" w:type="pct"/>
            <w:tcBorders>
              <w:top w:val="nil"/>
              <w:left w:val="nil"/>
              <w:bottom w:val="single" w:color="auto" w:sz="4" w:space="0"/>
              <w:right w:val="nil"/>
            </w:tcBorders>
            <w:shd w:val="clear" w:color="auto" w:fill="FFFFFF"/>
            <w:vAlign w:val="center"/>
          </w:tcPr>
          <w:p w14:paraId="7B8F760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496 (20.8%)</w:t>
            </w:r>
          </w:p>
        </w:tc>
        <w:tc>
          <w:tcPr>
            <w:tcW w:w="760" w:type="pct"/>
            <w:tcBorders>
              <w:top w:val="nil"/>
              <w:left w:val="nil"/>
              <w:bottom w:val="single" w:color="auto" w:sz="4" w:space="0"/>
              <w:right w:val="nil"/>
            </w:tcBorders>
            <w:shd w:val="clear" w:color="auto" w:fill="FFFFFF"/>
            <w:vAlign w:val="center"/>
          </w:tcPr>
          <w:p w14:paraId="1F3181C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7CE8A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auto"/>
            <w:vAlign w:val="center"/>
          </w:tcPr>
          <w:p w14:paraId="1F851E01">
            <w:pPr>
              <w:spacing w:line="240" w:lineRule="auto"/>
              <w:ind w:firstLine="320"/>
              <w:jc w:val="center"/>
              <w:rPr>
                <w:rFonts w:hint="eastAsia" w:ascii="Times New Roman" w:hAnsi="Times New Roman" w:cs="Times New Roman"/>
                <w:b/>
                <w:bCs/>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OperationDurationMin</w:t>
            </w:r>
          </w:p>
        </w:tc>
        <w:tc>
          <w:tcPr>
            <w:tcW w:w="1257" w:type="pct"/>
            <w:tcBorders>
              <w:top w:val="nil"/>
              <w:left w:val="nil"/>
              <w:bottom w:val="nil"/>
              <w:right w:val="nil"/>
            </w:tcBorders>
            <w:shd w:val="clear" w:color="auto" w:fill="FFFFFF"/>
            <w:vAlign w:val="center"/>
          </w:tcPr>
          <w:p w14:paraId="53465C8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191.09 ± 135.76</w:t>
            </w:r>
          </w:p>
        </w:tc>
        <w:tc>
          <w:tcPr>
            <w:tcW w:w="1422" w:type="pct"/>
            <w:tcBorders>
              <w:top w:val="nil"/>
              <w:left w:val="nil"/>
              <w:bottom w:val="nil"/>
              <w:right w:val="nil"/>
            </w:tcBorders>
            <w:shd w:val="clear" w:color="auto" w:fill="FFFFFF"/>
            <w:vAlign w:val="center"/>
          </w:tcPr>
          <w:p w14:paraId="2691044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97.81 ± 86.54</w:t>
            </w:r>
          </w:p>
        </w:tc>
        <w:tc>
          <w:tcPr>
            <w:tcW w:w="760" w:type="pct"/>
            <w:tcBorders>
              <w:top w:val="single" w:color="auto" w:sz="4" w:space="0"/>
              <w:left w:val="nil"/>
              <w:bottom w:val="nil"/>
              <w:right w:val="nil"/>
            </w:tcBorders>
            <w:shd w:val="clear" w:color="auto" w:fill="FFFFFF"/>
            <w:vAlign w:val="center"/>
          </w:tcPr>
          <w:p w14:paraId="77EB2C52">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&lt;0.001</w:t>
            </w:r>
          </w:p>
        </w:tc>
      </w:tr>
      <w:tr w14:paraId="026E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60" w:type="pct"/>
            <w:tcBorders>
              <w:top w:val="single" w:color="auto" w:sz="4" w:space="0"/>
              <w:left w:val="nil"/>
              <w:bottom w:val="single" w:color="auto" w:sz="4" w:space="0"/>
              <w:right w:val="nil"/>
            </w:tcBorders>
            <w:shd w:val="clear" w:color="auto" w:fill="FFFFFF"/>
            <w:vAlign w:val="center"/>
          </w:tcPr>
          <w:p w14:paraId="6A9556E5">
            <w:pPr>
              <w:spacing w:line="240" w:lineRule="auto"/>
              <w:ind w:firstLine="320"/>
              <w:jc w:val="center"/>
              <w:rPr>
                <w:rFonts w:hint="eastAsia" w:ascii="Times New Roman" w:hAnsi="Times New Roman" w:cs="Times New Roman"/>
                <w:b/>
                <w:bCs/>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IntraopTransfusion</w:t>
            </w:r>
          </w:p>
        </w:tc>
        <w:tc>
          <w:tcPr>
            <w:tcW w:w="1257" w:type="pct"/>
            <w:tcBorders>
              <w:top w:val="nil"/>
              <w:left w:val="nil"/>
              <w:bottom w:val="nil"/>
              <w:right w:val="nil"/>
            </w:tcBorders>
            <w:shd w:val="clear" w:color="auto" w:fill="FFFFFF"/>
            <w:vAlign w:val="center"/>
          </w:tcPr>
          <w:p w14:paraId="7E33753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nil"/>
              <w:left w:val="nil"/>
              <w:bottom w:val="nil"/>
              <w:right w:val="nil"/>
            </w:tcBorders>
            <w:shd w:val="clear" w:color="auto" w:fill="FFFFFF"/>
            <w:vAlign w:val="center"/>
          </w:tcPr>
          <w:p w14:paraId="1725B48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1C8A586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6572A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nil"/>
              <w:right w:val="nil"/>
            </w:tcBorders>
            <w:shd w:val="clear" w:color="auto" w:fill="FFFFFF"/>
            <w:vAlign w:val="center"/>
          </w:tcPr>
          <w:p w14:paraId="633ED14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7BEEFB5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37 (86.0%)</w:t>
            </w:r>
          </w:p>
        </w:tc>
        <w:tc>
          <w:tcPr>
            <w:tcW w:w="1422" w:type="pct"/>
            <w:tcBorders>
              <w:top w:val="nil"/>
              <w:left w:val="nil"/>
              <w:bottom w:val="nil"/>
              <w:right w:val="nil"/>
            </w:tcBorders>
            <w:shd w:val="clear" w:color="auto" w:fill="FFFFFF"/>
            <w:vAlign w:val="center"/>
          </w:tcPr>
          <w:p w14:paraId="1A2E119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2347 (98.3%)</w:t>
            </w:r>
          </w:p>
        </w:tc>
        <w:tc>
          <w:tcPr>
            <w:tcW w:w="760" w:type="pct"/>
            <w:tcBorders>
              <w:top w:val="nil"/>
              <w:left w:val="nil"/>
              <w:bottom w:val="nil"/>
              <w:right w:val="nil"/>
            </w:tcBorders>
            <w:shd w:val="clear" w:color="auto" w:fill="FFFFFF"/>
            <w:vAlign w:val="center"/>
          </w:tcPr>
          <w:p w14:paraId="746518B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&lt;0.001</w:t>
            </w:r>
          </w:p>
        </w:tc>
      </w:tr>
      <w:tr w14:paraId="2CA17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single" w:color="auto" w:sz="4" w:space="0"/>
              <w:right w:val="nil"/>
            </w:tcBorders>
            <w:shd w:val="clear" w:color="auto" w:fill="FFFFFF"/>
            <w:vAlign w:val="center"/>
          </w:tcPr>
          <w:p w14:paraId="79746A6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single" w:color="auto" w:sz="4" w:space="0"/>
              <w:right w:val="nil"/>
            </w:tcBorders>
            <w:shd w:val="clear" w:color="auto" w:fill="FFFFFF"/>
            <w:vAlign w:val="center"/>
          </w:tcPr>
          <w:p w14:paraId="02228EF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6 (14.0%)</w:t>
            </w:r>
          </w:p>
        </w:tc>
        <w:tc>
          <w:tcPr>
            <w:tcW w:w="1422" w:type="pct"/>
            <w:tcBorders>
              <w:top w:val="nil"/>
              <w:left w:val="nil"/>
              <w:bottom w:val="single" w:color="auto" w:sz="4" w:space="0"/>
              <w:right w:val="nil"/>
            </w:tcBorders>
            <w:shd w:val="clear" w:color="auto" w:fill="FFFFFF"/>
            <w:vAlign w:val="center"/>
          </w:tcPr>
          <w:p w14:paraId="02D27CE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40 (1.7%)</w:t>
            </w:r>
          </w:p>
        </w:tc>
        <w:tc>
          <w:tcPr>
            <w:tcW w:w="760" w:type="pct"/>
            <w:tcBorders>
              <w:top w:val="nil"/>
              <w:left w:val="nil"/>
              <w:bottom w:val="single" w:color="auto" w:sz="4" w:space="0"/>
              <w:right w:val="nil"/>
            </w:tcBorders>
            <w:shd w:val="clear" w:color="auto" w:fill="FFFFFF"/>
            <w:vAlign w:val="center"/>
          </w:tcPr>
          <w:p w14:paraId="600EA37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303C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4A097C3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NeckDissection</w:t>
            </w:r>
          </w:p>
        </w:tc>
        <w:tc>
          <w:tcPr>
            <w:tcW w:w="1257" w:type="pct"/>
            <w:tcBorders>
              <w:top w:val="single" w:color="auto" w:sz="4" w:space="0"/>
              <w:left w:val="nil"/>
              <w:bottom w:val="nil"/>
              <w:right w:val="nil"/>
            </w:tcBorders>
            <w:shd w:val="clear" w:color="auto" w:fill="FFFFFF"/>
            <w:vAlign w:val="center"/>
          </w:tcPr>
          <w:p w14:paraId="68EFEFF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57D7008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6E3CDED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7029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nil"/>
              <w:right w:val="nil"/>
            </w:tcBorders>
            <w:shd w:val="clear" w:color="auto" w:fill="FFFFFF"/>
            <w:vAlign w:val="center"/>
          </w:tcPr>
          <w:p w14:paraId="244E8BB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7453665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10 (23.3%)</w:t>
            </w:r>
          </w:p>
        </w:tc>
        <w:tc>
          <w:tcPr>
            <w:tcW w:w="1422" w:type="pct"/>
            <w:tcBorders>
              <w:top w:val="nil"/>
              <w:left w:val="nil"/>
              <w:bottom w:val="nil"/>
              <w:right w:val="nil"/>
            </w:tcBorders>
            <w:shd w:val="clear" w:color="auto" w:fill="FFFFFF"/>
            <w:vAlign w:val="center"/>
          </w:tcPr>
          <w:p w14:paraId="3E89F68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1437 (60.2%)</w:t>
            </w:r>
          </w:p>
        </w:tc>
        <w:tc>
          <w:tcPr>
            <w:tcW w:w="760" w:type="pct"/>
            <w:tcBorders>
              <w:top w:val="nil"/>
              <w:left w:val="nil"/>
              <w:bottom w:val="nil"/>
              <w:right w:val="nil"/>
            </w:tcBorders>
            <w:shd w:val="clear" w:color="auto" w:fill="FFFFFF"/>
            <w:vAlign w:val="center"/>
          </w:tcPr>
          <w:p w14:paraId="4DC3EB5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&lt;0.001</w:t>
            </w:r>
          </w:p>
        </w:tc>
      </w:tr>
      <w:tr w14:paraId="6494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nil"/>
              <w:right w:val="nil"/>
            </w:tcBorders>
            <w:shd w:val="clear" w:color="auto" w:fill="FFFFFF"/>
            <w:vAlign w:val="center"/>
          </w:tcPr>
          <w:p w14:paraId="7B01BA8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nil"/>
              <w:right w:val="nil"/>
            </w:tcBorders>
            <w:shd w:val="clear" w:color="auto" w:fill="FFFFFF"/>
            <w:vAlign w:val="center"/>
          </w:tcPr>
          <w:p w14:paraId="0C5CD02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33 (76.7%)</w:t>
            </w:r>
          </w:p>
        </w:tc>
        <w:tc>
          <w:tcPr>
            <w:tcW w:w="1422" w:type="pct"/>
            <w:tcBorders>
              <w:top w:val="nil"/>
              <w:left w:val="nil"/>
              <w:bottom w:val="nil"/>
              <w:right w:val="nil"/>
            </w:tcBorders>
            <w:shd w:val="clear" w:color="auto" w:fill="FFFFFF"/>
            <w:vAlign w:val="center"/>
          </w:tcPr>
          <w:p w14:paraId="5FA9B07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950 (39.8%)</w:t>
            </w:r>
          </w:p>
        </w:tc>
        <w:tc>
          <w:tcPr>
            <w:tcW w:w="760" w:type="pct"/>
            <w:tcBorders>
              <w:top w:val="nil"/>
              <w:left w:val="nil"/>
              <w:bottom w:val="nil"/>
              <w:right w:val="nil"/>
            </w:tcBorders>
            <w:shd w:val="clear" w:color="auto" w:fill="FFFFFF"/>
            <w:vAlign w:val="center"/>
          </w:tcPr>
          <w:p w14:paraId="0BE4D38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5456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557262A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PreopRadiotherapy</w:t>
            </w:r>
          </w:p>
        </w:tc>
        <w:tc>
          <w:tcPr>
            <w:tcW w:w="1257" w:type="pct"/>
            <w:tcBorders>
              <w:top w:val="single" w:color="auto" w:sz="4" w:space="0"/>
              <w:left w:val="nil"/>
              <w:bottom w:val="single" w:color="auto" w:sz="4" w:space="0"/>
              <w:right w:val="nil"/>
            </w:tcBorders>
            <w:vAlign w:val="center"/>
          </w:tcPr>
          <w:p w14:paraId="20409B9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single" w:color="auto" w:sz="4" w:space="0"/>
              <w:right w:val="nil"/>
            </w:tcBorders>
            <w:shd w:val="clear" w:color="auto" w:fill="FFFFFF"/>
            <w:vAlign w:val="center"/>
          </w:tcPr>
          <w:p w14:paraId="699D6BF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single" w:color="auto" w:sz="4" w:space="0"/>
              <w:right w:val="nil"/>
            </w:tcBorders>
            <w:shd w:val="clear" w:color="auto" w:fill="FFFFFF"/>
            <w:vAlign w:val="center"/>
          </w:tcPr>
          <w:p w14:paraId="5743851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5342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408FCEA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single" w:color="auto" w:sz="4" w:space="0"/>
              <w:left w:val="nil"/>
              <w:bottom w:val="single" w:color="auto" w:sz="4" w:space="0"/>
              <w:right w:val="nil"/>
            </w:tcBorders>
            <w:vAlign w:val="center"/>
          </w:tcPr>
          <w:p w14:paraId="530F854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36 (83.7%)</w:t>
            </w:r>
          </w:p>
        </w:tc>
        <w:tc>
          <w:tcPr>
            <w:tcW w:w="1422" w:type="pct"/>
            <w:tcBorders>
              <w:top w:val="single" w:color="auto" w:sz="4" w:space="0"/>
              <w:left w:val="nil"/>
              <w:bottom w:val="single" w:color="auto" w:sz="4" w:space="0"/>
              <w:right w:val="nil"/>
            </w:tcBorders>
            <w:shd w:val="clear" w:color="auto" w:fill="FFFFFF"/>
            <w:vAlign w:val="center"/>
          </w:tcPr>
          <w:p w14:paraId="497EAE8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2212 (92.7%)</w:t>
            </w:r>
          </w:p>
        </w:tc>
        <w:tc>
          <w:tcPr>
            <w:tcW w:w="760" w:type="pct"/>
            <w:tcBorders>
              <w:top w:val="single" w:color="auto" w:sz="4" w:space="0"/>
              <w:left w:val="nil"/>
              <w:bottom w:val="single" w:color="auto" w:sz="4" w:space="0"/>
              <w:right w:val="nil"/>
            </w:tcBorders>
            <w:shd w:val="clear" w:color="auto" w:fill="FFFFFF"/>
            <w:vAlign w:val="center"/>
          </w:tcPr>
          <w:p w14:paraId="02A93F1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0.027</w:t>
            </w:r>
          </w:p>
        </w:tc>
      </w:tr>
      <w:tr w14:paraId="7AF0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72A6F54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single" w:color="auto" w:sz="4" w:space="0"/>
              <w:left w:val="nil"/>
              <w:bottom w:val="single" w:color="auto" w:sz="4" w:space="0"/>
              <w:right w:val="nil"/>
            </w:tcBorders>
            <w:vAlign w:val="center"/>
          </w:tcPr>
          <w:p w14:paraId="17060B9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7 (16.3%)</w:t>
            </w:r>
          </w:p>
        </w:tc>
        <w:tc>
          <w:tcPr>
            <w:tcW w:w="1422" w:type="pct"/>
            <w:tcBorders>
              <w:top w:val="single" w:color="auto" w:sz="4" w:space="0"/>
              <w:left w:val="nil"/>
              <w:bottom w:val="single" w:color="auto" w:sz="4" w:space="0"/>
              <w:right w:val="nil"/>
            </w:tcBorders>
            <w:shd w:val="clear" w:color="auto" w:fill="FFFFFF"/>
            <w:vAlign w:val="center"/>
          </w:tcPr>
          <w:p w14:paraId="08C4FF3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175 (7.3%)</w:t>
            </w:r>
          </w:p>
        </w:tc>
        <w:tc>
          <w:tcPr>
            <w:tcW w:w="760" w:type="pct"/>
            <w:tcBorders>
              <w:top w:val="single" w:color="auto" w:sz="4" w:space="0"/>
              <w:left w:val="nil"/>
              <w:bottom w:val="single" w:color="auto" w:sz="4" w:space="0"/>
              <w:right w:val="nil"/>
            </w:tcBorders>
            <w:shd w:val="clear" w:color="auto" w:fill="FFFFFF"/>
            <w:vAlign w:val="center"/>
          </w:tcPr>
          <w:p w14:paraId="6461369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4285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239F4E6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PreopChemotherapy</w:t>
            </w:r>
          </w:p>
        </w:tc>
        <w:tc>
          <w:tcPr>
            <w:tcW w:w="1257" w:type="pct"/>
            <w:tcBorders>
              <w:top w:val="single" w:color="auto" w:sz="4" w:space="0"/>
              <w:left w:val="nil"/>
              <w:bottom w:val="nil"/>
              <w:right w:val="nil"/>
            </w:tcBorders>
            <w:shd w:val="clear" w:color="auto" w:fill="FFFFFF"/>
            <w:vAlign w:val="center"/>
          </w:tcPr>
          <w:p w14:paraId="3190246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01D172D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5B2F596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3369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nil"/>
              <w:right w:val="nil"/>
            </w:tcBorders>
            <w:shd w:val="clear" w:color="auto" w:fill="FFFFFF"/>
            <w:vAlign w:val="center"/>
          </w:tcPr>
          <w:p w14:paraId="1B5FEF4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l2br w:val="nil"/>
            </w:tcBorders>
            <w:shd w:val="clear" w:color="auto" w:fill="FFFFFF"/>
            <w:vAlign w:val="center"/>
          </w:tcPr>
          <w:p w14:paraId="4A6BC22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32 (74.4%)</w:t>
            </w:r>
          </w:p>
        </w:tc>
        <w:tc>
          <w:tcPr>
            <w:tcW w:w="1422" w:type="pct"/>
            <w:tcBorders>
              <w:top w:val="nil"/>
              <w:left w:val="nil"/>
              <w:bottom w:val="nil"/>
              <w:right w:val="nil"/>
            </w:tcBorders>
            <w:shd w:val="clear" w:color="auto" w:fill="FFFFFF"/>
            <w:vAlign w:val="center"/>
          </w:tcPr>
          <w:p w14:paraId="2304049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2172 (91.0%)</w:t>
            </w:r>
          </w:p>
        </w:tc>
        <w:tc>
          <w:tcPr>
            <w:tcW w:w="760" w:type="pct"/>
            <w:tcBorders>
              <w:top w:val="nil"/>
              <w:left w:val="nil"/>
              <w:bottom w:val="nil"/>
              <w:right w:val="nil"/>
            </w:tcBorders>
            <w:shd w:val="clear" w:color="auto" w:fill="FFFFFF"/>
            <w:vAlign w:val="center"/>
          </w:tcPr>
          <w:p w14:paraId="6C311E6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&lt;0.001</w:t>
            </w:r>
          </w:p>
        </w:tc>
      </w:tr>
      <w:tr w14:paraId="224AD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single" w:color="auto" w:sz="4" w:space="0"/>
              <w:right w:val="nil"/>
            </w:tcBorders>
            <w:shd w:val="clear" w:color="auto" w:fill="FFFFFF"/>
            <w:vAlign w:val="center"/>
          </w:tcPr>
          <w:p w14:paraId="5E7CDD0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single" w:color="auto" w:sz="4" w:space="0"/>
              <w:right w:val="nil"/>
            </w:tcBorders>
            <w:shd w:val="clear" w:color="auto" w:fill="FFFFFF"/>
            <w:vAlign w:val="center"/>
          </w:tcPr>
          <w:p w14:paraId="7739661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11 (25.6%)</w:t>
            </w:r>
          </w:p>
        </w:tc>
        <w:tc>
          <w:tcPr>
            <w:tcW w:w="1422" w:type="pct"/>
            <w:tcBorders>
              <w:top w:val="nil"/>
              <w:left w:val="nil"/>
              <w:bottom w:val="single" w:color="auto" w:sz="4" w:space="0"/>
              <w:right w:val="nil"/>
            </w:tcBorders>
            <w:shd w:val="clear" w:color="auto" w:fill="FFFFFF"/>
            <w:vAlign w:val="center"/>
          </w:tcPr>
          <w:p w14:paraId="700F1BF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215 (9.0%)</w:t>
            </w:r>
          </w:p>
        </w:tc>
        <w:tc>
          <w:tcPr>
            <w:tcW w:w="760" w:type="pct"/>
            <w:tcBorders>
              <w:top w:val="nil"/>
              <w:left w:val="nil"/>
              <w:bottom w:val="single" w:color="auto" w:sz="4" w:space="0"/>
              <w:right w:val="nil"/>
            </w:tcBorders>
            <w:shd w:val="clear" w:color="auto" w:fill="FFFFFF"/>
            <w:vAlign w:val="center"/>
          </w:tcPr>
          <w:p w14:paraId="0EB0737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13C6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2B4D84B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PreopConcurrentCRT</w:t>
            </w:r>
          </w:p>
        </w:tc>
        <w:tc>
          <w:tcPr>
            <w:tcW w:w="1257" w:type="pct"/>
            <w:tcBorders>
              <w:top w:val="single" w:color="auto" w:sz="4" w:space="0"/>
              <w:left w:val="nil"/>
              <w:bottom w:val="nil"/>
              <w:right w:val="nil"/>
            </w:tcBorders>
            <w:shd w:val="clear" w:color="auto" w:fill="FFFFFF"/>
            <w:vAlign w:val="center"/>
          </w:tcPr>
          <w:p w14:paraId="57E859D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07CB30E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1920A0D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163E4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nil"/>
              <w:right w:val="nil"/>
            </w:tcBorders>
            <w:shd w:val="clear" w:color="auto" w:fill="FFFFFF"/>
            <w:vAlign w:val="center"/>
          </w:tcPr>
          <w:p w14:paraId="4D1B6C2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3010273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34 (79.1%)</w:t>
            </w:r>
          </w:p>
        </w:tc>
        <w:tc>
          <w:tcPr>
            <w:tcW w:w="1422" w:type="pct"/>
            <w:tcBorders>
              <w:top w:val="nil"/>
              <w:left w:val="nil"/>
              <w:bottom w:val="nil"/>
              <w:right w:val="nil"/>
            </w:tcBorders>
            <w:shd w:val="clear" w:color="auto" w:fill="FFFFFF"/>
            <w:vAlign w:val="center"/>
          </w:tcPr>
          <w:p w14:paraId="76BD8B7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2340 (98.0%)</w:t>
            </w:r>
          </w:p>
        </w:tc>
        <w:tc>
          <w:tcPr>
            <w:tcW w:w="760" w:type="pct"/>
            <w:tcBorders>
              <w:top w:val="nil"/>
              <w:left w:val="nil"/>
              <w:bottom w:val="nil"/>
              <w:right w:val="nil"/>
            </w:tcBorders>
            <w:shd w:val="clear" w:color="auto" w:fill="FFFFFF"/>
            <w:vAlign w:val="center"/>
          </w:tcPr>
          <w:p w14:paraId="609D8683">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&lt;0.001</w:t>
            </w:r>
          </w:p>
        </w:tc>
      </w:tr>
      <w:tr w14:paraId="61C1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nil"/>
              <w:right w:val="nil"/>
            </w:tcBorders>
            <w:shd w:val="clear" w:color="auto" w:fill="FFFFFF"/>
            <w:vAlign w:val="center"/>
          </w:tcPr>
          <w:p w14:paraId="6E517E6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&lt;=60 Gy</w:t>
            </w:r>
          </w:p>
        </w:tc>
        <w:tc>
          <w:tcPr>
            <w:tcW w:w="1257" w:type="pct"/>
            <w:tcBorders>
              <w:top w:val="nil"/>
              <w:left w:val="nil"/>
              <w:bottom w:val="nil"/>
              <w:right w:val="nil"/>
            </w:tcBorders>
            <w:shd w:val="clear" w:color="auto" w:fill="FFFFFF"/>
            <w:vAlign w:val="center"/>
          </w:tcPr>
          <w:p w14:paraId="476A661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7 (16.3%)</w:t>
            </w:r>
          </w:p>
        </w:tc>
        <w:tc>
          <w:tcPr>
            <w:tcW w:w="1422" w:type="pct"/>
            <w:tcBorders>
              <w:top w:val="nil"/>
              <w:left w:val="nil"/>
              <w:bottom w:val="nil"/>
              <w:right w:val="nil"/>
            </w:tcBorders>
            <w:shd w:val="clear" w:color="auto" w:fill="FFFFFF"/>
            <w:vAlign w:val="center"/>
          </w:tcPr>
          <w:p w14:paraId="57DA8CB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33 (1.4%)</w:t>
            </w:r>
          </w:p>
        </w:tc>
        <w:tc>
          <w:tcPr>
            <w:tcW w:w="760" w:type="pct"/>
            <w:tcBorders>
              <w:top w:val="nil"/>
              <w:left w:val="nil"/>
              <w:bottom w:val="nil"/>
              <w:right w:val="nil"/>
            </w:tcBorders>
            <w:shd w:val="clear" w:color="auto" w:fill="FFFFFF"/>
            <w:vAlign w:val="center"/>
          </w:tcPr>
          <w:p w14:paraId="7656247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0A3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nil"/>
              <w:right w:val="nil"/>
            </w:tcBorders>
            <w:shd w:val="clear" w:color="auto" w:fill="FFFFFF"/>
            <w:vAlign w:val="center"/>
          </w:tcPr>
          <w:p w14:paraId="75759E2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&gt;60 Gy</w:t>
            </w:r>
          </w:p>
        </w:tc>
        <w:tc>
          <w:tcPr>
            <w:tcW w:w="1257" w:type="pct"/>
            <w:tcBorders>
              <w:top w:val="nil"/>
              <w:left w:val="nil"/>
              <w:bottom w:val="nil"/>
              <w:right w:val="nil"/>
            </w:tcBorders>
            <w:shd w:val="clear" w:color="auto" w:fill="FFFFFF"/>
            <w:vAlign w:val="center"/>
          </w:tcPr>
          <w:p w14:paraId="49FA4F9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 (2.3%)</w:t>
            </w:r>
          </w:p>
        </w:tc>
        <w:tc>
          <w:tcPr>
            <w:tcW w:w="1422" w:type="pct"/>
            <w:tcBorders>
              <w:top w:val="nil"/>
              <w:left w:val="nil"/>
              <w:bottom w:val="nil"/>
              <w:right w:val="nil"/>
            </w:tcBorders>
            <w:shd w:val="clear" w:color="auto" w:fill="FFFFFF"/>
            <w:vAlign w:val="center"/>
          </w:tcPr>
          <w:p w14:paraId="43ABD19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12 (0.5%)</w:t>
            </w:r>
          </w:p>
        </w:tc>
        <w:tc>
          <w:tcPr>
            <w:tcW w:w="760" w:type="pct"/>
            <w:tcBorders>
              <w:top w:val="nil"/>
              <w:left w:val="nil"/>
              <w:bottom w:val="nil"/>
              <w:right w:val="nil"/>
            </w:tcBorders>
            <w:shd w:val="clear" w:color="auto" w:fill="FFFFFF"/>
            <w:vAlign w:val="center"/>
          </w:tcPr>
          <w:p w14:paraId="5A85640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72FA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nil"/>
              <w:left w:val="nil"/>
              <w:bottom w:val="single" w:color="auto" w:sz="4" w:space="0"/>
              <w:right w:val="nil"/>
            </w:tcBorders>
            <w:shd w:val="clear" w:color="auto" w:fill="FFFFFF"/>
            <w:vAlign w:val="center"/>
          </w:tcPr>
          <w:p w14:paraId="5100AAB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 but exact dose unknown</w:t>
            </w:r>
          </w:p>
        </w:tc>
        <w:tc>
          <w:tcPr>
            <w:tcW w:w="1257" w:type="pct"/>
            <w:tcBorders>
              <w:top w:val="nil"/>
              <w:left w:val="nil"/>
              <w:bottom w:val="single" w:color="auto" w:sz="4" w:space="0"/>
              <w:right w:val="nil"/>
            </w:tcBorders>
            <w:shd w:val="clear" w:color="auto" w:fill="FFFFFF"/>
            <w:vAlign w:val="center"/>
          </w:tcPr>
          <w:p w14:paraId="651353D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 (2.3%)</w:t>
            </w:r>
          </w:p>
        </w:tc>
        <w:tc>
          <w:tcPr>
            <w:tcW w:w="1422" w:type="pct"/>
            <w:tcBorders>
              <w:top w:val="nil"/>
              <w:left w:val="nil"/>
              <w:bottom w:val="single" w:color="auto" w:sz="4" w:space="0"/>
              <w:right w:val="nil"/>
            </w:tcBorders>
            <w:shd w:val="clear" w:color="auto" w:fill="FFFFFF"/>
            <w:vAlign w:val="center"/>
          </w:tcPr>
          <w:p w14:paraId="1550278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 (0.1%)</w:t>
            </w:r>
          </w:p>
        </w:tc>
        <w:tc>
          <w:tcPr>
            <w:tcW w:w="760" w:type="pct"/>
            <w:tcBorders>
              <w:top w:val="nil"/>
              <w:left w:val="nil"/>
              <w:bottom w:val="single" w:color="auto" w:sz="4" w:space="0"/>
              <w:right w:val="nil"/>
            </w:tcBorders>
            <w:shd w:val="clear" w:color="auto" w:fill="FFFFFF"/>
            <w:vAlign w:val="center"/>
          </w:tcPr>
          <w:p w14:paraId="4BECAF5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677E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47C002A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Endoscopy</w:t>
            </w:r>
          </w:p>
        </w:tc>
        <w:tc>
          <w:tcPr>
            <w:tcW w:w="1257" w:type="pct"/>
            <w:tcBorders>
              <w:top w:val="single" w:color="auto" w:sz="4" w:space="0"/>
              <w:left w:val="nil"/>
              <w:bottom w:val="single" w:color="auto" w:sz="4" w:space="0"/>
              <w:right w:val="nil"/>
            </w:tcBorders>
            <w:shd w:val="clear" w:color="auto" w:fill="FFFFFF"/>
            <w:vAlign w:val="center"/>
          </w:tcPr>
          <w:p w14:paraId="2C33219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single" w:color="auto" w:sz="4" w:space="0"/>
              <w:right w:val="nil"/>
            </w:tcBorders>
            <w:shd w:val="clear" w:color="auto" w:fill="FFFFFF"/>
            <w:vAlign w:val="center"/>
          </w:tcPr>
          <w:p w14:paraId="409CF5B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single" w:color="auto" w:sz="4" w:space="0"/>
              <w:right w:val="nil"/>
            </w:tcBorders>
            <w:shd w:val="clear" w:color="auto" w:fill="FFFFFF"/>
            <w:vAlign w:val="center"/>
          </w:tcPr>
          <w:p w14:paraId="608B9FC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29AC2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3EB28E6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single" w:color="auto" w:sz="4" w:space="0"/>
              <w:left w:val="nil"/>
              <w:bottom w:val="single" w:color="auto" w:sz="4" w:space="0"/>
              <w:right w:val="nil"/>
            </w:tcBorders>
            <w:shd w:val="clear" w:color="auto" w:fill="FFFFFF"/>
            <w:vAlign w:val="center"/>
          </w:tcPr>
          <w:p w14:paraId="19E6B2F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42 (97.7%)</w:t>
            </w:r>
          </w:p>
        </w:tc>
        <w:tc>
          <w:tcPr>
            <w:tcW w:w="1422" w:type="pct"/>
            <w:tcBorders>
              <w:top w:val="single" w:color="auto" w:sz="4" w:space="0"/>
              <w:left w:val="nil"/>
              <w:bottom w:val="single" w:color="auto" w:sz="4" w:space="0"/>
              <w:right w:val="nil"/>
            </w:tcBorders>
            <w:shd w:val="clear" w:color="auto" w:fill="FFFFFF"/>
            <w:vAlign w:val="center"/>
          </w:tcPr>
          <w:p w14:paraId="12CA41B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2380 (99.7%)</w:t>
            </w:r>
          </w:p>
        </w:tc>
        <w:tc>
          <w:tcPr>
            <w:tcW w:w="760" w:type="pct"/>
            <w:tcBorders>
              <w:top w:val="single" w:color="auto" w:sz="4" w:space="0"/>
              <w:left w:val="nil"/>
              <w:bottom w:val="single" w:color="auto" w:sz="4" w:space="0"/>
              <w:right w:val="nil"/>
            </w:tcBorders>
            <w:shd w:val="clear" w:color="auto" w:fill="FFFFFF"/>
            <w:vAlign w:val="center"/>
          </w:tcPr>
          <w:p w14:paraId="44A36C4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0.021</w:t>
            </w:r>
          </w:p>
        </w:tc>
      </w:tr>
      <w:tr w14:paraId="3F5D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2FD81D5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single" w:color="auto" w:sz="4" w:space="0"/>
              <w:left w:val="nil"/>
              <w:bottom w:val="single" w:color="auto" w:sz="4" w:space="0"/>
              <w:right w:val="nil"/>
            </w:tcBorders>
            <w:shd w:val="clear" w:color="auto" w:fill="FFFFFF"/>
            <w:vAlign w:val="center"/>
          </w:tcPr>
          <w:p w14:paraId="7497305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 (2.3%)</w:t>
            </w:r>
          </w:p>
        </w:tc>
        <w:tc>
          <w:tcPr>
            <w:tcW w:w="1422" w:type="pct"/>
            <w:tcBorders>
              <w:top w:val="single" w:color="auto" w:sz="4" w:space="0"/>
              <w:left w:val="nil"/>
              <w:bottom w:val="single" w:color="auto" w:sz="4" w:space="0"/>
              <w:right w:val="nil"/>
            </w:tcBorders>
            <w:shd w:val="clear" w:color="auto" w:fill="FFFFFF"/>
            <w:vAlign w:val="center"/>
          </w:tcPr>
          <w:p w14:paraId="3360C9D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7 (0.3%)</w:t>
            </w:r>
          </w:p>
        </w:tc>
        <w:tc>
          <w:tcPr>
            <w:tcW w:w="760" w:type="pct"/>
            <w:tcBorders>
              <w:top w:val="single" w:color="auto" w:sz="4" w:space="0"/>
              <w:left w:val="nil"/>
              <w:bottom w:val="single" w:color="auto" w:sz="4" w:space="0"/>
              <w:right w:val="nil"/>
            </w:tcBorders>
            <w:shd w:val="clear" w:color="auto" w:fill="FFFFFF"/>
            <w:vAlign w:val="center"/>
          </w:tcPr>
          <w:p w14:paraId="062C2B93">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7B26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01DB972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Tracheostomy</w:t>
            </w:r>
          </w:p>
        </w:tc>
        <w:tc>
          <w:tcPr>
            <w:tcW w:w="1257" w:type="pct"/>
            <w:tcBorders>
              <w:top w:val="single" w:color="auto" w:sz="4" w:space="0"/>
              <w:left w:val="nil"/>
              <w:bottom w:val="nil"/>
              <w:right w:val="nil"/>
            </w:tcBorders>
            <w:shd w:val="clear" w:color="auto" w:fill="FFFFFF"/>
            <w:vAlign w:val="center"/>
          </w:tcPr>
          <w:p w14:paraId="6041AFA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52FD156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522BF36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5C7F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60" w:type="pct"/>
            <w:tcBorders>
              <w:top w:val="single" w:color="auto" w:sz="4" w:space="0"/>
              <w:left w:val="nil"/>
              <w:bottom w:val="nil"/>
              <w:right w:val="nil"/>
            </w:tcBorders>
            <w:shd w:val="clear" w:color="auto" w:fill="FFFFFF"/>
            <w:vAlign w:val="center"/>
          </w:tcPr>
          <w:p w14:paraId="11210FC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3C661C7B">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40 (93.0%)</w:t>
            </w:r>
          </w:p>
        </w:tc>
        <w:tc>
          <w:tcPr>
            <w:tcW w:w="1422" w:type="pct"/>
            <w:tcBorders>
              <w:top w:val="nil"/>
              <w:left w:val="nil"/>
              <w:bottom w:val="nil"/>
              <w:right w:val="nil"/>
            </w:tcBorders>
            <w:shd w:val="clear" w:color="auto" w:fill="FFFFFF"/>
            <w:vAlign w:val="center"/>
          </w:tcPr>
          <w:p w14:paraId="345F6B7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2069 (86.7%)</w:t>
            </w:r>
          </w:p>
        </w:tc>
        <w:tc>
          <w:tcPr>
            <w:tcW w:w="760" w:type="pct"/>
            <w:tcBorders>
              <w:top w:val="nil"/>
              <w:left w:val="nil"/>
              <w:bottom w:val="nil"/>
              <w:right w:val="nil"/>
            </w:tcBorders>
            <w:shd w:val="clear" w:color="auto" w:fill="FFFFFF"/>
            <w:vAlign w:val="center"/>
          </w:tcPr>
          <w:p w14:paraId="4BAA3A0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0.223</w:t>
            </w:r>
          </w:p>
        </w:tc>
      </w:tr>
      <w:tr w14:paraId="5951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60" w:type="pct"/>
            <w:tcBorders>
              <w:top w:val="nil"/>
              <w:left w:val="nil"/>
              <w:bottom w:val="single" w:color="auto" w:sz="4" w:space="0"/>
              <w:right w:val="nil"/>
            </w:tcBorders>
            <w:shd w:val="clear" w:color="auto" w:fill="FFFFFF"/>
            <w:vAlign w:val="center"/>
          </w:tcPr>
          <w:p w14:paraId="327349A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single" w:color="auto" w:sz="4" w:space="0"/>
              <w:right w:val="nil"/>
            </w:tcBorders>
            <w:shd w:val="clear" w:color="auto" w:fill="FFFFFF"/>
            <w:vAlign w:val="center"/>
          </w:tcPr>
          <w:p w14:paraId="0BDE8E7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 (7.0%)</w:t>
            </w:r>
          </w:p>
        </w:tc>
        <w:tc>
          <w:tcPr>
            <w:tcW w:w="1422" w:type="pct"/>
            <w:tcBorders>
              <w:top w:val="nil"/>
              <w:left w:val="nil"/>
              <w:bottom w:val="single" w:color="auto" w:sz="4" w:space="0"/>
              <w:right w:val="nil"/>
            </w:tcBorders>
            <w:shd w:val="clear" w:color="auto" w:fill="FFFFFF"/>
            <w:vAlign w:val="center"/>
          </w:tcPr>
          <w:p w14:paraId="740B9D6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318 (13.3%)</w:t>
            </w:r>
          </w:p>
        </w:tc>
        <w:tc>
          <w:tcPr>
            <w:tcW w:w="760" w:type="pct"/>
            <w:tcBorders>
              <w:top w:val="nil"/>
              <w:left w:val="nil"/>
              <w:bottom w:val="single" w:color="auto" w:sz="4" w:space="0"/>
              <w:right w:val="nil"/>
            </w:tcBorders>
            <w:shd w:val="clear" w:color="auto" w:fill="FFFFFF"/>
            <w:vAlign w:val="center"/>
          </w:tcPr>
          <w:p w14:paraId="7CA176A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66D9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pct"/>
            <w:tcBorders>
              <w:top w:val="single" w:color="auto" w:sz="4" w:space="0"/>
              <w:left w:val="nil"/>
              <w:bottom w:val="single" w:color="auto" w:sz="4" w:space="0"/>
              <w:right w:val="nil"/>
            </w:tcBorders>
            <w:shd w:val="clear" w:color="auto" w:fill="FFFFFF"/>
            <w:vAlign w:val="center"/>
          </w:tcPr>
          <w:p w14:paraId="21117F3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Differentiation</w:t>
            </w:r>
          </w:p>
        </w:tc>
        <w:tc>
          <w:tcPr>
            <w:tcW w:w="1257" w:type="pct"/>
            <w:tcBorders>
              <w:top w:val="single" w:color="auto" w:sz="4" w:space="0"/>
              <w:left w:val="nil"/>
              <w:bottom w:val="nil"/>
              <w:right w:val="nil"/>
            </w:tcBorders>
            <w:shd w:val="clear" w:color="auto" w:fill="FFFFFF"/>
            <w:vAlign w:val="center"/>
          </w:tcPr>
          <w:p w14:paraId="374B047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auto" w:sz="4" w:space="0"/>
              <w:left w:val="nil"/>
              <w:bottom w:val="nil"/>
              <w:right w:val="nil"/>
            </w:tcBorders>
            <w:shd w:val="clear" w:color="auto" w:fill="FFFFFF"/>
            <w:vAlign w:val="center"/>
          </w:tcPr>
          <w:p w14:paraId="53F69FF2">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auto" w:sz="4" w:space="0"/>
              <w:left w:val="nil"/>
              <w:bottom w:val="nil"/>
              <w:right w:val="nil"/>
            </w:tcBorders>
            <w:shd w:val="clear" w:color="auto" w:fill="FFFFFF"/>
            <w:vAlign w:val="center"/>
          </w:tcPr>
          <w:p w14:paraId="3762DD8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4EE0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60" w:type="pct"/>
            <w:tcBorders>
              <w:top w:val="single" w:color="auto" w:sz="4" w:space="0"/>
              <w:left w:val="nil"/>
              <w:bottom w:val="nil"/>
              <w:right w:val="nil"/>
            </w:tcBorders>
            <w:shd w:val="clear" w:color="auto" w:fill="FFFFFF"/>
            <w:vAlign w:val="center"/>
          </w:tcPr>
          <w:p w14:paraId="4190B81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67F3EEA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12 (27.9%)</w:t>
            </w:r>
          </w:p>
        </w:tc>
        <w:tc>
          <w:tcPr>
            <w:tcW w:w="1422" w:type="pct"/>
            <w:tcBorders>
              <w:top w:val="nil"/>
              <w:left w:val="nil"/>
              <w:bottom w:val="nil"/>
              <w:right w:val="nil"/>
            </w:tcBorders>
            <w:shd w:val="clear" w:color="auto" w:fill="FFFFFF"/>
            <w:vAlign w:val="center"/>
          </w:tcPr>
          <w:p w14:paraId="1417466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1144 (47.9%)</w:t>
            </w:r>
          </w:p>
        </w:tc>
        <w:tc>
          <w:tcPr>
            <w:tcW w:w="760" w:type="pct"/>
            <w:tcBorders>
              <w:top w:val="nil"/>
              <w:left w:val="nil"/>
              <w:bottom w:val="nil"/>
              <w:right w:val="nil"/>
            </w:tcBorders>
            <w:shd w:val="clear" w:color="auto" w:fill="FFFFFF"/>
            <w:vAlign w:val="center"/>
          </w:tcPr>
          <w:p w14:paraId="5BF486B4">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0.037</w:t>
            </w:r>
          </w:p>
        </w:tc>
      </w:tr>
      <w:tr w14:paraId="3C622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60" w:type="pct"/>
            <w:tcBorders>
              <w:top w:val="nil"/>
              <w:left w:val="nil"/>
              <w:bottom w:val="nil"/>
              <w:right w:val="nil"/>
            </w:tcBorders>
            <w:shd w:val="clear" w:color="auto" w:fill="FFFFFF"/>
            <w:vAlign w:val="center"/>
          </w:tcPr>
          <w:p w14:paraId="1646208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Low</w:t>
            </w:r>
          </w:p>
        </w:tc>
        <w:tc>
          <w:tcPr>
            <w:tcW w:w="1257" w:type="pct"/>
            <w:tcBorders>
              <w:top w:val="nil"/>
              <w:left w:val="nil"/>
              <w:bottom w:val="nil"/>
              <w:right w:val="nil"/>
            </w:tcBorders>
            <w:shd w:val="clear" w:color="auto" w:fill="FFFFFF"/>
            <w:vAlign w:val="center"/>
          </w:tcPr>
          <w:p w14:paraId="1B5B5C8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10 (23.3%)</w:t>
            </w:r>
          </w:p>
        </w:tc>
        <w:tc>
          <w:tcPr>
            <w:tcW w:w="1422" w:type="pct"/>
            <w:tcBorders>
              <w:top w:val="nil"/>
              <w:left w:val="nil"/>
              <w:bottom w:val="nil"/>
              <w:right w:val="nil"/>
            </w:tcBorders>
            <w:shd w:val="clear" w:color="auto" w:fill="FFFFFF"/>
            <w:vAlign w:val="center"/>
          </w:tcPr>
          <w:p w14:paraId="1AF8527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318 (13.3%)</w:t>
            </w:r>
          </w:p>
        </w:tc>
        <w:tc>
          <w:tcPr>
            <w:tcW w:w="760" w:type="pct"/>
            <w:tcBorders>
              <w:top w:val="nil"/>
              <w:left w:val="nil"/>
              <w:bottom w:val="nil"/>
              <w:right w:val="nil"/>
            </w:tcBorders>
            <w:shd w:val="clear" w:color="auto" w:fill="FFFFFF"/>
            <w:vAlign w:val="center"/>
          </w:tcPr>
          <w:p w14:paraId="4380B9B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1B486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60" w:type="pct"/>
            <w:tcBorders>
              <w:top w:val="nil"/>
              <w:left w:val="nil"/>
              <w:bottom w:val="nil"/>
              <w:right w:val="nil"/>
            </w:tcBorders>
            <w:shd w:val="clear" w:color="auto" w:fill="FFFFFF"/>
            <w:vAlign w:val="center"/>
          </w:tcPr>
          <w:p w14:paraId="0963D52E">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Moderate</w:t>
            </w:r>
          </w:p>
        </w:tc>
        <w:tc>
          <w:tcPr>
            <w:tcW w:w="1257" w:type="pct"/>
            <w:tcBorders>
              <w:top w:val="nil"/>
              <w:left w:val="nil"/>
              <w:bottom w:val="nil"/>
              <w:right w:val="nil"/>
            </w:tcBorders>
            <w:shd w:val="clear" w:color="auto" w:fill="FFFFFF"/>
            <w:vAlign w:val="center"/>
          </w:tcPr>
          <w:p w14:paraId="6C1AE41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14 (32.6%)</w:t>
            </w:r>
          </w:p>
        </w:tc>
        <w:tc>
          <w:tcPr>
            <w:tcW w:w="1422" w:type="pct"/>
            <w:tcBorders>
              <w:top w:val="nil"/>
              <w:left w:val="nil"/>
              <w:bottom w:val="nil"/>
              <w:right w:val="nil"/>
            </w:tcBorders>
            <w:shd w:val="clear" w:color="auto" w:fill="FFFFFF"/>
            <w:vAlign w:val="center"/>
          </w:tcPr>
          <w:p w14:paraId="4755AAE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541 (22.7%)</w:t>
            </w:r>
          </w:p>
        </w:tc>
        <w:tc>
          <w:tcPr>
            <w:tcW w:w="760" w:type="pct"/>
            <w:tcBorders>
              <w:top w:val="nil"/>
              <w:left w:val="nil"/>
              <w:bottom w:val="nil"/>
              <w:right w:val="nil"/>
            </w:tcBorders>
            <w:shd w:val="clear" w:color="auto" w:fill="FFFFFF"/>
            <w:vAlign w:val="center"/>
          </w:tcPr>
          <w:p w14:paraId="5AF0BB9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4BE4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60" w:type="pct"/>
            <w:tcBorders>
              <w:top w:val="nil"/>
              <w:left w:val="nil"/>
              <w:bottom w:val="single" w:color="000000" w:sz="4" w:space="0"/>
              <w:right w:val="nil"/>
            </w:tcBorders>
            <w:shd w:val="clear" w:color="auto" w:fill="FFFFFF"/>
            <w:vAlign w:val="center"/>
          </w:tcPr>
          <w:p w14:paraId="3D03891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High</w:t>
            </w:r>
          </w:p>
        </w:tc>
        <w:tc>
          <w:tcPr>
            <w:tcW w:w="1257" w:type="pct"/>
            <w:tcBorders>
              <w:top w:val="nil"/>
              <w:left w:val="nil"/>
              <w:bottom w:val="single" w:color="000000" w:sz="4" w:space="0"/>
              <w:right w:val="nil"/>
            </w:tcBorders>
            <w:shd w:val="clear" w:color="auto" w:fill="FFFFFF"/>
            <w:vAlign w:val="center"/>
          </w:tcPr>
          <w:p w14:paraId="516350FD">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7 (16.3%)</w:t>
            </w:r>
          </w:p>
        </w:tc>
        <w:tc>
          <w:tcPr>
            <w:tcW w:w="1422" w:type="pct"/>
            <w:tcBorders>
              <w:top w:val="nil"/>
              <w:left w:val="nil"/>
              <w:bottom w:val="single" w:color="000000" w:sz="4" w:space="0"/>
              <w:right w:val="nil"/>
            </w:tcBorders>
            <w:shd w:val="clear" w:color="auto" w:fill="FFFFFF"/>
            <w:vAlign w:val="center"/>
          </w:tcPr>
          <w:p w14:paraId="748097B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384 (16.1%)</w:t>
            </w:r>
          </w:p>
        </w:tc>
        <w:tc>
          <w:tcPr>
            <w:tcW w:w="760" w:type="pct"/>
            <w:tcBorders>
              <w:top w:val="nil"/>
              <w:left w:val="nil"/>
              <w:bottom w:val="single" w:color="000000" w:sz="4" w:space="0"/>
              <w:right w:val="nil"/>
            </w:tcBorders>
            <w:shd w:val="clear" w:color="auto" w:fill="FFFFFF"/>
            <w:vAlign w:val="center"/>
          </w:tcPr>
          <w:p w14:paraId="4CE905C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6332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60" w:type="pct"/>
            <w:tcBorders>
              <w:top w:val="single" w:color="000000" w:sz="4" w:space="0"/>
              <w:left w:val="nil"/>
              <w:bottom w:val="single" w:color="auto" w:sz="4" w:space="0"/>
              <w:right w:val="nil"/>
            </w:tcBorders>
            <w:shd w:val="clear" w:color="auto" w:fill="FFFFFF"/>
            <w:vAlign w:val="center"/>
          </w:tcPr>
          <w:p w14:paraId="4857ED7C">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MultiplePrimary</w:t>
            </w:r>
          </w:p>
        </w:tc>
        <w:tc>
          <w:tcPr>
            <w:tcW w:w="1257" w:type="pct"/>
            <w:tcBorders>
              <w:top w:val="single" w:color="000000" w:sz="4" w:space="0"/>
              <w:left w:val="nil"/>
              <w:bottom w:val="nil"/>
              <w:right w:val="nil"/>
            </w:tcBorders>
            <w:shd w:val="clear" w:color="auto" w:fill="FFFFFF"/>
            <w:vAlign w:val="center"/>
          </w:tcPr>
          <w:p w14:paraId="46AE5EB6">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1422" w:type="pct"/>
            <w:tcBorders>
              <w:top w:val="single" w:color="000000" w:sz="4" w:space="0"/>
              <w:left w:val="nil"/>
              <w:bottom w:val="nil"/>
              <w:right w:val="nil"/>
            </w:tcBorders>
            <w:shd w:val="clear" w:color="auto" w:fill="FFFFFF"/>
            <w:vAlign w:val="center"/>
          </w:tcPr>
          <w:p w14:paraId="03684B1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c>
          <w:tcPr>
            <w:tcW w:w="760" w:type="pct"/>
            <w:tcBorders>
              <w:top w:val="single" w:color="000000" w:sz="4" w:space="0"/>
              <w:left w:val="nil"/>
              <w:bottom w:val="nil"/>
              <w:right w:val="nil"/>
            </w:tcBorders>
            <w:shd w:val="clear" w:color="auto" w:fill="FFFFFF"/>
            <w:vAlign w:val="center"/>
          </w:tcPr>
          <w:p w14:paraId="4A03AD25">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34F1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60" w:type="pct"/>
            <w:tcBorders>
              <w:top w:val="single" w:color="auto" w:sz="4" w:space="0"/>
              <w:left w:val="nil"/>
              <w:bottom w:val="nil"/>
              <w:right w:val="nil"/>
            </w:tcBorders>
            <w:shd w:val="clear" w:color="auto" w:fill="FFFFFF"/>
            <w:vAlign w:val="center"/>
          </w:tcPr>
          <w:p w14:paraId="35220D91">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None</w:t>
            </w:r>
          </w:p>
        </w:tc>
        <w:tc>
          <w:tcPr>
            <w:tcW w:w="1257" w:type="pct"/>
            <w:tcBorders>
              <w:top w:val="nil"/>
              <w:left w:val="nil"/>
              <w:bottom w:val="nil"/>
              <w:right w:val="nil"/>
            </w:tcBorders>
            <w:shd w:val="clear" w:color="auto" w:fill="FFFFFF"/>
            <w:vAlign w:val="center"/>
          </w:tcPr>
          <w:p w14:paraId="7F826AFF">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36 (83.7%)</w:t>
            </w:r>
          </w:p>
        </w:tc>
        <w:tc>
          <w:tcPr>
            <w:tcW w:w="1422" w:type="pct"/>
            <w:tcBorders>
              <w:top w:val="nil"/>
              <w:left w:val="nil"/>
              <w:bottom w:val="nil"/>
              <w:right w:val="nil"/>
            </w:tcBorders>
            <w:shd w:val="clear" w:color="auto" w:fill="FFFFFF"/>
            <w:vAlign w:val="center"/>
          </w:tcPr>
          <w:p w14:paraId="5A022FB8">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2095 (87.8%)</w:t>
            </w:r>
          </w:p>
        </w:tc>
        <w:tc>
          <w:tcPr>
            <w:tcW w:w="760" w:type="pct"/>
            <w:tcBorders>
              <w:top w:val="nil"/>
              <w:left w:val="nil"/>
              <w:bottom w:val="nil"/>
              <w:right w:val="nil"/>
            </w:tcBorders>
            <w:shd w:val="clear" w:color="auto" w:fill="FFFFFF"/>
            <w:vAlign w:val="center"/>
          </w:tcPr>
          <w:p w14:paraId="46CBD1E3">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0.423</w:t>
            </w:r>
          </w:p>
        </w:tc>
      </w:tr>
      <w:tr w14:paraId="355F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60" w:type="pct"/>
            <w:tcBorders>
              <w:top w:val="nil"/>
              <w:left w:val="nil"/>
              <w:bottom w:val="single" w:color="000000" w:sz="4" w:space="0"/>
              <w:right w:val="nil"/>
            </w:tcBorders>
            <w:shd w:val="clear" w:color="auto" w:fill="FFFFFF"/>
            <w:vAlign w:val="center"/>
          </w:tcPr>
          <w:p w14:paraId="42794D70">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Yes</w:t>
            </w:r>
          </w:p>
        </w:tc>
        <w:tc>
          <w:tcPr>
            <w:tcW w:w="1257" w:type="pct"/>
            <w:tcBorders>
              <w:top w:val="nil"/>
              <w:left w:val="nil"/>
              <w:bottom w:val="single" w:color="000000" w:sz="4" w:space="0"/>
              <w:right w:val="nil"/>
            </w:tcBorders>
            <w:shd w:val="clear" w:color="auto" w:fill="FFFFFF"/>
            <w:vAlign w:val="center"/>
          </w:tcPr>
          <w:p w14:paraId="63FF73E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7 (16.3%)</w:t>
            </w:r>
          </w:p>
        </w:tc>
        <w:tc>
          <w:tcPr>
            <w:tcW w:w="1422" w:type="pct"/>
            <w:tcBorders>
              <w:top w:val="nil"/>
              <w:left w:val="nil"/>
              <w:bottom w:val="single" w:color="000000" w:sz="4" w:space="0"/>
              <w:right w:val="nil"/>
            </w:tcBorders>
            <w:shd w:val="clear" w:color="auto" w:fill="FFFFFF"/>
            <w:vAlign w:val="center"/>
          </w:tcPr>
          <w:p w14:paraId="6C3766B7">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292 (12.2%)</w:t>
            </w:r>
          </w:p>
        </w:tc>
        <w:tc>
          <w:tcPr>
            <w:tcW w:w="760" w:type="pct"/>
            <w:tcBorders>
              <w:top w:val="nil"/>
              <w:left w:val="nil"/>
              <w:bottom w:val="single" w:color="000000" w:sz="4" w:space="0"/>
              <w:right w:val="nil"/>
            </w:tcBorders>
            <w:shd w:val="clear" w:color="auto" w:fill="FFFFFF"/>
            <w:vAlign w:val="center"/>
          </w:tcPr>
          <w:p w14:paraId="28B93E59">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p>
        </w:tc>
      </w:tr>
      <w:tr w14:paraId="22A9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560" w:type="pct"/>
            <w:tcBorders>
              <w:top w:val="single" w:color="000000" w:sz="4" w:space="0"/>
              <w:left w:val="nil"/>
              <w:bottom w:val="single" w:color="000000" w:sz="12" w:space="0"/>
              <w:right w:val="nil"/>
            </w:tcBorders>
            <w:shd w:val="clear" w:color="auto" w:fill="auto"/>
            <w:vAlign w:val="center"/>
          </w:tcPr>
          <w:p w14:paraId="4B485DDA">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b/>
                <w:bCs/>
                <w:color w:val="auto"/>
                <w:sz w:val="16"/>
                <w:szCs w:val="20"/>
                <w:lang w:val="en-US" w:eastAsia="zh-CN"/>
                <w14:ligatures w14:val="standardContextual"/>
              </w:rPr>
              <w:t>LengthOfStay</w:t>
            </w:r>
          </w:p>
        </w:tc>
        <w:tc>
          <w:tcPr>
            <w:tcW w:w="1257" w:type="pct"/>
            <w:tcBorders>
              <w:top w:val="single" w:color="000000" w:sz="4" w:space="0"/>
              <w:left w:val="nil"/>
              <w:bottom w:val="single" w:color="000000" w:sz="12" w:space="0"/>
              <w:right w:val="nil"/>
            </w:tcBorders>
            <w:shd w:val="clear" w:color="auto" w:fill="FFFFFF"/>
            <w:vAlign w:val="center"/>
          </w:tcPr>
          <w:p w14:paraId="36DC98E3">
            <w:pPr>
              <w:spacing w:line="240" w:lineRule="auto"/>
              <w:ind w:firstLine="320"/>
              <w:jc w:val="center"/>
              <w:rPr>
                <w:rFonts w:hint="eastAsia"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34.21 ± 24.83</w:t>
            </w:r>
          </w:p>
        </w:tc>
        <w:tc>
          <w:tcPr>
            <w:tcW w:w="1422" w:type="pct"/>
            <w:tcBorders>
              <w:top w:val="single" w:color="000000" w:sz="4" w:space="0"/>
              <w:left w:val="nil"/>
              <w:bottom w:val="single" w:color="000000" w:sz="12" w:space="0"/>
              <w:right w:val="nil"/>
            </w:tcBorders>
            <w:shd w:val="clear" w:color="auto" w:fill="FFFFFF"/>
            <w:vAlign w:val="center"/>
          </w:tcPr>
          <w:p w14:paraId="48C927D8">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40.98 ± 1025.26</w:t>
            </w:r>
          </w:p>
        </w:tc>
        <w:tc>
          <w:tcPr>
            <w:tcW w:w="760" w:type="pct"/>
            <w:tcBorders>
              <w:top w:val="single" w:color="000000" w:sz="4" w:space="0"/>
              <w:left w:val="nil"/>
              <w:bottom w:val="single" w:color="000000" w:sz="12" w:space="0"/>
              <w:right w:val="nil"/>
            </w:tcBorders>
            <w:shd w:val="clear" w:color="auto" w:fill="FFFFFF"/>
            <w:vAlign w:val="center"/>
          </w:tcPr>
          <w:p w14:paraId="3B8ED4FF">
            <w:pPr>
              <w:spacing w:line="240" w:lineRule="auto"/>
              <w:ind w:firstLine="320"/>
              <w:jc w:val="center"/>
              <w:rPr>
                <w:rFonts w:hint="default" w:ascii="Times New Roman" w:hAnsi="Times New Roman" w:cs="Times New Roman"/>
                <w:color w:val="auto"/>
                <w:sz w:val="16"/>
                <w:szCs w:val="20"/>
                <w:lang w:val="en-US" w:eastAsia="zh-CN"/>
                <w14:ligatures w14:val="standardContextual"/>
              </w:rPr>
            </w:pPr>
            <w:r>
              <w:rPr>
                <w:rFonts w:hint="eastAsia" w:ascii="Times New Roman" w:hAnsi="Times New Roman" w:cs="Times New Roman"/>
                <w:color w:val="auto"/>
                <w:sz w:val="16"/>
                <w:szCs w:val="20"/>
                <w:lang w:val="en-US" w:eastAsia="zh-CN"/>
                <w14:ligatures w14:val="standardContextual"/>
              </w:rPr>
              <w:t>0.751</w:t>
            </w:r>
          </w:p>
        </w:tc>
      </w:tr>
    </w:tbl>
    <w:p w14:paraId="1CE2DDA7">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变量筛选结果</w:t>
      </w:r>
    </w:p>
    <w:p w14:paraId="23C9B274">
      <w:pPr>
        <w:ind w:firstLine="210" w:firstLineChars="100"/>
        <w:rPr>
          <w:rFonts w:hint="eastAsia" w:ascii="Times New Roman" w:hAnsi="Times New Roman" w:cs="Times New Roman"/>
          <w:color w:val="auto"/>
        </w:rPr>
      </w:pPr>
      <w:r>
        <w:rPr>
          <w:rFonts w:hint="eastAsia" w:ascii="Times New Roman" w:hAnsi="Times New Roman" w:cs="Times New Roman"/>
          <w:color w:val="auto"/>
        </w:rPr>
        <w:t>以纳入围手术期全部候选变量（24个）的分析场景为例，变量筛选流程如下：首先采用 LASSO 回归进行初筛，共筛得回归系数非零变量14个，分别为 Tracheostomy、AlcoholHistory、OperationDurationMin、NeckDissection、PreopConcurrentCRT、Diabetes、PreopHGB、SmokingHistory、IntraopTransfusion、PreopChemotherapy、Age、PreopALB、BMI、PeripheralVascularDisease。随后通过 Spearman 相关性热图进行共线性检验；在阈值 |ρ|&gt;0.</w:t>
      </w:r>
      <w:r>
        <w:rPr>
          <w:rFonts w:hint="eastAsia" w:ascii="Times New Roman" w:hAnsi="Times New Roman" w:cs="Times New Roman"/>
          <w:color w:val="auto"/>
          <w:lang w:val="en-US" w:eastAsia="zh-CN"/>
        </w:rPr>
        <w:t>6</w:t>
      </w:r>
      <w:r>
        <w:rPr>
          <w:rFonts w:hint="eastAsia" w:ascii="Times New Roman" w:hAnsi="Times New Roman" w:cs="Times New Roman"/>
          <w:color w:val="auto"/>
        </w:rPr>
        <w:t xml:space="preserve"> 下，仅发现 AlcoholHistory 与 SmokingHistory 存在较强相关（|ρ|=0.622）。结合 LASSO 系数绝对值比较（AlcoholHistory=0.327，SmokingHistory=0.160），保留 AlcoholHistory、剔除 SmokingHistory，最终得到13个候选变量。将上述13个变量纳入多因素 Logistic 回归后，结果显示 p&lt;0.05 的独立预测变量共5个：PreopConcurrentCRT（p=0.0079）、OperationDurationMin（p=0.0102）、Tracheostomy（p=0.0165）、NeckDissection（p=0.0259）和 AlcoholHistory（p=0.0491）。因此，最终将这5个变量纳入后续机器学习模型构建用于肺部感染风险预测。</w:t>
      </w:r>
      <w:r>
        <w:rPr>
          <w:rFonts w:hint="eastAsia" w:ascii="Times New Roman" w:hAnsi="Times New Roman" w:eastAsia="宋体" w:cs="Times New Roman"/>
          <w:color w:val="auto"/>
          <w:kern w:val="2"/>
          <w:sz w:val="21"/>
          <w:szCs w:val="22"/>
          <w:lang w:val="en-US" w:eastAsia="zh-CN" w:bidi="ar-SA"/>
        </w:rPr>
        <w:t>此外，针对仅纳入1</w:t>
      </w:r>
      <w:r>
        <w:rPr>
          <w:rFonts w:hint="eastAsia" w:ascii="Times New Roman" w:hAnsi="Times New Roman" w:cs="Times New Roman"/>
          <w:color w:val="auto"/>
          <w:kern w:val="2"/>
          <w:sz w:val="21"/>
          <w:szCs w:val="22"/>
          <w:lang w:val="en-US" w:eastAsia="zh-CN" w:bidi="ar-SA"/>
        </w:rPr>
        <w:t>6</w:t>
      </w:r>
      <w:r>
        <w:rPr>
          <w:rFonts w:hint="eastAsia" w:ascii="Times New Roman" w:hAnsi="Times New Roman" w:eastAsia="宋体" w:cs="Times New Roman"/>
          <w:color w:val="auto"/>
          <w:kern w:val="2"/>
          <w:sz w:val="21"/>
          <w:szCs w:val="22"/>
          <w:lang w:val="en-US" w:eastAsia="zh-CN" w:bidi="ar-SA"/>
        </w:rPr>
        <w:t>个术前变量的分析场景，经上述相同的变量筛选流程（LASSO初筛、共线性检验、多因素logistic回归分析），结果如表3所示，最终确定PreopHGB、PreopConcurrentCRT、Diabetes为P&lt;0.05的独立预测变量，用于后续模型构建。</w:t>
      </w:r>
    </w:p>
    <w:p w14:paraId="465E07F0">
      <w:pPr>
        <w:ind w:firstLine="210" w:firstLineChars="100"/>
        <w:rPr>
          <w:rFonts w:ascii="Times New Roman" w:hAnsi="Times New Roman" w:cs="Times New Roman"/>
          <w:color w:val="auto"/>
        </w:rPr>
      </w:pPr>
    </w:p>
    <w:p w14:paraId="20636BD7">
      <w:pPr>
        <w:ind w:firstLine="210" w:firstLineChars="100"/>
        <w:jc w:val="center"/>
        <w:rPr>
          <w:rFonts w:hint="eastAsia" w:ascii="Times New Roman" w:hAnsi="Times New Roman" w:eastAsia="宋体" w:cs="Times New Roman"/>
          <w:color w:val="auto"/>
          <w:lang w:eastAsia="zh-CN"/>
        </w:rPr>
      </w:pPr>
      <w:r>
        <w:rPr>
          <w:rFonts w:hint="eastAsia" w:ascii="Times New Roman" w:hAnsi="Times New Roman" w:eastAsia="宋体" w:cs="Times New Roman"/>
          <w:color w:val="auto"/>
          <w:lang w:eastAsia="zh-CN"/>
        </w:rPr>
        <w:drawing>
          <wp:inline distT="0" distB="0" distL="114300" distR="114300">
            <wp:extent cx="5273040" cy="5231765"/>
            <wp:effectExtent l="0" t="0" r="0" b="10795"/>
            <wp:docPr id="9" name="图片 9" descr="lasso_spearma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asso_spearman_heatmap"/>
                    <pic:cNvPicPr>
                      <a:picLocks noChangeAspect="1"/>
                    </pic:cNvPicPr>
                  </pic:nvPicPr>
                  <pic:blipFill>
                    <a:blip r:embed="rId12"/>
                    <a:stretch>
                      <a:fillRect/>
                    </a:stretch>
                  </pic:blipFill>
                  <pic:spPr>
                    <a:xfrm>
                      <a:off x="0" y="0"/>
                      <a:ext cx="5273040" cy="5231765"/>
                    </a:xfrm>
                    <a:prstGeom prst="rect">
                      <a:avLst/>
                    </a:prstGeom>
                  </pic:spPr>
                </pic:pic>
              </a:graphicData>
            </a:graphic>
          </wp:inline>
        </w:drawing>
      </w:r>
    </w:p>
    <w:p w14:paraId="212CCEEE">
      <w:pPr>
        <w:ind w:firstLine="180" w:firstLineChars="100"/>
        <w:jc w:val="center"/>
        <w:rPr>
          <w:rFonts w:ascii="Times New Roman" w:hAnsi="Times New Roman" w:cs="Times New Roman"/>
          <w:color w:val="auto"/>
          <w:sz w:val="18"/>
          <w:szCs w:val="20"/>
        </w:rPr>
      </w:pPr>
      <w:r>
        <w:rPr>
          <w:rFonts w:ascii="Times New Roman" w:hAnsi="Times New Roman" w:cs="Times New Roman"/>
          <w:color w:val="auto"/>
          <w:sz w:val="18"/>
          <w:szCs w:val="20"/>
        </w:rPr>
        <w:t xml:space="preserve">图1 </w:t>
      </w:r>
      <w:r>
        <w:rPr>
          <w:rFonts w:hint="eastAsia" w:ascii="Times New Roman" w:hAnsi="Times New Roman" w:cs="Times New Roman"/>
          <w:color w:val="auto"/>
          <w:sz w:val="18"/>
          <w:szCs w:val="20"/>
        </w:rPr>
        <w:t>围手术期</w:t>
      </w:r>
      <w:r>
        <w:rPr>
          <w:rFonts w:ascii="Times New Roman" w:hAnsi="Times New Roman" w:cs="Times New Roman"/>
          <w:color w:val="auto"/>
          <w:sz w:val="18"/>
          <w:szCs w:val="20"/>
        </w:rPr>
        <w:t>变量相关性热力图（彩图）</w:t>
      </w:r>
    </w:p>
    <w:p w14:paraId="7DAE9A84">
      <w:pPr>
        <w:ind w:firstLine="360"/>
        <w:jc w:val="center"/>
        <w:rPr>
          <w:rFonts w:hint="eastAsia" w:ascii="Times New Roman" w:hAnsi="Times New Roman" w:cs="Times New Roman"/>
          <w:color w:val="auto"/>
          <w:sz w:val="24"/>
          <w:szCs w:val="24"/>
        </w:rPr>
      </w:pPr>
      <w:r>
        <w:rPr>
          <w:rFonts w:ascii="Times New Roman" w:hAnsi="Times New Roman" w:cs="Times New Roman"/>
          <w:color w:val="auto"/>
          <w:sz w:val="18"/>
          <w:szCs w:val="20"/>
        </w:rPr>
        <w:t xml:space="preserve">Fig.1 Heatmap of </w:t>
      </w:r>
      <w:r>
        <w:rPr>
          <w:rFonts w:hint="eastAsia" w:ascii="Times New Roman" w:hAnsi="Times New Roman" w:cs="Times New Roman"/>
          <w:color w:val="auto"/>
          <w:sz w:val="18"/>
          <w:szCs w:val="20"/>
        </w:rPr>
        <w:t>Perioperative</w:t>
      </w:r>
      <w:r>
        <w:rPr>
          <w:rFonts w:ascii="Times New Roman" w:hAnsi="Times New Roman" w:cs="Times New Roman"/>
          <w:color w:val="auto"/>
          <w:sz w:val="18"/>
          <w:szCs w:val="20"/>
        </w:rPr>
        <w:t xml:space="preserve"> Variable Correlations</w:t>
      </w:r>
    </w:p>
    <w:p w14:paraId="2E6AC446">
      <w:pPr>
        <w:ind w:firstLine="180" w:firstLineChars="100"/>
        <w:jc w:val="center"/>
        <w:rPr>
          <w:rFonts w:ascii="Times New Roman" w:hAnsi="Times New Roman" w:cs="Times New Roman"/>
          <w:color w:val="auto"/>
          <w:sz w:val="18"/>
          <w:szCs w:val="20"/>
        </w:rPr>
      </w:pPr>
      <w:r>
        <w:rPr>
          <w:rFonts w:ascii="Times New Roman" w:hAnsi="Times New Roman" w:cs="Times New Roman"/>
          <w:color w:val="auto"/>
          <w:sz w:val="18"/>
          <w:szCs w:val="20"/>
        </w:rPr>
        <w:t xml:space="preserve">表2 </w:t>
      </w:r>
      <w:r>
        <w:rPr>
          <w:rFonts w:hint="eastAsia" w:ascii="Times New Roman" w:hAnsi="Times New Roman" w:cs="Times New Roman"/>
          <w:color w:val="auto"/>
          <w:sz w:val="18"/>
          <w:szCs w:val="20"/>
        </w:rPr>
        <w:t>围手术期</w:t>
      </w:r>
      <w:r>
        <w:rPr>
          <w:rFonts w:ascii="Times New Roman" w:hAnsi="Times New Roman" w:cs="Times New Roman"/>
          <w:color w:val="auto"/>
          <w:sz w:val="18"/>
          <w:szCs w:val="20"/>
        </w:rPr>
        <w:t>变量多因素logistic分析结果</w:t>
      </w:r>
    </w:p>
    <w:p w14:paraId="50F870E5">
      <w:pPr>
        <w:ind w:firstLine="180" w:firstLineChars="100"/>
        <w:jc w:val="center"/>
        <w:rPr>
          <w:rFonts w:ascii="Times New Roman" w:hAnsi="Times New Roman" w:cs="Times New Roman"/>
          <w:color w:val="auto"/>
          <w:sz w:val="18"/>
          <w:szCs w:val="20"/>
        </w:rPr>
      </w:pPr>
      <w:r>
        <w:rPr>
          <w:rFonts w:hint="eastAsia" w:ascii="Times New Roman" w:hAnsi="Times New Roman" w:cs="Times New Roman"/>
          <w:color w:val="auto"/>
          <w:sz w:val="18"/>
          <w:szCs w:val="20"/>
        </w:rPr>
        <w:t>Table 2 Results of Multivariate Logistic Regression Analysis of Perioperative Variables</w:t>
      </w:r>
    </w:p>
    <w:tbl>
      <w:tblPr>
        <w:tblStyle w:val="2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3"/>
        <w:gridCol w:w="1396"/>
        <w:gridCol w:w="789"/>
        <w:gridCol w:w="941"/>
        <w:gridCol w:w="2000"/>
      </w:tblGrid>
      <w:tr w14:paraId="1F91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single" w:color="000000" w:sz="12" w:space="0"/>
              <w:left w:val="nil"/>
              <w:bottom w:val="single" w:color="000000" w:sz="4" w:space="0"/>
              <w:right w:val="nil"/>
              <w:tl2br w:val="nil"/>
            </w:tcBorders>
            <w:shd w:val="clear" w:color="auto" w:fill="FFFFFF"/>
            <w:vAlign w:val="center"/>
          </w:tcPr>
          <w:p w14:paraId="660FD542">
            <w:pPr>
              <w:spacing w:line="240" w:lineRule="auto"/>
              <w:ind w:firstLine="0" w:firstLineChars="0"/>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变量</w:t>
            </w:r>
          </w:p>
        </w:tc>
        <w:tc>
          <w:tcPr>
            <w:tcW w:w="819" w:type="pct"/>
            <w:tcBorders>
              <w:top w:val="single" w:color="000000" w:sz="12" w:space="0"/>
              <w:left w:val="nil"/>
              <w:bottom w:val="single" w:color="000000" w:sz="4" w:space="0"/>
              <w:right w:val="nil"/>
            </w:tcBorders>
            <w:shd w:val="clear" w:color="auto" w:fill="FFFFFF"/>
            <w:vAlign w:val="center"/>
          </w:tcPr>
          <w:p w14:paraId="08753D8A">
            <w:pPr>
              <w:spacing w:line="240" w:lineRule="auto"/>
              <w:ind w:firstLine="0" w:firstLineChars="0"/>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回归系数</w:t>
            </w:r>
          </w:p>
        </w:tc>
        <w:tc>
          <w:tcPr>
            <w:tcW w:w="463" w:type="pct"/>
            <w:tcBorders>
              <w:top w:val="single" w:color="auto" w:sz="12" w:space="0"/>
              <w:left w:val="nil"/>
              <w:bottom w:val="single" w:color="auto" w:sz="4" w:space="0"/>
              <w:right w:val="nil"/>
            </w:tcBorders>
          </w:tcPr>
          <w:p w14:paraId="14C69494">
            <w:pPr>
              <w:spacing w:line="240" w:lineRule="auto"/>
              <w:ind w:firstLine="0" w:firstLineChars="0"/>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OR</w:t>
            </w:r>
          </w:p>
        </w:tc>
        <w:tc>
          <w:tcPr>
            <w:tcW w:w="552" w:type="pct"/>
            <w:tcBorders>
              <w:top w:val="single" w:color="000000" w:sz="12" w:space="0"/>
              <w:left w:val="nil"/>
              <w:bottom w:val="single" w:color="000000" w:sz="4" w:space="0"/>
              <w:right w:val="nil"/>
            </w:tcBorders>
            <w:shd w:val="clear" w:color="auto" w:fill="FFFFFF"/>
            <w:vAlign w:val="center"/>
          </w:tcPr>
          <w:p w14:paraId="213EA325">
            <w:pPr>
              <w:spacing w:line="240" w:lineRule="auto"/>
              <w:ind w:firstLine="0" w:firstLineChars="0"/>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P值</w:t>
            </w:r>
          </w:p>
        </w:tc>
        <w:tc>
          <w:tcPr>
            <w:tcW w:w="1173" w:type="pct"/>
            <w:tcBorders>
              <w:top w:val="single" w:color="000000" w:sz="12" w:space="0"/>
              <w:left w:val="nil"/>
              <w:bottom w:val="single" w:color="000000" w:sz="4" w:space="0"/>
              <w:right w:val="nil"/>
            </w:tcBorders>
            <w:shd w:val="clear" w:color="auto" w:fill="FFFFFF"/>
            <w:vAlign w:val="center"/>
          </w:tcPr>
          <w:p w14:paraId="7B0590D0">
            <w:pPr>
              <w:spacing w:line="240" w:lineRule="auto"/>
              <w:ind w:firstLine="0" w:firstLineChars="0"/>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95% 置信区间</w:t>
            </w:r>
          </w:p>
        </w:tc>
      </w:tr>
      <w:tr w14:paraId="44A8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single" w:color="000000" w:sz="4" w:space="0"/>
              <w:left w:val="nil"/>
              <w:bottom w:val="nil"/>
              <w:right w:val="nil"/>
            </w:tcBorders>
            <w:shd w:val="clear" w:color="auto" w:fill="FFFFFF"/>
            <w:vAlign w:val="center"/>
          </w:tcPr>
          <w:p w14:paraId="2B402036">
            <w:pPr>
              <w:spacing w:line="240" w:lineRule="auto"/>
              <w:ind w:firstLine="0" w:firstLineChars="0"/>
              <w:jc w:val="center"/>
              <w:rPr>
                <w:rFonts w:ascii="Times New Roman" w:hAnsi="Times New Roman" w:cs="Times New Roman"/>
                <w:b/>
                <w:bCs/>
                <w:color w:val="auto"/>
                <w:sz w:val="18"/>
                <w:szCs w:val="18"/>
              </w:rPr>
            </w:pPr>
            <w:r>
              <w:rPr>
                <w:rFonts w:hint="eastAsia" w:ascii="Times New Roman" w:hAnsi="Times New Roman" w:cs="Times New Roman"/>
                <w:b/>
                <w:bCs/>
                <w:color w:val="auto"/>
                <w:sz w:val="18"/>
                <w:szCs w:val="18"/>
                <w:lang w:val="en-US" w:eastAsia="zh-CN"/>
              </w:rPr>
              <w:t>PreopConcurrentCRT</w:t>
            </w:r>
          </w:p>
        </w:tc>
        <w:tc>
          <w:tcPr>
            <w:tcW w:w="819" w:type="pct"/>
            <w:tcBorders>
              <w:top w:val="single" w:color="000000" w:sz="4" w:space="0"/>
              <w:left w:val="nil"/>
              <w:bottom w:val="nil"/>
              <w:right w:val="nil"/>
            </w:tcBorders>
            <w:shd w:val="clear" w:color="auto" w:fill="FFFFFF"/>
            <w:vAlign w:val="center"/>
          </w:tcPr>
          <w:p w14:paraId="562079DA">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1.16 </w:t>
            </w:r>
          </w:p>
        </w:tc>
        <w:tc>
          <w:tcPr>
            <w:tcW w:w="463" w:type="pct"/>
            <w:tcBorders>
              <w:top w:val="single" w:color="auto" w:sz="4" w:space="0"/>
              <w:left w:val="nil"/>
              <w:bottom w:val="nil"/>
              <w:right w:val="nil"/>
            </w:tcBorders>
            <w:vAlign w:val="center"/>
          </w:tcPr>
          <w:p w14:paraId="36EF8FEA">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3.19 </w:t>
            </w:r>
          </w:p>
        </w:tc>
        <w:tc>
          <w:tcPr>
            <w:tcW w:w="552" w:type="pct"/>
            <w:tcBorders>
              <w:top w:val="single" w:color="000000" w:sz="4" w:space="0"/>
              <w:left w:val="nil"/>
              <w:bottom w:val="nil"/>
              <w:right w:val="nil"/>
            </w:tcBorders>
            <w:shd w:val="clear" w:color="auto" w:fill="FFFFFF"/>
            <w:vAlign w:val="center"/>
          </w:tcPr>
          <w:p w14:paraId="1F70D72E">
            <w:pPr>
              <w:spacing w:line="240" w:lineRule="auto"/>
              <w:ind w:firstLine="0" w:firstLineChars="0"/>
              <w:jc w:val="center"/>
              <w:rPr>
                <w:rFonts w:ascii="Times New Roman" w:hAnsi="Times New Roman" w:cs="Times New Roman"/>
                <w:b w:val="0"/>
                <w:bCs w:val="0"/>
                <w:color w:val="auto"/>
                <w:sz w:val="18"/>
                <w:szCs w:val="18"/>
              </w:rPr>
            </w:pPr>
            <w:r>
              <w:rPr>
                <w:rFonts w:ascii="Times New Roman" w:hAnsi="Times New Roman" w:cs="Times New Roman"/>
                <w:b w:val="0"/>
                <w:bCs w:val="0"/>
                <w:color w:val="auto"/>
                <w:sz w:val="18"/>
                <w:szCs w:val="18"/>
              </w:rPr>
              <w:t>&lt;0.01</w:t>
            </w:r>
          </w:p>
        </w:tc>
        <w:tc>
          <w:tcPr>
            <w:tcW w:w="1173" w:type="pct"/>
            <w:tcBorders>
              <w:top w:val="single" w:color="000000" w:sz="4" w:space="0"/>
              <w:left w:val="nil"/>
              <w:bottom w:val="nil"/>
              <w:right w:val="nil"/>
            </w:tcBorders>
            <w:shd w:val="clear" w:color="auto" w:fill="FFFFFF"/>
            <w:vAlign w:val="center"/>
          </w:tcPr>
          <w:p w14:paraId="46FBCB04">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1.24</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8.17</w:t>
            </w:r>
          </w:p>
        </w:tc>
      </w:tr>
      <w:tr w14:paraId="466F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vAlign w:val="center"/>
          </w:tcPr>
          <w:p w14:paraId="010636CC">
            <w:pPr>
              <w:spacing w:line="240" w:lineRule="auto"/>
              <w:ind w:firstLine="0" w:firstLineChars="0"/>
              <w:jc w:val="center"/>
              <w:rPr>
                <w:rFonts w:ascii="Times New Roman" w:hAnsi="Times New Roman" w:cs="Times New Roman"/>
                <w:b/>
                <w:bCs/>
                <w:color w:val="auto"/>
                <w:sz w:val="18"/>
                <w:szCs w:val="18"/>
              </w:rPr>
            </w:pPr>
            <w:r>
              <w:rPr>
                <w:rFonts w:hint="eastAsia" w:ascii="Times New Roman" w:hAnsi="Times New Roman" w:cs="Times New Roman"/>
                <w:b/>
                <w:bCs/>
                <w:color w:val="auto"/>
                <w:sz w:val="18"/>
                <w:szCs w:val="18"/>
                <w:lang w:val="en-US" w:eastAsia="zh-CN"/>
              </w:rPr>
              <w:t>OperationDurationMin</w:t>
            </w:r>
          </w:p>
        </w:tc>
        <w:tc>
          <w:tcPr>
            <w:tcW w:w="819" w:type="pct"/>
            <w:tcBorders>
              <w:top w:val="nil"/>
              <w:left w:val="nil"/>
              <w:bottom w:val="nil"/>
              <w:right w:val="nil"/>
            </w:tcBorders>
            <w:shd w:val="clear" w:color="auto" w:fill="FFFFFF"/>
            <w:vAlign w:val="center"/>
          </w:tcPr>
          <w:p w14:paraId="6670DC04">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0.00 </w:t>
            </w:r>
          </w:p>
        </w:tc>
        <w:tc>
          <w:tcPr>
            <w:tcW w:w="463" w:type="pct"/>
            <w:tcBorders>
              <w:top w:val="nil"/>
              <w:left w:val="nil"/>
              <w:bottom w:val="nil"/>
              <w:right w:val="nil"/>
            </w:tcBorders>
            <w:vAlign w:val="center"/>
          </w:tcPr>
          <w:p w14:paraId="12B5703B">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1.00 </w:t>
            </w:r>
          </w:p>
        </w:tc>
        <w:tc>
          <w:tcPr>
            <w:tcW w:w="552" w:type="pct"/>
            <w:tcBorders>
              <w:top w:val="nil"/>
              <w:left w:val="nil"/>
              <w:bottom w:val="nil"/>
              <w:right w:val="nil"/>
            </w:tcBorders>
            <w:shd w:val="clear" w:color="auto" w:fill="FFFFFF"/>
            <w:vAlign w:val="center"/>
          </w:tcPr>
          <w:p w14:paraId="559F4027">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0.01 </w:t>
            </w:r>
          </w:p>
        </w:tc>
        <w:tc>
          <w:tcPr>
            <w:tcW w:w="1173" w:type="pct"/>
            <w:tcBorders>
              <w:top w:val="nil"/>
              <w:left w:val="nil"/>
              <w:bottom w:val="nil"/>
              <w:right w:val="nil"/>
            </w:tcBorders>
            <w:shd w:val="clear" w:color="auto" w:fill="FFFFFF"/>
            <w:vAlign w:val="center"/>
          </w:tcPr>
          <w:p w14:paraId="596D0543">
            <w:pPr>
              <w:spacing w:line="240" w:lineRule="auto"/>
              <w:ind w:firstLine="0" w:firstLineChars="0"/>
              <w:jc w:val="center"/>
              <w:rPr>
                <w:rFonts w:hint="eastAsia" w:ascii="Times New Roman" w:hAnsi="Times New Roman" w:eastAsia="宋体" w:cs="Times New Roman"/>
                <w:b w:val="0"/>
                <w:bCs w:val="0"/>
                <w:color w:val="auto"/>
                <w:sz w:val="18"/>
                <w:szCs w:val="18"/>
                <w:lang w:eastAsia="zh-CN"/>
              </w:rPr>
            </w:pPr>
            <w:r>
              <w:rPr>
                <w:rFonts w:hint="eastAsia" w:ascii="Times New Roman" w:hAnsi="Times New Roman" w:cs="Times New Roman"/>
                <w:b w:val="0"/>
                <w:bCs w:val="0"/>
                <w:color w:val="auto"/>
                <w:sz w:val="18"/>
                <w:szCs w:val="18"/>
              </w:rPr>
              <w:t>1.00</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1.0</w:t>
            </w:r>
            <w:r>
              <w:rPr>
                <w:rFonts w:hint="eastAsia" w:ascii="Times New Roman" w:hAnsi="Times New Roman" w:cs="Times New Roman"/>
                <w:b w:val="0"/>
                <w:bCs w:val="0"/>
                <w:color w:val="auto"/>
                <w:sz w:val="18"/>
                <w:szCs w:val="18"/>
                <w:lang w:val="en-US" w:eastAsia="zh-CN"/>
              </w:rPr>
              <w:t>1</w:t>
            </w:r>
          </w:p>
        </w:tc>
      </w:tr>
      <w:tr w14:paraId="7C4B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vAlign w:val="center"/>
          </w:tcPr>
          <w:p w14:paraId="49385858">
            <w:pPr>
              <w:spacing w:line="240" w:lineRule="auto"/>
              <w:ind w:firstLine="0" w:firstLineChars="0"/>
              <w:jc w:val="center"/>
              <w:rPr>
                <w:rFonts w:ascii="Times New Roman" w:hAnsi="Times New Roman" w:cs="Times New Roman"/>
                <w:b/>
                <w:bCs/>
                <w:color w:val="auto"/>
                <w:sz w:val="18"/>
                <w:szCs w:val="18"/>
              </w:rPr>
            </w:pPr>
            <w:r>
              <w:rPr>
                <w:rFonts w:hint="eastAsia" w:ascii="Times New Roman" w:hAnsi="Times New Roman" w:cs="Times New Roman"/>
                <w:b/>
                <w:bCs/>
                <w:color w:val="auto"/>
                <w:sz w:val="18"/>
                <w:szCs w:val="18"/>
                <w:lang w:val="en-US" w:eastAsia="zh-CN"/>
              </w:rPr>
              <w:t>Tracheostomy</w:t>
            </w:r>
          </w:p>
        </w:tc>
        <w:tc>
          <w:tcPr>
            <w:tcW w:w="819" w:type="pct"/>
            <w:tcBorders>
              <w:top w:val="nil"/>
              <w:left w:val="nil"/>
              <w:bottom w:val="nil"/>
              <w:right w:val="nil"/>
            </w:tcBorders>
            <w:shd w:val="clear" w:color="auto" w:fill="FFFFFF"/>
            <w:vAlign w:val="center"/>
          </w:tcPr>
          <w:p w14:paraId="11A209C1">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-1.88 </w:t>
            </w:r>
          </w:p>
        </w:tc>
        <w:tc>
          <w:tcPr>
            <w:tcW w:w="463" w:type="pct"/>
            <w:tcBorders>
              <w:top w:val="nil"/>
              <w:left w:val="nil"/>
              <w:bottom w:val="nil"/>
              <w:right w:val="nil"/>
            </w:tcBorders>
            <w:vAlign w:val="center"/>
          </w:tcPr>
          <w:p w14:paraId="105CE62A">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0.15 </w:t>
            </w:r>
          </w:p>
        </w:tc>
        <w:tc>
          <w:tcPr>
            <w:tcW w:w="552" w:type="pct"/>
            <w:tcBorders>
              <w:top w:val="nil"/>
              <w:left w:val="nil"/>
              <w:bottom w:val="nil"/>
              <w:right w:val="nil"/>
            </w:tcBorders>
            <w:shd w:val="clear" w:color="auto" w:fill="FFFFFF"/>
            <w:vAlign w:val="center"/>
          </w:tcPr>
          <w:p w14:paraId="56F6A3CF">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0.02 </w:t>
            </w:r>
          </w:p>
        </w:tc>
        <w:tc>
          <w:tcPr>
            <w:tcW w:w="1173" w:type="pct"/>
            <w:tcBorders>
              <w:top w:val="nil"/>
              <w:left w:val="nil"/>
              <w:bottom w:val="nil"/>
              <w:right w:val="nil"/>
            </w:tcBorders>
            <w:shd w:val="clear" w:color="auto" w:fill="FFFFFF"/>
            <w:vAlign w:val="center"/>
          </w:tcPr>
          <w:p w14:paraId="4EF73223">
            <w:pPr>
              <w:spacing w:line="240" w:lineRule="auto"/>
              <w:ind w:firstLine="0" w:firstLineChars="0"/>
              <w:jc w:val="center"/>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cs="Times New Roman"/>
                <w:b w:val="0"/>
                <w:bCs w:val="0"/>
                <w:color w:val="auto"/>
                <w:sz w:val="18"/>
                <w:szCs w:val="18"/>
              </w:rPr>
              <w:t>0.0</w:t>
            </w:r>
            <w:r>
              <w:rPr>
                <w:rFonts w:hint="eastAsia" w:ascii="Times New Roman" w:hAnsi="Times New Roman" w:cs="Times New Roman"/>
                <w:b w:val="0"/>
                <w:bCs w:val="0"/>
                <w:color w:val="auto"/>
                <w:sz w:val="18"/>
                <w:szCs w:val="18"/>
                <w:lang w:val="en-US" w:eastAsia="zh-CN"/>
              </w:rPr>
              <w:t>3</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lang w:val="en-US" w:eastAsia="zh-CN"/>
              </w:rPr>
              <w:t>0.86</w:t>
            </w:r>
          </w:p>
        </w:tc>
      </w:tr>
      <w:tr w14:paraId="2A4A7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90" w:type="pct"/>
            <w:tcBorders>
              <w:top w:val="nil"/>
              <w:left w:val="nil"/>
              <w:bottom w:val="nil"/>
              <w:right w:val="nil"/>
            </w:tcBorders>
            <w:shd w:val="clear" w:color="auto" w:fill="FFFFFF"/>
            <w:vAlign w:val="center"/>
          </w:tcPr>
          <w:p w14:paraId="6DB559B9">
            <w:pPr>
              <w:spacing w:line="240" w:lineRule="auto"/>
              <w:ind w:firstLine="0" w:firstLineChars="0"/>
              <w:jc w:val="center"/>
              <w:rPr>
                <w:rFonts w:ascii="Times New Roman" w:hAnsi="Times New Roman" w:cs="Times New Roman"/>
                <w:b/>
                <w:bCs/>
                <w:color w:val="auto"/>
                <w:sz w:val="18"/>
                <w:szCs w:val="18"/>
              </w:rPr>
            </w:pPr>
            <w:r>
              <w:rPr>
                <w:rFonts w:hint="eastAsia" w:ascii="Times New Roman" w:hAnsi="Times New Roman" w:cs="Times New Roman"/>
                <w:b/>
                <w:bCs/>
                <w:color w:val="auto"/>
                <w:sz w:val="18"/>
                <w:szCs w:val="18"/>
                <w:lang w:val="en-US" w:eastAsia="zh-CN"/>
              </w:rPr>
              <w:t>NeckDissection</w:t>
            </w:r>
          </w:p>
        </w:tc>
        <w:tc>
          <w:tcPr>
            <w:tcW w:w="819" w:type="pct"/>
            <w:tcBorders>
              <w:top w:val="nil"/>
              <w:left w:val="nil"/>
              <w:bottom w:val="nil"/>
              <w:right w:val="nil"/>
            </w:tcBorders>
            <w:shd w:val="clear" w:color="auto" w:fill="FFFFFF"/>
            <w:vAlign w:val="center"/>
          </w:tcPr>
          <w:p w14:paraId="613FF5D5">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0.85 </w:t>
            </w:r>
          </w:p>
        </w:tc>
        <w:tc>
          <w:tcPr>
            <w:tcW w:w="463" w:type="pct"/>
            <w:tcBorders>
              <w:top w:val="nil"/>
              <w:left w:val="nil"/>
              <w:bottom w:val="nil"/>
              <w:right w:val="nil"/>
            </w:tcBorders>
            <w:vAlign w:val="center"/>
          </w:tcPr>
          <w:p w14:paraId="6DC6CE4F">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2.34 </w:t>
            </w:r>
          </w:p>
        </w:tc>
        <w:tc>
          <w:tcPr>
            <w:tcW w:w="552" w:type="pct"/>
            <w:tcBorders>
              <w:top w:val="nil"/>
              <w:left w:val="nil"/>
              <w:bottom w:val="nil"/>
              <w:right w:val="nil"/>
            </w:tcBorders>
            <w:shd w:val="clear" w:color="auto" w:fill="FFFFFF"/>
            <w:vAlign w:val="center"/>
          </w:tcPr>
          <w:p w14:paraId="7EE5960B">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0.03 </w:t>
            </w:r>
          </w:p>
        </w:tc>
        <w:tc>
          <w:tcPr>
            <w:tcW w:w="1173" w:type="pct"/>
            <w:tcBorders>
              <w:top w:val="nil"/>
              <w:left w:val="nil"/>
              <w:bottom w:val="nil"/>
              <w:right w:val="nil"/>
            </w:tcBorders>
            <w:shd w:val="clear" w:color="auto" w:fill="FFFFFF"/>
            <w:vAlign w:val="center"/>
          </w:tcPr>
          <w:p w14:paraId="48BA332F">
            <w:pPr>
              <w:spacing w:line="240" w:lineRule="auto"/>
              <w:ind w:firstLine="0" w:firstLineChars="0"/>
              <w:jc w:val="center"/>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0.99</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5</w:t>
            </w:r>
            <w:r>
              <w:rPr>
                <w:rFonts w:hint="eastAsia" w:ascii="Times New Roman" w:hAnsi="Times New Roman" w:cs="Times New Roman"/>
                <w:b w:val="0"/>
                <w:bCs w:val="0"/>
                <w:color w:val="auto"/>
                <w:sz w:val="18"/>
                <w:szCs w:val="18"/>
                <w:lang w:val="en-US" w:eastAsia="zh-CN"/>
              </w:rPr>
              <w:t>.53</w:t>
            </w:r>
          </w:p>
        </w:tc>
      </w:tr>
      <w:tr w14:paraId="2637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vAlign w:val="center"/>
          </w:tcPr>
          <w:p w14:paraId="04C739ED">
            <w:pPr>
              <w:spacing w:line="240" w:lineRule="auto"/>
              <w:ind w:firstLine="0" w:firstLineChars="0"/>
              <w:jc w:val="center"/>
              <w:rPr>
                <w:rFonts w:ascii="Times New Roman" w:hAnsi="Times New Roman" w:cs="Times New Roman"/>
                <w:b/>
                <w:bCs/>
                <w:color w:val="auto"/>
                <w:sz w:val="18"/>
                <w:szCs w:val="18"/>
              </w:rPr>
            </w:pPr>
            <w:r>
              <w:rPr>
                <w:rFonts w:hint="eastAsia" w:ascii="Times New Roman" w:hAnsi="Times New Roman" w:cs="Times New Roman"/>
                <w:b/>
                <w:bCs/>
                <w:color w:val="auto"/>
                <w:sz w:val="18"/>
                <w:szCs w:val="18"/>
                <w:lang w:val="en-US" w:eastAsia="zh-CN"/>
              </w:rPr>
              <w:t>AlcoholHistory</w:t>
            </w:r>
          </w:p>
        </w:tc>
        <w:tc>
          <w:tcPr>
            <w:tcW w:w="819" w:type="pct"/>
            <w:tcBorders>
              <w:top w:val="nil"/>
              <w:left w:val="nil"/>
              <w:bottom w:val="nil"/>
              <w:right w:val="nil"/>
            </w:tcBorders>
            <w:shd w:val="clear" w:color="auto" w:fill="FFFFFF"/>
            <w:vAlign w:val="center"/>
          </w:tcPr>
          <w:p w14:paraId="6A05DB0A">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0.68 </w:t>
            </w:r>
          </w:p>
        </w:tc>
        <w:tc>
          <w:tcPr>
            <w:tcW w:w="463" w:type="pct"/>
            <w:tcBorders>
              <w:top w:val="nil"/>
              <w:left w:val="nil"/>
              <w:bottom w:val="nil"/>
              <w:right w:val="nil"/>
            </w:tcBorders>
            <w:vAlign w:val="center"/>
          </w:tcPr>
          <w:p w14:paraId="7DB0F355">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1.97 </w:t>
            </w:r>
          </w:p>
        </w:tc>
        <w:tc>
          <w:tcPr>
            <w:tcW w:w="552" w:type="pct"/>
            <w:tcBorders>
              <w:top w:val="nil"/>
              <w:left w:val="nil"/>
              <w:bottom w:val="nil"/>
              <w:right w:val="nil"/>
            </w:tcBorders>
            <w:shd w:val="clear" w:color="auto" w:fill="FFFFFF"/>
            <w:vAlign w:val="center"/>
          </w:tcPr>
          <w:p w14:paraId="087408E1">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0.05 </w:t>
            </w:r>
          </w:p>
        </w:tc>
        <w:tc>
          <w:tcPr>
            <w:tcW w:w="1173" w:type="pct"/>
            <w:tcBorders>
              <w:top w:val="nil"/>
              <w:left w:val="nil"/>
              <w:bottom w:val="nil"/>
              <w:right w:val="nil"/>
            </w:tcBorders>
            <w:shd w:val="clear" w:color="auto" w:fill="FFFFFF"/>
            <w:vAlign w:val="center"/>
          </w:tcPr>
          <w:p w14:paraId="66856319">
            <w:pPr>
              <w:spacing w:line="240" w:lineRule="auto"/>
              <w:ind w:firstLine="0" w:firstLineChars="0"/>
              <w:jc w:val="center"/>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0.88</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lang w:val="en-US" w:eastAsia="zh-CN"/>
              </w:rPr>
              <w:t>4.41</w:t>
            </w:r>
          </w:p>
        </w:tc>
      </w:tr>
      <w:tr w14:paraId="7B09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vAlign w:val="center"/>
          </w:tcPr>
          <w:p w14:paraId="3E4B2EE1">
            <w:pPr>
              <w:spacing w:line="240" w:lineRule="auto"/>
              <w:ind w:firstLine="0" w:firstLineChars="0"/>
              <w:jc w:val="center"/>
              <w:rPr>
                <w:rFonts w:ascii="Times New Roman" w:hAnsi="Times New Roman" w:cs="Times New Roman"/>
                <w:b/>
                <w:bCs/>
                <w:color w:val="auto"/>
                <w:sz w:val="18"/>
                <w:szCs w:val="18"/>
              </w:rPr>
            </w:pPr>
            <w:r>
              <w:rPr>
                <w:rFonts w:hint="eastAsia" w:ascii="Times New Roman" w:hAnsi="Times New Roman" w:cs="Times New Roman"/>
                <w:b/>
                <w:bCs/>
                <w:color w:val="auto"/>
                <w:sz w:val="18"/>
                <w:szCs w:val="18"/>
                <w:lang w:val="en-US" w:eastAsia="zh-CN"/>
              </w:rPr>
              <w:t>IntraopTransfusion</w:t>
            </w:r>
          </w:p>
        </w:tc>
        <w:tc>
          <w:tcPr>
            <w:tcW w:w="819" w:type="pct"/>
            <w:tcBorders>
              <w:top w:val="nil"/>
              <w:left w:val="nil"/>
              <w:bottom w:val="nil"/>
              <w:right w:val="nil"/>
            </w:tcBorders>
            <w:shd w:val="clear" w:color="auto" w:fill="FFFFFF"/>
            <w:vAlign w:val="center"/>
          </w:tcPr>
          <w:p w14:paraId="65523EA9">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1.09 </w:t>
            </w:r>
          </w:p>
        </w:tc>
        <w:tc>
          <w:tcPr>
            <w:tcW w:w="463" w:type="pct"/>
            <w:tcBorders>
              <w:top w:val="nil"/>
              <w:left w:val="nil"/>
              <w:bottom w:val="nil"/>
              <w:right w:val="nil"/>
            </w:tcBorders>
            <w:vAlign w:val="center"/>
          </w:tcPr>
          <w:p w14:paraId="1F3AB9D4">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2.97 </w:t>
            </w:r>
          </w:p>
        </w:tc>
        <w:tc>
          <w:tcPr>
            <w:tcW w:w="552" w:type="pct"/>
            <w:tcBorders>
              <w:top w:val="nil"/>
              <w:left w:val="nil"/>
              <w:bottom w:val="nil"/>
              <w:right w:val="nil"/>
            </w:tcBorders>
            <w:shd w:val="clear" w:color="auto" w:fill="FFFFFF"/>
            <w:vAlign w:val="center"/>
          </w:tcPr>
          <w:p w14:paraId="2AF7CB17">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0.07 </w:t>
            </w:r>
          </w:p>
        </w:tc>
        <w:tc>
          <w:tcPr>
            <w:tcW w:w="1173" w:type="pct"/>
            <w:tcBorders>
              <w:top w:val="nil"/>
              <w:left w:val="nil"/>
              <w:bottom w:val="nil"/>
              <w:right w:val="nil"/>
            </w:tcBorders>
            <w:shd w:val="clear" w:color="auto" w:fill="FFFFFF"/>
            <w:vAlign w:val="center"/>
          </w:tcPr>
          <w:p w14:paraId="7F36F95C">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0.69</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12.81</w:t>
            </w:r>
          </w:p>
        </w:tc>
      </w:tr>
      <w:tr w14:paraId="1EF6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vAlign w:val="center"/>
          </w:tcPr>
          <w:p w14:paraId="2A27CF28">
            <w:pPr>
              <w:spacing w:line="240" w:lineRule="auto"/>
              <w:ind w:firstLine="0" w:firstLineChars="0"/>
              <w:jc w:val="center"/>
              <w:rPr>
                <w:rFonts w:ascii="Times New Roman" w:hAnsi="Times New Roman" w:cs="Times New Roman"/>
                <w:b/>
                <w:bCs/>
                <w:color w:val="auto"/>
                <w:sz w:val="18"/>
                <w:szCs w:val="18"/>
              </w:rPr>
            </w:pPr>
            <w:r>
              <w:rPr>
                <w:rFonts w:hint="eastAsia" w:ascii="Times New Roman" w:hAnsi="Times New Roman" w:cs="Times New Roman"/>
                <w:b/>
                <w:bCs/>
                <w:color w:val="auto"/>
                <w:sz w:val="18"/>
                <w:szCs w:val="18"/>
                <w:lang w:val="en-US" w:eastAsia="zh-CN"/>
              </w:rPr>
              <w:t>PreopHGB</w:t>
            </w:r>
          </w:p>
        </w:tc>
        <w:tc>
          <w:tcPr>
            <w:tcW w:w="819" w:type="pct"/>
            <w:tcBorders>
              <w:top w:val="nil"/>
              <w:left w:val="nil"/>
              <w:bottom w:val="nil"/>
              <w:right w:val="nil"/>
            </w:tcBorders>
            <w:shd w:val="clear" w:color="auto" w:fill="FFFFFF"/>
            <w:vAlign w:val="center"/>
          </w:tcPr>
          <w:p w14:paraId="5442F364">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-0.01 </w:t>
            </w:r>
          </w:p>
        </w:tc>
        <w:tc>
          <w:tcPr>
            <w:tcW w:w="463" w:type="pct"/>
            <w:tcBorders>
              <w:top w:val="nil"/>
              <w:left w:val="nil"/>
              <w:bottom w:val="nil"/>
              <w:right w:val="nil"/>
            </w:tcBorders>
            <w:vAlign w:val="center"/>
          </w:tcPr>
          <w:p w14:paraId="27803692">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0.99 </w:t>
            </w:r>
          </w:p>
        </w:tc>
        <w:tc>
          <w:tcPr>
            <w:tcW w:w="552" w:type="pct"/>
            <w:tcBorders>
              <w:top w:val="nil"/>
              <w:left w:val="nil"/>
              <w:bottom w:val="nil"/>
              <w:right w:val="nil"/>
            </w:tcBorders>
            <w:shd w:val="clear" w:color="auto" w:fill="FFFFFF"/>
            <w:vAlign w:val="center"/>
          </w:tcPr>
          <w:p w14:paraId="7CBA4073">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0.08 </w:t>
            </w:r>
          </w:p>
        </w:tc>
        <w:tc>
          <w:tcPr>
            <w:tcW w:w="1173" w:type="pct"/>
            <w:tcBorders>
              <w:top w:val="nil"/>
              <w:left w:val="nil"/>
              <w:bottom w:val="nil"/>
              <w:right w:val="nil"/>
            </w:tcBorders>
            <w:shd w:val="clear" w:color="auto" w:fill="FFFFFF"/>
          </w:tcPr>
          <w:p w14:paraId="10476B93">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0.99</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1.00</w:t>
            </w:r>
          </w:p>
        </w:tc>
      </w:tr>
      <w:tr w14:paraId="3C73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vAlign w:val="center"/>
          </w:tcPr>
          <w:p w14:paraId="75859DE4">
            <w:pPr>
              <w:spacing w:line="240" w:lineRule="auto"/>
              <w:ind w:firstLine="0" w:firstLineChars="0"/>
              <w:jc w:val="center"/>
              <w:rPr>
                <w:rFonts w:ascii="Times New Roman" w:hAnsi="Times New Roman" w:cs="Times New Roman"/>
                <w:b/>
                <w:bCs/>
                <w:color w:val="auto"/>
                <w:sz w:val="18"/>
                <w:szCs w:val="18"/>
              </w:rPr>
            </w:pPr>
            <w:r>
              <w:rPr>
                <w:rFonts w:hint="eastAsia" w:ascii="Times New Roman" w:hAnsi="Times New Roman" w:cs="Times New Roman"/>
                <w:b/>
                <w:bCs/>
                <w:color w:val="auto"/>
                <w:sz w:val="18"/>
                <w:szCs w:val="18"/>
                <w:lang w:val="en-US" w:eastAsia="zh-CN"/>
              </w:rPr>
              <w:t>Diabetes</w:t>
            </w:r>
          </w:p>
        </w:tc>
        <w:tc>
          <w:tcPr>
            <w:tcW w:w="819" w:type="pct"/>
            <w:tcBorders>
              <w:top w:val="nil"/>
              <w:left w:val="nil"/>
              <w:bottom w:val="nil"/>
              <w:right w:val="nil"/>
            </w:tcBorders>
            <w:shd w:val="clear" w:color="auto" w:fill="FFFFFF"/>
            <w:vAlign w:val="center"/>
          </w:tcPr>
          <w:p w14:paraId="22072319">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0.65 </w:t>
            </w:r>
          </w:p>
        </w:tc>
        <w:tc>
          <w:tcPr>
            <w:tcW w:w="463" w:type="pct"/>
            <w:tcBorders>
              <w:top w:val="nil"/>
              <w:left w:val="nil"/>
              <w:bottom w:val="nil"/>
              <w:right w:val="nil"/>
            </w:tcBorders>
            <w:vAlign w:val="center"/>
          </w:tcPr>
          <w:p w14:paraId="06DA45E2">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1.92 </w:t>
            </w:r>
          </w:p>
        </w:tc>
        <w:tc>
          <w:tcPr>
            <w:tcW w:w="552" w:type="pct"/>
            <w:tcBorders>
              <w:top w:val="nil"/>
              <w:left w:val="nil"/>
              <w:bottom w:val="nil"/>
              <w:right w:val="nil"/>
            </w:tcBorders>
            <w:shd w:val="clear" w:color="auto" w:fill="FFFFFF"/>
            <w:vAlign w:val="center"/>
          </w:tcPr>
          <w:p w14:paraId="7EB7B3BB">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0.08 </w:t>
            </w:r>
          </w:p>
        </w:tc>
        <w:tc>
          <w:tcPr>
            <w:tcW w:w="1173" w:type="pct"/>
            <w:tcBorders>
              <w:top w:val="nil"/>
              <w:left w:val="nil"/>
              <w:bottom w:val="nil"/>
              <w:right w:val="nil"/>
            </w:tcBorders>
            <w:shd w:val="clear" w:color="auto" w:fill="FFFFFF"/>
            <w:vAlign w:val="center"/>
          </w:tcPr>
          <w:p w14:paraId="68771BD2">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0.77</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4.82</w:t>
            </w:r>
          </w:p>
        </w:tc>
      </w:tr>
      <w:tr w14:paraId="4857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vAlign w:val="center"/>
          </w:tcPr>
          <w:p w14:paraId="2A09A6CC">
            <w:pPr>
              <w:spacing w:line="240" w:lineRule="auto"/>
              <w:ind w:firstLine="0" w:firstLineChars="0"/>
              <w:jc w:val="center"/>
              <w:rPr>
                <w:rFonts w:ascii="Times New Roman" w:hAnsi="Times New Roman" w:cs="Times New Roman"/>
                <w:b/>
                <w:bCs/>
                <w:color w:val="auto"/>
                <w:sz w:val="18"/>
                <w:szCs w:val="18"/>
              </w:rPr>
            </w:pPr>
            <w:r>
              <w:rPr>
                <w:rFonts w:hint="eastAsia" w:ascii="Times New Roman" w:hAnsi="Times New Roman" w:cs="Times New Roman"/>
                <w:b/>
                <w:bCs/>
                <w:color w:val="auto"/>
                <w:sz w:val="18"/>
                <w:szCs w:val="18"/>
                <w:lang w:val="en-US" w:eastAsia="zh-CN"/>
              </w:rPr>
              <w:t>PreopChemotherapy</w:t>
            </w:r>
          </w:p>
        </w:tc>
        <w:tc>
          <w:tcPr>
            <w:tcW w:w="819" w:type="pct"/>
            <w:tcBorders>
              <w:top w:val="nil"/>
              <w:left w:val="nil"/>
              <w:bottom w:val="nil"/>
              <w:right w:val="nil"/>
            </w:tcBorders>
            <w:shd w:val="clear" w:color="auto" w:fill="FFFFFF"/>
            <w:vAlign w:val="center"/>
          </w:tcPr>
          <w:p w14:paraId="4F50A6EA">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0.35 </w:t>
            </w:r>
          </w:p>
        </w:tc>
        <w:tc>
          <w:tcPr>
            <w:tcW w:w="463" w:type="pct"/>
            <w:tcBorders>
              <w:top w:val="nil"/>
              <w:left w:val="nil"/>
              <w:bottom w:val="nil"/>
              <w:right w:val="nil"/>
            </w:tcBorders>
            <w:vAlign w:val="center"/>
          </w:tcPr>
          <w:p w14:paraId="642051CC">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1.42 </w:t>
            </w:r>
          </w:p>
        </w:tc>
        <w:tc>
          <w:tcPr>
            <w:tcW w:w="552" w:type="pct"/>
            <w:tcBorders>
              <w:top w:val="nil"/>
              <w:left w:val="nil"/>
              <w:bottom w:val="nil"/>
              <w:right w:val="nil"/>
            </w:tcBorders>
            <w:shd w:val="clear" w:color="auto" w:fill="FFFFFF"/>
            <w:vAlign w:val="center"/>
          </w:tcPr>
          <w:p w14:paraId="46EEE370">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0.24 </w:t>
            </w:r>
          </w:p>
        </w:tc>
        <w:tc>
          <w:tcPr>
            <w:tcW w:w="1173" w:type="pct"/>
            <w:tcBorders>
              <w:top w:val="nil"/>
              <w:left w:val="nil"/>
              <w:bottom w:val="nil"/>
              <w:right w:val="nil"/>
            </w:tcBorders>
            <w:shd w:val="clear" w:color="auto" w:fill="FFFFFF"/>
            <w:vAlign w:val="center"/>
          </w:tcPr>
          <w:p w14:paraId="559821D8">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0.54</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3.75</w:t>
            </w:r>
          </w:p>
        </w:tc>
      </w:tr>
      <w:tr w14:paraId="3D96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vAlign w:val="center"/>
          </w:tcPr>
          <w:p w14:paraId="545A2CBC">
            <w:pPr>
              <w:spacing w:line="240" w:lineRule="auto"/>
              <w:ind w:firstLine="0" w:firstLineChars="0"/>
              <w:jc w:val="center"/>
              <w:rPr>
                <w:rFonts w:ascii="Times New Roman" w:hAnsi="Times New Roman" w:cs="Times New Roman"/>
                <w:b/>
                <w:bCs/>
                <w:color w:val="auto"/>
                <w:sz w:val="18"/>
                <w:szCs w:val="18"/>
              </w:rPr>
            </w:pPr>
            <w:r>
              <w:rPr>
                <w:rFonts w:hint="eastAsia" w:ascii="Times New Roman" w:hAnsi="Times New Roman" w:cs="Times New Roman"/>
                <w:b/>
                <w:bCs/>
                <w:color w:val="auto"/>
                <w:sz w:val="18"/>
                <w:szCs w:val="18"/>
                <w:lang w:val="en-US" w:eastAsia="zh-CN"/>
              </w:rPr>
              <w:t>Age</w:t>
            </w:r>
          </w:p>
        </w:tc>
        <w:tc>
          <w:tcPr>
            <w:tcW w:w="819" w:type="pct"/>
            <w:tcBorders>
              <w:top w:val="nil"/>
              <w:left w:val="nil"/>
              <w:bottom w:val="nil"/>
              <w:right w:val="nil"/>
            </w:tcBorders>
            <w:shd w:val="clear" w:color="auto" w:fill="FFFFFF"/>
            <w:vAlign w:val="center"/>
          </w:tcPr>
          <w:p w14:paraId="2272F9BF">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0.01 </w:t>
            </w:r>
          </w:p>
        </w:tc>
        <w:tc>
          <w:tcPr>
            <w:tcW w:w="463" w:type="pct"/>
            <w:tcBorders>
              <w:top w:val="nil"/>
              <w:left w:val="nil"/>
              <w:bottom w:val="nil"/>
              <w:right w:val="nil"/>
            </w:tcBorders>
            <w:vAlign w:val="center"/>
          </w:tcPr>
          <w:p w14:paraId="2FE3D8DF">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1.01 </w:t>
            </w:r>
          </w:p>
        </w:tc>
        <w:tc>
          <w:tcPr>
            <w:tcW w:w="552" w:type="pct"/>
            <w:tcBorders>
              <w:top w:val="nil"/>
              <w:left w:val="nil"/>
              <w:bottom w:val="nil"/>
              <w:right w:val="nil"/>
            </w:tcBorders>
            <w:shd w:val="clear" w:color="auto" w:fill="FFFFFF"/>
            <w:vAlign w:val="center"/>
          </w:tcPr>
          <w:p w14:paraId="5303BD99">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0.27 </w:t>
            </w:r>
          </w:p>
        </w:tc>
        <w:tc>
          <w:tcPr>
            <w:tcW w:w="1173" w:type="pct"/>
            <w:tcBorders>
              <w:top w:val="nil"/>
              <w:left w:val="nil"/>
              <w:bottom w:val="nil"/>
              <w:right w:val="nil"/>
            </w:tcBorders>
            <w:shd w:val="clear" w:color="auto" w:fill="FFFFFF"/>
            <w:vAlign w:val="center"/>
          </w:tcPr>
          <w:p w14:paraId="518D8793">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0.97</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1.05</w:t>
            </w:r>
          </w:p>
        </w:tc>
      </w:tr>
      <w:tr w14:paraId="10FF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vAlign w:val="center"/>
          </w:tcPr>
          <w:p w14:paraId="5C0F1E6A">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PreopALB</w:t>
            </w:r>
          </w:p>
        </w:tc>
        <w:tc>
          <w:tcPr>
            <w:tcW w:w="819" w:type="pct"/>
            <w:tcBorders>
              <w:top w:val="nil"/>
              <w:left w:val="nil"/>
              <w:bottom w:val="nil"/>
              <w:right w:val="nil"/>
            </w:tcBorders>
            <w:shd w:val="clear" w:color="auto" w:fill="FFFFFF"/>
            <w:vAlign w:val="center"/>
          </w:tcPr>
          <w:p w14:paraId="229A09C0">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-0.01 </w:t>
            </w:r>
          </w:p>
        </w:tc>
        <w:tc>
          <w:tcPr>
            <w:tcW w:w="463" w:type="pct"/>
            <w:tcBorders>
              <w:top w:val="nil"/>
              <w:left w:val="nil"/>
              <w:bottom w:val="nil"/>
              <w:right w:val="nil"/>
            </w:tcBorders>
            <w:vAlign w:val="center"/>
          </w:tcPr>
          <w:p w14:paraId="192442AC">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0.99 </w:t>
            </w:r>
          </w:p>
        </w:tc>
        <w:tc>
          <w:tcPr>
            <w:tcW w:w="552" w:type="pct"/>
            <w:tcBorders>
              <w:top w:val="nil"/>
              <w:left w:val="nil"/>
              <w:bottom w:val="nil"/>
              <w:right w:val="nil"/>
            </w:tcBorders>
            <w:shd w:val="clear" w:color="auto" w:fill="FFFFFF"/>
            <w:vAlign w:val="center"/>
          </w:tcPr>
          <w:p w14:paraId="7529DAD9">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0.30 </w:t>
            </w:r>
          </w:p>
        </w:tc>
        <w:tc>
          <w:tcPr>
            <w:tcW w:w="1173" w:type="pct"/>
            <w:tcBorders>
              <w:top w:val="nil"/>
              <w:left w:val="nil"/>
              <w:bottom w:val="nil"/>
              <w:right w:val="nil"/>
            </w:tcBorders>
            <w:shd w:val="clear" w:color="auto" w:fill="FFFFFF"/>
            <w:vAlign w:val="center"/>
          </w:tcPr>
          <w:p w14:paraId="7B3F8FE8">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0.96</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1.02</w:t>
            </w:r>
          </w:p>
        </w:tc>
      </w:tr>
      <w:tr w14:paraId="4974B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90" w:type="pct"/>
            <w:tcBorders>
              <w:top w:val="nil"/>
              <w:left w:val="nil"/>
              <w:bottom w:val="nil"/>
              <w:right w:val="nil"/>
            </w:tcBorders>
            <w:shd w:val="clear" w:color="auto" w:fill="FFFFFF"/>
            <w:vAlign w:val="center"/>
          </w:tcPr>
          <w:p w14:paraId="186E9D5B">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BMI</w:t>
            </w:r>
          </w:p>
        </w:tc>
        <w:tc>
          <w:tcPr>
            <w:tcW w:w="819" w:type="pct"/>
            <w:tcBorders>
              <w:top w:val="nil"/>
              <w:left w:val="nil"/>
              <w:bottom w:val="nil"/>
              <w:right w:val="nil"/>
            </w:tcBorders>
            <w:shd w:val="clear" w:color="auto" w:fill="FFFFFF"/>
            <w:vAlign w:val="center"/>
          </w:tcPr>
          <w:p w14:paraId="041FAB86">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-0.02 </w:t>
            </w:r>
          </w:p>
        </w:tc>
        <w:tc>
          <w:tcPr>
            <w:tcW w:w="463" w:type="pct"/>
            <w:tcBorders>
              <w:top w:val="nil"/>
              <w:left w:val="nil"/>
              <w:bottom w:val="nil"/>
              <w:right w:val="nil"/>
            </w:tcBorders>
            <w:vAlign w:val="center"/>
          </w:tcPr>
          <w:p w14:paraId="292965BC">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0.98 </w:t>
            </w:r>
          </w:p>
        </w:tc>
        <w:tc>
          <w:tcPr>
            <w:tcW w:w="552" w:type="pct"/>
            <w:tcBorders>
              <w:top w:val="nil"/>
              <w:left w:val="nil"/>
              <w:bottom w:val="nil"/>
              <w:right w:val="nil"/>
            </w:tcBorders>
            <w:shd w:val="clear" w:color="auto" w:fill="FFFFFF"/>
            <w:vAlign w:val="center"/>
          </w:tcPr>
          <w:p w14:paraId="2D229755">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0.36 </w:t>
            </w:r>
          </w:p>
        </w:tc>
        <w:tc>
          <w:tcPr>
            <w:tcW w:w="1173" w:type="pct"/>
            <w:tcBorders>
              <w:top w:val="nil"/>
              <w:left w:val="nil"/>
              <w:bottom w:val="nil"/>
              <w:right w:val="nil"/>
            </w:tcBorders>
            <w:shd w:val="clear" w:color="auto" w:fill="FFFFFF"/>
            <w:vAlign w:val="center"/>
          </w:tcPr>
          <w:p w14:paraId="78F48F49">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0.87</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1.10</w:t>
            </w:r>
          </w:p>
        </w:tc>
      </w:tr>
      <w:tr w14:paraId="13C7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0" w:type="pct"/>
            <w:tcBorders>
              <w:top w:val="nil"/>
              <w:left w:val="nil"/>
              <w:bottom w:val="single" w:color="000000" w:sz="12" w:space="0"/>
              <w:right w:val="nil"/>
            </w:tcBorders>
            <w:shd w:val="clear" w:color="auto" w:fill="FFFFFF"/>
            <w:vAlign w:val="center"/>
          </w:tcPr>
          <w:p w14:paraId="1B8DE1DF">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PeripheralVascularDisease</w:t>
            </w:r>
          </w:p>
        </w:tc>
        <w:tc>
          <w:tcPr>
            <w:tcW w:w="819" w:type="pct"/>
            <w:tcBorders>
              <w:top w:val="nil"/>
              <w:left w:val="nil"/>
              <w:bottom w:val="single" w:color="000000" w:sz="12" w:space="0"/>
              <w:right w:val="nil"/>
            </w:tcBorders>
            <w:shd w:val="clear" w:color="auto" w:fill="FFFFFF"/>
            <w:vAlign w:val="center"/>
          </w:tcPr>
          <w:p w14:paraId="33A28A77">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0.45 </w:t>
            </w:r>
          </w:p>
        </w:tc>
        <w:tc>
          <w:tcPr>
            <w:tcW w:w="463" w:type="pct"/>
            <w:tcBorders>
              <w:top w:val="nil"/>
              <w:left w:val="nil"/>
              <w:bottom w:val="single" w:color="auto" w:sz="12" w:space="0"/>
              <w:right w:val="nil"/>
            </w:tcBorders>
            <w:vAlign w:val="center"/>
          </w:tcPr>
          <w:p w14:paraId="2CF6BE71">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1.57 </w:t>
            </w:r>
          </w:p>
        </w:tc>
        <w:tc>
          <w:tcPr>
            <w:tcW w:w="552" w:type="pct"/>
            <w:tcBorders>
              <w:top w:val="nil"/>
              <w:left w:val="nil"/>
              <w:bottom w:val="single" w:color="000000" w:sz="12" w:space="0"/>
              <w:right w:val="nil"/>
            </w:tcBorders>
            <w:shd w:val="clear" w:color="auto" w:fill="FFFFFF"/>
            <w:vAlign w:val="center"/>
          </w:tcPr>
          <w:p w14:paraId="1D2DB2DE">
            <w:pPr>
              <w:spacing w:line="240" w:lineRule="auto"/>
              <w:ind w:firstLine="0" w:firstLineChars="0"/>
              <w:jc w:val="center"/>
              <w:rPr>
                <w:rFonts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lang w:val="en-US" w:eastAsia="zh-CN"/>
              </w:rPr>
              <w:t xml:space="preserve">0.36 </w:t>
            </w:r>
          </w:p>
        </w:tc>
        <w:tc>
          <w:tcPr>
            <w:tcW w:w="1173" w:type="pct"/>
            <w:tcBorders>
              <w:top w:val="nil"/>
              <w:left w:val="nil"/>
              <w:bottom w:val="single" w:color="000000" w:sz="12" w:space="0"/>
              <w:right w:val="nil"/>
            </w:tcBorders>
            <w:shd w:val="clear" w:color="auto" w:fill="FFFFFF"/>
            <w:vAlign w:val="center"/>
          </w:tcPr>
          <w:p w14:paraId="34268EDF">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0.13</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18.91</w:t>
            </w:r>
          </w:p>
        </w:tc>
      </w:tr>
    </w:tbl>
    <w:p w14:paraId="1BC44EB1">
      <w:pPr>
        <w:ind w:firstLine="0" w:firstLineChars="0"/>
        <w:rPr>
          <w:rFonts w:ascii="Times New Roman" w:hAnsi="Times New Roman" w:cs="Times New Roman"/>
          <w:color w:val="auto"/>
          <w:sz w:val="18"/>
          <w:szCs w:val="20"/>
        </w:rPr>
      </w:pPr>
    </w:p>
    <w:p w14:paraId="00AC7FE5">
      <w:pPr>
        <w:ind w:firstLine="180" w:firstLineChars="100"/>
        <w:jc w:val="center"/>
        <w:rPr>
          <w:rFonts w:ascii="Times New Roman" w:hAnsi="Times New Roman" w:cs="Times New Roman"/>
          <w:color w:val="auto"/>
          <w:sz w:val="18"/>
          <w:szCs w:val="20"/>
        </w:rPr>
      </w:pPr>
      <w:r>
        <w:rPr>
          <w:rFonts w:ascii="Times New Roman" w:hAnsi="Times New Roman" w:cs="Times New Roman"/>
          <w:color w:val="auto"/>
          <w:sz w:val="18"/>
          <w:szCs w:val="20"/>
        </w:rPr>
        <w:t>表</w:t>
      </w:r>
      <w:r>
        <w:rPr>
          <w:rFonts w:hint="eastAsia" w:ascii="Times New Roman" w:hAnsi="Times New Roman" w:cs="Times New Roman"/>
          <w:color w:val="auto"/>
          <w:sz w:val="18"/>
          <w:szCs w:val="20"/>
        </w:rPr>
        <w:t>3</w:t>
      </w:r>
      <w:r>
        <w:rPr>
          <w:rFonts w:ascii="Times New Roman" w:hAnsi="Times New Roman" w:cs="Times New Roman"/>
          <w:color w:val="auto"/>
          <w:sz w:val="18"/>
          <w:szCs w:val="20"/>
        </w:rPr>
        <w:t xml:space="preserve"> </w:t>
      </w:r>
      <w:r>
        <w:rPr>
          <w:rFonts w:hint="eastAsia" w:ascii="Times New Roman" w:hAnsi="Times New Roman" w:cs="Times New Roman"/>
          <w:color w:val="auto"/>
          <w:sz w:val="18"/>
          <w:szCs w:val="20"/>
        </w:rPr>
        <w:t>术前</w:t>
      </w:r>
      <w:r>
        <w:rPr>
          <w:rFonts w:ascii="Times New Roman" w:hAnsi="Times New Roman" w:cs="Times New Roman"/>
          <w:color w:val="auto"/>
          <w:sz w:val="18"/>
          <w:szCs w:val="20"/>
        </w:rPr>
        <w:t>变量多因素logistic分析结果</w:t>
      </w:r>
    </w:p>
    <w:p w14:paraId="74B31B14">
      <w:pPr>
        <w:ind w:firstLine="180" w:firstLineChars="100"/>
        <w:jc w:val="center"/>
        <w:rPr>
          <w:rFonts w:ascii="Times New Roman" w:hAnsi="Times New Roman" w:cs="Times New Roman"/>
          <w:color w:val="auto"/>
          <w:sz w:val="18"/>
          <w:szCs w:val="20"/>
        </w:rPr>
      </w:pPr>
      <w:r>
        <w:rPr>
          <w:rFonts w:hint="eastAsia" w:ascii="Times New Roman" w:hAnsi="Times New Roman" w:cs="Times New Roman"/>
          <w:color w:val="auto"/>
          <w:sz w:val="18"/>
          <w:szCs w:val="20"/>
        </w:rPr>
        <w:t>Table 3 Results of Multivariate Logistic Regression Analysis of Preoperative Variables</w:t>
      </w:r>
    </w:p>
    <w:tbl>
      <w:tblPr>
        <w:tblStyle w:val="22"/>
        <w:tblW w:w="4997"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392"/>
        <w:gridCol w:w="1396"/>
        <w:gridCol w:w="789"/>
        <w:gridCol w:w="941"/>
        <w:gridCol w:w="1999"/>
      </w:tblGrid>
      <w:tr w14:paraId="38874C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single" w:color="000000" w:sz="12" w:space="0"/>
              <w:left w:val="nil"/>
              <w:bottom w:val="nil"/>
              <w:right w:val="nil"/>
              <w:tl2br w:val="nil"/>
            </w:tcBorders>
            <w:shd w:val="clear" w:color="auto" w:fill="FFFFFF"/>
            <w:noWrap w:val="0"/>
            <w:tcMar>
              <w:top w:w="-1" w:type="dxa"/>
              <w:left w:w="-1" w:type="dxa"/>
              <w:bottom w:w="-1" w:type="dxa"/>
              <w:right w:w="-1" w:type="dxa"/>
            </w:tcMar>
            <w:vAlign w:val="center"/>
          </w:tcPr>
          <w:p w14:paraId="1622B286">
            <w:pPr>
              <w:spacing w:line="240" w:lineRule="auto"/>
              <w:ind w:firstLine="0" w:firstLineChars="0"/>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变量</w:t>
            </w:r>
          </w:p>
        </w:tc>
        <w:tc>
          <w:tcPr>
            <w:tcW w:w="819" w:type="pct"/>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4C277F0B">
            <w:pPr>
              <w:spacing w:line="240" w:lineRule="auto"/>
              <w:ind w:firstLine="0" w:firstLineChars="0"/>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回归系数</w:t>
            </w:r>
          </w:p>
        </w:tc>
        <w:tc>
          <w:tcPr>
            <w:tcW w:w="463" w:type="pct"/>
            <w:tcBorders>
              <w:top w:val="single" w:color="auto" w:sz="12" w:space="0"/>
              <w:left w:val="nil"/>
              <w:bottom w:val="nil"/>
              <w:right w:val="nil"/>
            </w:tcBorders>
            <w:noWrap w:val="0"/>
            <w:tcMar>
              <w:top w:w="-1" w:type="dxa"/>
              <w:left w:w="-1" w:type="dxa"/>
              <w:bottom w:w="-1" w:type="dxa"/>
              <w:right w:w="-1" w:type="dxa"/>
            </w:tcMar>
            <w:vAlign w:val="top"/>
          </w:tcPr>
          <w:p w14:paraId="2241A3F6">
            <w:pPr>
              <w:spacing w:line="240" w:lineRule="auto"/>
              <w:ind w:firstLine="0" w:firstLineChars="0"/>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OR</w:t>
            </w:r>
          </w:p>
        </w:tc>
        <w:tc>
          <w:tcPr>
            <w:tcW w:w="552" w:type="pct"/>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4B3BDB79">
            <w:pPr>
              <w:spacing w:line="240" w:lineRule="auto"/>
              <w:ind w:firstLine="0" w:firstLineChars="0"/>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P值</w:t>
            </w:r>
          </w:p>
        </w:tc>
        <w:tc>
          <w:tcPr>
            <w:tcW w:w="1173" w:type="pct"/>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525F9942">
            <w:pPr>
              <w:spacing w:line="240" w:lineRule="auto"/>
              <w:ind w:firstLine="0" w:firstLineChars="0"/>
              <w:jc w:val="center"/>
              <w:rPr>
                <w:rFonts w:ascii="Times New Roman" w:hAnsi="Times New Roman" w:cs="Times New Roman"/>
                <w:b/>
                <w:bCs/>
                <w:color w:val="auto"/>
                <w:sz w:val="18"/>
                <w:szCs w:val="18"/>
              </w:rPr>
            </w:pPr>
            <w:r>
              <w:rPr>
                <w:rFonts w:ascii="Times New Roman" w:hAnsi="Times New Roman" w:cs="Times New Roman"/>
                <w:b/>
                <w:bCs/>
                <w:color w:val="auto"/>
                <w:sz w:val="18"/>
                <w:szCs w:val="18"/>
              </w:rPr>
              <w:t>95% 置信区间</w:t>
            </w:r>
          </w:p>
        </w:tc>
      </w:tr>
      <w:tr w14:paraId="406CE2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99AF7F2">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PreopHGB</w:t>
            </w:r>
          </w:p>
        </w:tc>
        <w:tc>
          <w:tcPr>
            <w:tcW w:w="819"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926C8B9">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-0.01 </w:t>
            </w:r>
          </w:p>
        </w:tc>
        <w:tc>
          <w:tcPr>
            <w:tcW w:w="463" w:type="pct"/>
            <w:tcBorders>
              <w:top w:val="single" w:color="auto" w:sz="4" w:space="0"/>
              <w:left w:val="nil"/>
              <w:bottom w:val="nil"/>
              <w:right w:val="nil"/>
            </w:tcBorders>
            <w:noWrap w:val="0"/>
            <w:tcMar>
              <w:top w:w="-1" w:type="dxa"/>
              <w:left w:w="-1" w:type="dxa"/>
              <w:bottom w:w="-1" w:type="dxa"/>
              <w:right w:w="-1" w:type="dxa"/>
            </w:tcMar>
            <w:vAlign w:val="center"/>
          </w:tcPr>
          <w:p w14:paraId="2FEF1176">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0.99 </w:t>
            </w:r>
          </w:p>
        </w:tc>
        <w:tc>
          <w:tcPr>
            <w:tcW w:w="552"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17DB4D0">
            <w:pPr>
              <w:spacing w:line="240" w:lineRule="auto"/>
              <w:ind w:firstLine="0" w:firstLineChars="0"/>
              <w:jc w:val="center"/>
              <w:rPr>
                <w:rFonts w:ascii="Times New Roman" w:hAnsi="Times New Roman" w:cs="Times New Roman"/>
                <w:color w:val="auto"/>
                <w:sz w:val="18"/>
                <w:szCs w:val="18"/>
              </w:rPr>
            </w:pPr>
            <w:r>
              <w:rPr>
                <w:rFonts w:ascii="Times New Roman" w:hAnsi="Times New Roman" w:cs="Times New Roman"/>
                <w:color w:val="auto"/>
                <w:sz w:val="18"/>
                <w:szCs w:val="18"/>
              </w:rPr>
              <w:t>&lt;0.01</w:t>
            </w:r>
          </w:p>
        </w:tc>
        <w:tc>
          <w:tcPr>
            <w:tcW w:w="1173"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E8E33FA">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0.98</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0.99</w:t>
            </w:r>
          </w:p>
        </w:tc>
      </w:tr>
      <w:tr w14:paraId="271AFA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noWrap w:val="0"/>
            <w:tcMar>
              <w:top w:w="-1" w:type="dxa"/>
              <w:left w:w="-1" w:type="dxa"/>
              <w:bottom w:w="-1" w:type="dxa"/>
              <w:right w:w="-1" w:type="dxa"/>
            </w:tcMar>
            <w:vAlign w:val="center"/>
          </w:tcPr>
          <w:p w14:paraId="2C32792B">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PreopConcurrentCRT</w:t>
            </w:r>
          </w:p>
        </w:tc>
        <w:tc>
          <w:tcPr>
            <w:tcW w:w="819" w:type="pct"/>
            <w:tcBorders>
              <w:top w:val="nil"/>
              <w:left w:val="nil"/>
              <w:bottom w:val="nil"/>
              <w:right w:val="nil"/>
            </w:tcBorders>
            <w:shd w:val="clear" w:color="auto" w:fill="FFFFFF"/>
            <w:noWrap w:val="0"/>
            <w:tcMar>
              <w:top w:w="-1" w:type="dxa"/>
              <w:left w:w="-1" w:type="dxa"/>
              <w:bottom w:w="-1" w:type="dxa"/>
              <w:right w:w="-1" w:type="dxa"/>
            </w:tcMar>
            <w:vAlign w:val="center"/>
          </w:tcPr>
          <w:p w14:paraId="275F2E41">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1.17 </w:t>
            </w:r>
          </w:p>
        </w:tc>
        <w:tc>
          <w:tcPr>
            <w:tcW w:w="463" w:type="pct"/>
            <w:tcBorders>
              <w:top w:val="nil"/>
              <w:left w:val="nil"/>
              <w:bottom w:val="nil"/>
              <w:right w:val="nil"/>
            </w:tcBorders>
            <w:noWrap w:val="0"/>
            <w:tcMar>
              <w:top w:w="-1" w:type="dxa"/>
              <w:left w:w="-1" w:type="dxa"/>
              <w:bottom w:w="-1" w:type="dxa"/>
              <w:right w:w="-1" w:type="dxa"/>
            </w:tcMar>
            <w:vAlign w:val="center"/>
          </w:tcPr>
          <w:p w14:paraId="097E3FF8">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3.22 </w:t>
            </w:r>
          </w:p>
        </w:tc>
        <w:tc>
          <w:tcPr>
            <w:tcW w:w="552" w:type="pct"/>
            <w:tcBorders>
              <w:top w:val="nil"/>
              <w:left w:val="nil"/>
              <w:bottom w:val="nil"/>
              <w:right w:val="nil"/>
            </w:tcBorders>
            <w:shd w:val="clear" w:color="auto" w:fill="FFFFFF"/>
            <w:noWrap w:val="0"/>
            <w:tcMar>
              <w:top w:w="-1" w:type="dxa"/>
              <w:left w:w="-1" w:type="dxa"/>
              <w:bottom w:w="-1" w:type="dxa"/>
              <w:right w:w="-1" w:type="dxa"/>
            </w:tcMar>
            <w:vAlign w:val="center"/>
          </w:tcPr>
          <w:p w14:paraId="4B68C417">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ascii="Times New Roman" w:hAnsi="Times New Roman" w:cs="Times New Roman"/>
                <w:color w:val="auto"/>
                <w:sz w:val="18"/>
                <w:szCs w:val="18"/>
              </w:rPr>
              <w:t>&lt;0.01</w:t>
            </w:r>
          </w:p>
        </w:tc>
        <w:tc>
          <w:tcPr>
            <w:tcW w:w="1173" w:type="pct"/>
            <w:tcBorders>
              <w:top w:val="nil"/>
              <w:left w:val="nil"/>
              <w:bottom w:val="nil"/>
              <w:right w:val="nil"/>
            </w:tcBorders>
            <w:shd w:val="clear" w:color="auto" w:fill="FFFFFF"/>
            <w:noWrap w:val="0"/>
            <w:tcMar>
              <w:top w:w="-1" w:type="dxa"/>
              <w:left w:w="-1" w:type="dxa"/>
              <w:bottom w:w="-1" w:type="dxa"/>
              <w:right w:w="-1" w:type="dxa"/>
            </w:tcMar>
            <w:vAlign w:val="center"/>
          </w:tcPr>
          <w:p w14:paraId="0D378CA3">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1.36</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7.64</w:t>
            </w:r>
          </w:p>
        </w:tc>
      </w:tr>
      <w:tr w14:paraId="573740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noWrap w:val="0"/>
            <w:tcMar>
              <w:top w:w="-1" w:type="dxa"/>
              <w:left w:w="-1" w:type="dxa"/>
              <w:bottom w:w="-1" w:type="dxa"/>
              <w:right w:w="-1" w:type="dxa"/>
            </w:tcMar>
            <w:vAlign w:val="center"/>
          </w:tcPr>
          <w:p w14:paraId="5103C7FB">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Diabetes</w:t>
            </w:r>
          </w:p>
        </w:tc>
        <w:tc>
          <w:tcPr>
            <w:tcW w:w="819" w:type="pct"/>
            <w:tcBorders>
              <w:top w:val="nil"/>
              <w:left w:val="nil"/>
              <w:bottom w:val="nil"/>
              <w:right w:val="nil"/>
            </w:tcBorders>
            <w:shd w:val="clear" w:color="auto" w:fill="FFFFFF"/>
            <w:noWrap w:val="0"/>
            <w:tcMar>
              <w:top w:w="-1" w:type="dxa"/>
              <w:left w:w="-1" w:type="dxa"/>
              <w:bottom w:w="-1" w:type="dxa"/>
              <w:right w:w="-1" w:type="dxa"/>
            </w:tcMar>
            <w:vAlign w:val="center"/>
          </w:tcPr>
          <w:p w14:paraId="191BCE3D">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0.95 </w:t>
            </w:r>
          </w:p>
        </w:tc>
        <w:tc>
          <w:tcPr>
            <w:tcW w:w="463" w:type="pct"/>
            <w:tcBorders>
              <w:top w:val="nil"/>
              <w:left w:val="nil"/>
              <w:bottom w:val="nil"/>
              <w:right w:val="nil"/>
            </w:tcBorders>
            <w:noWrap w:val="0"/>
            <w:tcMar>
              <w:top w:w="-1" w:type="dxa"/>
              <w:left w:w="-1" w:type="dxa"/>
              <w:bottom w:w="-1" w:type="dxa"/>
              <w:right w:w="-1" w:type="dxa"/>
            </w:tcMar>
            <w:vAlign w:val="center"/>
          </w:tcPr>
          <w:p w14:paraId="5AC3BCC5">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2.58 </w:t>
            </w:r>
          </w:p>
        </w:tc>
        <w:tc>
          <w:tcPr>
            <w:tcW w:w="552" w:type="pct"/>
            <w:tcBorders>
              <w:top w:val="nil"/>
              <w:left w:val="nil"/>
              <w:bottom w:val="nil"/>
              <w:right w:val="nil"/>
            </w:tcBorders>
            <w:shd w:val="clear" w:color="auto" w:fill="FFFFFF"/>
            <w:noWrap w:val="0"/>
            <w:tcMar>
              <w:top w:w="-1" w:type="dxa"/>
              <w:left w:w="-1" w:type="dxa"/>
              <w:bottom w:w="-1" w:type="dxa"/>
              <w:right w:w="-1" w:type="dxa"/>
            </w:tcMar>
            <w:vAlign w:val="center"/>
          </w:tcPr>
          <w:p w14:paraId="222DBDC4">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0.02 </w:t>
            </w:r>
          </w:p>
        </w:tc>
        <w:tc>
          <w:tcPr>
            <w:tcW w:w="1173" w:type="pct"/>
            <w:tcBorders>
              <w:top w:val="nil"/>
              <w:left w:val="nil"/>
              <w:bottom w:val="nil"/>
              <w:right w:val="nil"/>
            </w:tcBorders>
            <w:shd w:val="clear" w:color="auto" w:fill="FFFFFF"/>
            <w:noWrap w:val="0"/>
            <w:tcMar>
              <w:top w:w="-1" w:type="dxa"/>
              <w:left w:w="-1" w:type="dxa"/>
              <w:bottom w:w="-1" w:type="dxa"/>
              <w:right w:w="-1" w:type="dxa"/>
            </w:tcMar>
            <w:vAlign w:val="center"/>
          </w:tcPr>
          <w:p w14:paraId="4FD5C6C5">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1.07</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6.22</w:t>
            </w:r>
          </w:p>
        </w:tc>
      </w:tr>
      <w:tr w14:paraId="75733D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noWrap w:val="0"/>
            <w:tcMar>
              <w:top w:w="-1" w:type="dxa"/>
              <w:left w:w="-1" w:type="dxa"/>
              <w:bottom w:w="-1" w:type="dxa"/>
              <w:right w:w="-1" w:type="dxa"/>
            </w:tcMar>
            <w:vAlign w:val="center"/>
          </w:tcPr>
          <w:p w14:paraId="7DBB964E">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AlcoholHistory</w:t>
            </w:r>
          </w:p>
        </w:tc>
        <w:tc>
          <w:tcPr>
            <w:tcW w:w="819" w:type="pct"/>
            <w:tcBorders>
              <w:top w:val="nil"/>
              <w:left w:val="nil"/>
              <w:bottom w:val="nil"/>
              <w:right w:val="nil"/>
            </w:tcBorders>
            <w:shd w:val="clear" w:color="auto" w:fill="FFFFFF"/>
            <w:noWrap w:val="0"/>
            <w:tcMar>
              <w:top w:w="-1" w:type="dxa"/>
              <w:left w:w="-1" w:type="dxa"/>
              <w:bottom w:w="-1" w:type="dxa"/>
              <w:right w:w="-1" w:type="dxa"/>
            </w:tcMar>
            <w:vAlign w:val="center"/>
          </w:tcPr>
          <w:p w14:paraId="20823403">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0.56 </w:t>
            </w:r>
          </w:p>
        </w:tc>
        <w:tc>
          <w:tcPr>
            <w:tcW w:w="463" w:type="pct"/>
            <w:tcBorders>
              <w:top w:val="nil"/>
              <w:left w:val="nil"/>
              <w:bottom w:val="nil"/>
              <w:right w:val="nil"/>
            </w:tcBorders>
            <w:noWrap w:val="0"/>
            <w:tcMar>
              <w:top w:w="-1" w:type="dxa"/>
              <w:left w:w="-1" w:type="dxa"/>
              <w:bottom w:w="-1" w:type="dxa"/>
              <w:right w:w="-1" w:type="dxa"/>
            </w:tcMar>
            <w:vAlign w:val="center"/>
          </w:tcPr>
          <w:p w14:paraId="3E120C5D">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1.75 </w:t>
            </w:r>
          </w:p>
        </w:tc>
        <w:tc>
          <w:tcPr>
            <w:tcW w:w="552" w:type="pct"/>
            <w:tcBorders>
              <w:top w:val="nil"/>
              <w:left w:val="nil"/>
              <w:bottom w:val="nil"/>
              <w:right w:val="nil"/>
            </w:tcBorders>
            <w:shd w:val="clear" w:color="auto" w:fill="FFFFFF"/>
            <w:noWrap w:val="0"/>
            <w:tcMar>
              <w:top w:w="-1" w:type="dxa"/>
              <w:left w:w="-1" w:type="dxa"/>
              <w:bottom w:w="-1" w:type="dxa"/>
              <w:right w:w="-1" w:type="dxa"/>
            </w:tcMar>
            <w:vAlign w:val="center"/>
          </w:tcPr>
          <w:p w14:paraId="55712B3E">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0.08 </w:t>
            </w:r>
          </w:p>
        </w:tc>
        <w:tc>
          <w:tcPr>
            <w:tcW w:w="1173" w:type="pct"/>
            <w:tcBorders>
              <w:top w:val="nil"/>
              <w:left w:val="nil"/>
              <w:bottom w:val="nil"/>
              <w:right w:val="nil"/>
            </w:tcBorders>
            <w:shd w:val="clear" w:color="auto" w:fill="FFFFFF"/>
            <w:noWrap w:val="0"/>
            <w:tcMar>
              <w:top w:w="-1" w:type="dxa"/>
              <w:left w:w="-1" w:type="dxa"/>
              <w:bottom w:w="-1" w:type="dxa"/>
              <w:right w:w="-1" w:type="dxa"/>
            </w:tcMar>
            <w:vAlign w:val="top"/>
          </w:tcPr>
          <w:p w14:paraId="7194D318">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0.81</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3.81</w:t>
            </w:r>
          </w:p>
        </w:tc>
      </w:tr>
      <w:tr w14:paraId="406D78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noWrap w:val="0"/>
            <w:tcMar>
              <w:top w:w="-1" w:type="dxa"/>
              <w:left w:w="-1" w:type="dxa"/>
              <w:bottom w:w="-1" w:type="dxa"/>
              <w:right w:w="-1" w:type="dxa"/>
            </w:tcMar>
            <w:vAlign w:val="center"/>
          </w:tcPr>
          <w:p w14:paraId="610376EE">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PreopChemotherapy</w:t>
            </w:r>
          </w:p>
        </w:tc>
        <w:tc>
          <w:tcPr>
            <w:tcW w:w="819" w:type="pct"/>
            <w:tcBorders>
              <w:top w:val="nil"/>
              <w:left w:val="nil"/>
              <w:bottom w:val="nil"/>
              <w:right w:val="nil"/>
            </w:tcBorders>
            <w:shd w:val="clear" w:color="auto" w:fill="FFFFFF"/>
            <w:noWrap w:val="0"/>
            <w:tcMar>
              <w:top w:w="-1" w:type="dxa"/>
              <w:left w:w="-1" w:type="dxa"/>
              <w:bottom w:w="-1" w:type="dxa"/>
              <w:right w:w="-1" w:type="dxa"/>
            </w:tcMar>
            <w:vAlign w:val="center"/>
          </w:tcPr>
          <w:p w14:paraId="5CF67F12">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0.64 </w:t>
            </w:r>
          </w:p>
        </w:tc>
        <w:tc>
          <w:tcPr>
            <w:tcW w:w="463" w:type="pct"/>
            <w:tcBorders>
              <w:top w:val="nil"/>
              <w:left w:val="nil"/>
              <w:bottom w:val="nil"/>
              <w:right w:val="nil"/>
            </w:tcBorders>
            <w:noWrap w:val="0"/>
            <w:tcMar>
              <w:top w:w="-1" w:type="dxa"/>
              <w:left w:w="-1" w:type="dxa"/>
              <w:bottom w:w="-1" w:type="dxa"/>
              <w:right w:w="-1" w:type="dxa"/>
            </w:tcMar>
            <w:vAlign w:val="center"/>
          </w:tcPr>
          <w:p w14:paraId="7775C3FB">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1.89 </w:t>
            </w:r>
          </w:p>
        </w:tc>
        <w:tc>
          <w:tcPr>
            <w:tcW w:w="552" w:type="pct"/>
            <w:tcBorders>
              <w:top w:val="nil"/>
              <w:left w:val="nil"/>
              <w:bottom w:val="nil"/>
              <w:right w:val="nil"/>
            </w:tcBorders>
            <w:shd w:val="clear" w:color="auto" w:fill="FFFFFF"/>
            <w:noWrap w:val="0"/>
            <w:tcMar>
              <w:top w:w="-1" w:type="dxa"/>
              <w:left w:w="-1" w:type="dxa"/>
              <w:bottom w:w="-1" w:type="dxa"/>
              <w:right w:w="-1" w:type="dxa"/>
            </w:tcMar>
            <w:vAlign w:val="center"/>
          </w:tcPr>
          <w:p w14:paraId="7BEC6A58">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0.10 </w:t>
            </w:r>
          </w:p>
        </w:tc>
        <w:tc>
          <w:tcPr>
            <w:tcW w:w="1173" w:type="pct"/>
            <w:tcBorders>
              <w:top w:val="nil"/>
              <w:left w:val="nil"/>
              <w:bottom w:val="nil"/>
              <w:right w:val="nil"/>
            </w:tcBorders>
            <w:shd w:val="clear" w:color="auto" w:fill="FFFFFF"/>
            <w:noWrap w:val="0"/>
            <w:tcMar>
              <w:top w:w="-1" w:type="dxa"/>
              <w:left w:w="-1" w:type="dxa"/>
              <w:bottom w:w="-1" w:type="dxa"/>
              <w:right w:w="-1" w:type="dxa"/>
            </w:tcMar>
            <w:vAlign w:val="center"/>
          </w:tcPr>
          <w:p w14:paraId="37B89D0B">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0.70</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5.09</w:t>
            </w:r>
          </w:p>
        </w:tc>
      </w:tr>
      <w:tr w14:paraId="356F76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noWrap w:val="0"/>
            <w:tcMar>
              <w:top w:w="-1" w:type="dxa"/>
              <w:left w:w="-1" w:type="dxa"/>
              <w:bottom w:w="-1" w:type="dxa"/>
              <w:right w:w="-1" w:type="dxa"/>
            </w:tcMar>
            <w:vAlign w:val="center"/>
          </w:tcPr>
          <w:p w14:paraId="42A92820">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PeripheralVascularDisease</w:t>
            </w:r>
          </w:p>
        </w:tc>
        <w:tc>
          <w:tcPr>
            <w:tcW w:w="819" w:type="pct"/>
            <w:tcBorders>
              <w:top w:val="nil"/>
              <w:left w:val="nil"/>
              <w:bottom w:val="nil"/>
              <w:right w:val="nil"/>
            </w:tcBorders>
            <w:shd w:val="clear" w:color="auto" w:fill="FFFFFF"/>
            <w:noWrap w:val="0"/>
            <w:tcMar>
              <w:top w:w="-1" w:type="dxa"/>
              <w:left w:w="-1" w:type="dxa"/>
              <w:bottom w:w="-1" w:type="dxa"/>
              <w:right w:w="-1" w:type="dxa"/>
            </w:tcMar>
            <w:vAlign w:val="center"/>
          </w:tcPr>
          <w:p w14:paraId="6E75272B">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1.14 </w:t>
            </w:r>
          </w:p>
        </w:tc>
        <w:tc>
          <w:tcPr>
            <w:tcW w:w="463" w:type="pct"/>
            <w:tcBorders>
              <w:top w:val="nil"/>
              <w:left w:val="nil"/>
              <w:bottom w:val="nil"/>
              <w:right w:val="nil"/>
            </w:tcBorders>
            <w:noWrap w:val="0"/>
            <w:tcMar>
              <w:top w:w="-1" w:type="dxa"/>
              <w:left w:w="-1" w:type="dxa"/>
              <w:bottom w:w="-1" w:type="dxa"/>
              <w:right w:w="-1" w:type="dxa"/>
            </w:tcMar>
            <w:vAlign w:val="center"/>
          </w:tcPr>
          <w:p w14:paraId="1F6C8AC5">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3.13 </w:t>
            </w:r>
          </w:p>
        </w:tc>
        <w:tc>
          <w:tcPr>
            <w:tcW w:w="552" w:type="pct"/>
            <w:tcBorders>
              <w:top w:val="nil"/>
              <w:left w:val="nil"/>
              <w:bottom w:val="nil"/>
              <w:right w:val="nil"/>
            </w:tcBorders>
            <w:shd w:val="clear" w:color="auto" w:fill="FFFFFF"/>
            <w:noWrap w:val="0"/>
            <w:tcMar>
              <w:top w:w="-1" w:type="dxa"/>
              <w:left w:w="-1" w:type="dxa"/>
              <w:bottom w:w="-1" w:type="dxa"/>
              <w:right w:w="-1" w:type="dxa"/>
            </w:tcMar>
            <w:vAlign w:val="center"/>
          </w:tcPr>
          <w:p w14:paraId="22145BA5">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0.15 </w:t>
            </w:r>
          </w:p>
        </w:tc>
        <w:tc>
          <w:tcPr>
            <w:tcW w:w="1173" w:type="pct"/>
            <w:tcBorders>
              <w:top w:val="nil"/>
              <w:left w:val="nil"/>
              <w:bottom w:val="nil"/>
              <w:right w:val="nil"/>
            </w:tcBorders>
            <w:shd w:val="clear" w:color="auto" w:fill="FFFFFF"/>
            <w:noWrap w:val="0"/>
            <w:tcMar>
              <w:top w:w="-1" w:type="dxa"/>
              <w:left w:w="-1" w:type="dxa"/>
              <w:bottom w:w="-1" w:type="dxa"/>
              <w:right w:w="-1" w:type="dxa"/>
            </w:tcMar>
            <w:vAlign w:val="center"/>
          </w:tcPr>
          <w:p w14:paraId="020C85A3">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0.37</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26.56</w:t>
            </w:r>
          </w:p>
        </w:tc>
      </w:tr>
      <w:tr w14:paraId="59D97B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noWrap w:val="0"/>
            <w:tcMar>
              <w:top w:w="-1" w:type="dxa"/>
              <w:left w:w="-1" w:type="dxa"/>
              <w:bottom w:w="-1" w:type="dxa"/>
              <w:right w:w="-1" w:type="dxa"/>
            </w:tcMar>
            <w:vAlign w:val="center"/>
          </w:tcPr>
          <w:p w14:paraId="19C08584">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CoronaryHeartDisease</w:t>
            </w:r>
          </w:p>
        </w:tc>
        <w:tc>
          <w:tcPr>
            <w:tcW w:w="819" w:type="pct"/>
            <w:tcBorders>
              <w:top w:val="nil"/>
              <w:left w:val="nil"/>
              <w:bottom w:val="nil"/>
              <w:right w:val="nil"/>
            </w:tcBorders>
            <w:shd w:val="clear" w:color="auto" w:fill="FFFFFF"/>
            <w:noWrap w:val="0"/>
            <w:tcMar>
              <w:top w:w="-1" w:type="dxa"/>
              <w:left w:w="-1" w:type="dxa"/>
              <w:bottom w:w="-1" w:type="dxa"/>
              <w:right w:w="-1" w:type="dxa"/>
            </w:tcMar>
            <w:vAlign w:val="center"/>
          </w:tcPr>
          <w:p w14:paraId="16794DBA">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-1.07 </w:t>
            </w:r>
          </w:p>
        </w:tc>
        <w:tc>
          <w:tcPr>
            <w:tcW w:w="463" w:type="pct"/>
            <w:tcBorders>
              <w:top w:val="nil"/>
              <w:left w:val="nil"/>
              <w:bottom w:val="nil"/>
              <w:right w:val="nil"/>
            </w:tcBorders>
            <w:noWrap w:val="0"/>
            <w:tcMar>
              <w:top w:w="-1" w:type="dxa"/>
              <w:left w:w="-1" w:type="dxa"/>
              <w:bottom w:w="-1" w:type="dxa"/>
              <w:right w:w="-1" w:type="dxa"/>
            </w:tcMar>
            <w:vAlign w:val="center"/>
          </w:tcPr>
          <w:p w14:paraId="09083233">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0.34 </w:t>
            </w:r>
          </w:p>
        </w:tc>
        <w:tc>
          <w:tcPr>
            <w:tcW w:w="552" w:type="pct"/>
            <w:tcBorders>
              <w:top w:val="nil"/>
              <w:left w:val="nil"/>
              <w:bottom w:val="nil"/>
              <w:right w:val="nil"/>
            </w:tcBorders>
            <w:shd w:val="clear" w:color="auto" w:fill="FFFFFF"/>
            <w:noWrap w:val="0"/>
            <w:tcMar>
              <w:top w:w="-1" w:type="dxa"/>
              <w:left w:w="-1" w:type="dxa"/>
              <w:bottom w:w="-1" w:type="dxa"/>
              <w:right w:w="-1" w:type="dxa"/>
            </w:tcMar>
            <w:vAlign w:val="center"/>
          </w:tcPr>
          <w:p w14:paraId="1FD2E98F">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0.16 </w:t>
            </w:r>
          </w:p>
        </w:tc>
        <w:tc>
          <w:tcPr>
            <w:tcW w:w="1173" w:type="pct"/>
            <w:tcBorders>
              <w:top w:val="nil"/>
              <w:left w:val="nil"/>
              <w:bottom w:val="nil"/>
              <w:right w:val="nil"/>
            </w:tcBorders>
            <w:shd w:val="clear" w:color="auto" w:fill="FFFFFF"/>
            <w:noWrap w:val="0"/>
            <w:tcMar>
              <w:top w:w="-1" w:type="dxa"/>
              <w:left w:w="-1" w:type="dxa"/>
              <w:bottom w:w="-1" w:type="dxa"/>
              <w:right w:w="-1" w:type="dxa"/>
            </w:tcMar>
            <w:vAlign w:val="center"/>
          </w:tcPr>
          <w:p w14:paraId="109D205A">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0.04</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2.82</w:t>
            </w:r>
          </w:p>
        </w:tc>
      </w:tr>
      <w:tr w14:paraId="78A2C2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noWrap w:val="0"/>
            <w:tcMar>
              <w:top w:w="-1" w:type="dxa"/>
              <w:left w:w="-1" w:type="dxa"/>
              <w:bottom w:w="-1" w:type="dxa"/>
              <w:right w:w="-1" w:type="dxa"/>
            </w:tcMar>
            <w:vAlign w:val="center"/>
          </w:tcPr>
          <w:p w14:paraId="2ED09144">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PreopALB</w:t>
            </w:r>
          </w:p>
        </w:tc>
        <w:tc>
          <w:tcPr>
            <w:tcW w:w="819" w:type="pct"/>
            <w:tcBorders>
              <w:top w:val="nil"/>
              <w:left w:val="nil"/>
              <w:bottom w:val="nil"/>
              <w:right w:val="nil"/>
            </w:tcBorders>
            <w:shd w:val="clear" w:color="auto" w:fill="FFFFFF"/>
            <w:noWrap w:val="0"/>
            <w:tcMar>
              <w:top w:w="-1" w:type="dxa"/>
              <w:left w:w="-1" w:type="dxa"/>
              <w:bottom w:w="-1" w:type="dxa"/>
              <w:right w:w="-1" w:type="dxa"/>
            </w:tcMar>
            <w:vAlign w:val="center"/>
          </w:tcPr>
          <w:p w14:paraId="07BE8144">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-0.01 </w:t>
            </w:r>
          </w:p>
        </w:tc>
        <w:tc>
          <w:tcPr>
            <w:tcW w:w="463" w:type="pct"/>
            <w:tcBorders>
              <w:top w:val="nil"/>
              <w:left w:val="nil"/>
              <w:bottom w:val="nil"/>
              <w:right w:val="nil"/>
            </w:tcBorders>
            <w:noWrap w:val="0"/>
            <w:tcMar>
              <w:top w:w="-1" w:type="dxa"/>
              <w:left w:w="-1" w:type="dxa"/>
              <w:bottom w:w="-1" w:type="dxa"/>
              <w:right w:w="-1" w:type="dxa"/>
            </w:tcMar>
            <w:vAlign w:val="center"/>
          </w:tcPr>
          <w:p w14:paraId="2CE48B1F">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0.99 </w:t>
            </w:r>
          </w:p>
        </w:tc>
        <w:tc>
          <w:tcPr>
            <w:tcW w:w="552" w:type="pct"/>
            <w:tcBorders>
              <w:top w:val="nil"/>
              <w:left w:val="nil"/>
              <w:bottom w:val="nil"/>
              <w:right w:val="nil"/>
            </w:tcBorders>
            <w:shd w:val="clear" w:color="auto" w:fill="FFFFFF"/>
            <w:noWrap w:val="0"/>
            <w:tcMar>
              <w:top w:w="-1" w:type="dxa"/>
              <w:left w:w="-1" w:type="dxa"/>
              <w:bottom w:w="-1" w:type="dxa"/>
              <w:right w:w="-1" w:type="dxa"/>
            </w:tcMar>
            <w:vAlign w:val="center"/>
          </w:tcPr>
          <w:p w14:paraId="48664943">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0.17 </w:t>
            </w:r>
          </w:p>
        </w:tc>
        <w:tc>
          <w:tcPr>
            <w:tcW w:w="1173" w:type="pct"/>
            <w:tcBorders>
              <w:top w:val="nil"/>
              <w:left w:val="nil"/>
              <w:bottom w:val="nil"/>
              <w:right w:val="nil"/>
            </w:tcBorders>
            <w:shd w:val="clear" w:color="auto" w:fill="FFFFFF"/>
            <w:noWrap w:val="0"/>
            <w:tcMar>
              <w:top w:w="-1" w:type="dxa"/>
              <w:left w:w="-1" w:type="dxa"/>
              <w:bottom w:w="-1" w:type="dxa"/>
              <w:right w:w="-1" w:type="dxa"/>
            </w:tcMar>
            <w:vAlign w:val="center"/>
          </w:tcPr>
          <w:p w14:paraId="6A033F92">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0.96</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1.01</w:t>
            </w:r>
          </w:p>
        </w:tc>
      </w:tr>
      <w:tr w14:paraId="7EACAE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noWrap w:val="0"/>
            <w:tcMar>
              <w:top w:w="-1" w:type="dxa"/>
              <w:left w:w="-1" w:type="dxa"/>
              <w:bottom w:w="-1" w:type="dxa"/>
              <w:right w:w="-1" w:type="dxa"/>
            </w:tcMar>
            <w:vAlign w:val="center"/>
          </w:tcPr>
          <w:p w14:paraId="4C0D033F">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BMI</w:t>
            </w:r>
          </w:p>
        </w:tc>
        <w:tc>
          <w:tcPr>
            <w:tcW w:w="819" w:type="pct"/>
            <w:tcBorders>
              <w:top w:val="nil"/>
              <w:left w:val="nil"/>
              <w:bottom w:val="nil"/>
              <w:right w:val="nil"/>
            </w:tcBorders>
            <w:shd w:val="clear" w:color="auto" w:fill="FFFFFF"/>
            <w:noWrap w:val="0"/>
            <w:tcMar>
              <w:top w:w="-1" w:type="dxa"/>
              <w:left w:w="-1" w:type="dxa"/>
              <w:bottom w:w="-1" w:type="dxa"/>
              <w:right w:w="-1" w:type="dxa"/>
            </w:tcMar>
            <w:vAlign w:val="center"/>
          </w:tcPr>
          <w:p w14:paraId="36F21CAF">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-0.04 </w:t>
            </w:r>
          </w:p>
        </w:tc>
        <w:tc>
          <w:tcPr>
            <w:tcW w:w="463" w:type="pct"/>
            <w:tcBorders>
              <w:top w:val="nil"/>
              <w:left w:val="nil"/>
              <w:bottom w:val="nil"/>
              <w:right w:val="nil"/>
            </w:tcBorders>
            <w:noWrap w:val="0"/>
            <w:tcMar>
              <w:top w:w="-1" w:type="dxa"/>
              <w:left w:w="-1" w:type="dxa"/>
              <w:bottom w:w="-1" w:type="dxa"/>
              <w:right w:w="-1" w:type="dxa"/>
            </w:tcMar>
            <w:vAlign w:val="center"/>
          </w:tcPr>
          <w:p w14:paraId="185025B4">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0.96 </w:t>
            </w:r>
          </w:p>
        </w:tc>
        <w:tc>
          <w:tcPr>
            <w:tcW w:w="552" w:type="pct"/>
            <w:tcBorders>
              <w:top w:val="nil"/>
              <w:left w:val="nil"/>
              <w:bottom w:val="nil"/>
              <w:right w:val="nil"/>
            </w:tcBorders>
            <w:shd w:val="clear" w:color="auto" w:fill="FFFFFF"/>
            <w:noWrap w:val="0"/>
            <w:tcMar>
              <w:top w:w="-1" w:type="dxa"/>
              <w:left w:w="-1" w:type="dxa"/>
              <w:bottom w:w="-1" w:type="dxa"/>
              <w:right w:w="-1" w:type="dxa"/>
            </w:tcMar>
            <w:vAlign w:val="center"/>
          </w:tcPr>
          <w:p w14:paraId="14652E84">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0.25 </w:t>
            </w:r>
          </w:p>
        </w:tc>
        <w:tc>
          <w:tcPr>
            <w:tcW w:w="1173" w:type="pct"/>
            <w:tcBorders>
              <w:top w:val="nil"/>
              <w:left w:val="nil"/>
              <w:bottom w:val="nil"/>
              <w:right w:val="nil"/>
            </w:tcBorders>
            <w:shd w:val="clear" w:color="auto" w:fill="FFFFFF"/>
            <w:noWrap w:val="0"/>
            <w:tcMar>
              <w:top w:w="-1" w:type="dxa"/>
              <w:left w:w="-1" w:type="dxa"/>
              <w:bottom w:w="-1" w:type="dxa"/>
              <w:right w:w="-1" w:type="dxa"/>
            </w:tcMar>
            <w:vAlign w:val="center"/>
          </w:tcPr>
          <w:p w14:paraId="71AE6CAC">
            <w:pPr>
              <w:spacing w:line="240" w:lineRule="auto"/>
              <w:ind w:firstLine="0" w:firstLineChars="0"/>
              <w:jc w:val="center"/>
              <w:rPr>
                <w:rFonts w:hint="eastAsia" w:ascii="Times New Roman" w:hAnsi="Times New Roman" w:cs="Times New Roman"/>
                <w:b w:val="0"/>
                <w:bCs w:val="0"/>
                <w:color w:val="auto"/>
                <w:sz w:val="18"/>
                <w:szCs w:val="18"/>
              </w:rPr>
            </w:pPr>
            <w:r>
              <w:rPr>
                <w:rFonts w:hint="eastAsia" w:ascii="Times New Roman" w:hAnsi="Times New Roman" w:cs="Times New Roman"/>
                <w:b w:val="0"/>
                <w:bCs w:val="0"/>
                <w:color w:val="auto"/>
                <w:sz w:val="18"/>
                <w:szCs w:val="18"/>
              </w:rPr>
              <w:t>0.86</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1.08</w:t>
            </w:r>
          </w:p>
        </w:tc>
      </w:tr>
      <w:tr w14:paraId="37F1D8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nil"/>
              <w:left w:val="nil"/>
              <w:bottom w:val="nil"/>
              <w:right w:val="nil"/>
            </w:tcBorders>
            <w:shd w:val="clear" w:color="auto" w:fill="FFFFFF"/>
            <w:noWrap w:val="0"/>
            <w:tcMar>
              <w:top w:w="-1" w:type="dxa"/>
              <w:left w:w="-1" w:type="dxa"/>
              <w:bottom w:w="-1" w:type="dxa"/>
              <w:right w:w="-1" w:type="dxa"/>
            </w:tcMar>
            <w:vAlign w:val="center"/>
          </w:tcPr>
          <w:p w14:paraId="1955DD8D">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ASA</w:t>
            </w:r>
          </w:p>
        </w:tc>
        <w:tc>
          <w:tcPr>
            <w:tcW w:w="819" w:type="pct"/>
            <w:tcBorders>
              <w:top w:val="nil"/>
              <w:left w:val="nil"/>
              <w:bottom w:val="nil"/>
              <w:right w:val="nil"/>
            </w:tcBorders>
            <w:shd w:val="clear" w:color="auto" w:fill="FFFFFF"/>
            <w:noWrap w:val="0"/>
            <w:tcMar>
              <w:top w:w="-1" w:type="dxa"/>
              <w:left w:w="-1" w:type="dxa"/>
              <w:bottom w:w="-1" w:type="dxa"/>
              <w:right w:w="-1" w:type="dxa"/>
            </w:tcMar>
            <w:vAlign w:val="center"/>
          </w:tcPr>
          <w:p w14:paraId="1C3DA9C4">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0.10 </w:t>
            </w:r>
          </w:p>
        </w:tc>
        <w:tc>
          <w:tcPr>
            <w:tcW w:w="463" w:type="pct"/>
            <w:tcBorders>
              <w:top w:val="nil"/>
              <w:left w:val="nil"/>
              <w:bottom w:val="nil"/>
              <w:right w:val="nil"/>
            </w:tcBorders>
            <w:noWrap w:val="0"/>
            <w:tcMar>
              <w:top w:w="-1" w:type="dxa"/>
              <w:left w:w="-1" w:type="dxa"/>
              <w:bottom w:w="-1" w:type="dxa"/>
              <w:right w:w="-1" w:type="dxa"/>
            </w:tcMar>
            <w:vAlign w:val="center"/>
          </w:tcPr>
          <w:p w14:paraId="63AFC0A1">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1.11 </w:t>
            </w:r>
          </w:p>
        </w:tc>
        <w:tc>
          <w:tcPr>
            <w:tcW w:w="552" w:type="pct"/>
            <w:tcBorders>
              <w:top w:val="nil"/>
              <w:left w:val="nil"/>
              <w:bottom w:val="nil"/>
              <w:right w:val="nil"/>
            </w:tcBorders>
            <w:shd w:val="clear" w:color="auto" w:fill="FFFFFF"/>
            <w:noWrap w:val="0"/>
            <w:tcMar>
              <w:top w:w="-1" w:type="dxa"/>
              <w:left w:w="-1" w:type="dxa"/>
              <w:bottom w:w="-1" w:type="dxa"/>
              <w:right w:w="-1" w:type="dxa"/>
            </w:tcMar>
            <w:vAlign w:val="center"/>
          </w:tcPr>
          <w:p w14:paraId="4692925D">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0.32 </w:t>
            </w:r>
          </w:p>
        </w:tc>
        <w:tc>
          <w:tcPr>
            <w:tcW w:w="1173" w:type="pct"/>
            <w:tcBorders>
              <w:top w:val="nil"/>
              <w:left w:val="nil"/>
              <w:bottom w:val="nil"/>
              <w:right w:val="nil"/>
            </w:tcBorders>
            <w:shd w:val="clear" w:color="auto" w:fill="FFFFFF"/>
            <w:noWrap w:val="0"/>
            <w:tcMar>
              <w:top w:w="-1" w:type="dxa"/>
              <w:left w:w="-1" w:type="dxa"/>
              <w:bottom w:w="-1" w:type="dxa"/>
              <w:right w:w="-1" w:type="dxa"/>
            </w:tcMar>
            <w:vAlign w:val="center"/>
          </w:tcPr>
          <w:p w14:paraId="1BAB37DA">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rPr>
              <w:t>0.72</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1.69</w:t>
            </w:r>
          </w:p>
        </w:tc>
      </w:tr>
      <w:tr w14:paraId="08B693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90" w:type="pct"/>
            <w:tcBorders>
              <w:top w:val="nil"/>
              <w:left w:val="nil"/>
              <w:bottom w:val="single" w:color="auto" w:sz="12" w:space="0"/>
              <w:right w:val="nil"/>
            </w:tcBorders>
            <w:shd w:val="clear"/>
            <w:noWrap w:val="0"/>
            <w:tcMar>
              <w:top w:w="-1" w:type="dxa"/>
              <w:left w:w="-1" w:type="dxa"/>
              <w:bottom w:w="-1" w:type="dxa"/>
              <w:right w:w="-1" w:type="dxa"/>
            </w:tcMar>
            <w:vAlign w:val="center"/>
          </w:tcPr>
          <w:p w14:paraId="297D2B90">
            <w:pPr>
              <w:spacing w:line="240" w:lineRule="auto"/>
              <w:ind w:firstLine="0" w:firstLineChars="0"/>
              <w:jc w:val="center"/>
              <w:rPr>
                <w:rFonts w:hint="eastAsia" w:ascii="Times New Roman" w:hAnsi="Times New Roman" w:cs="Times New Roman"/>
                <w:b/>
                <w:bCs/>
                <w:color w:val="auto"/>
                <w:sz w:val="18"/>
                <w:szCs w:val="18"/>
                <w:lang w:val="en-US" w:eastAsia="zh-CN"/>
              </w:rPr>
            </w:pPr>
            <w:r>
              <w:rPr>
                <w:rFonts w:hint="eastAsia" w:ascii="Times New Roman" w:hAnsi="Times New Roman" w:cs="Times New Roman"/>
                <w:b/>
                <w:bCs/>
                <w:color w:val="auto"/>
                <w:sz w:val="18"/>
                <w:szCs w:val="18"/>
                <w:lang w:val="en-US" w:eastAsia="zh-CN"/>
              </w:rPr>
              <w:t>PreopRadiotherapy</w:t>
            </w:r>
          </w:p>
        </w:tc>
        <w:tc>
          <w:tcPr>
            <w:tcW w:w="819" w:type="pct"/>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251C5C1C">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0.21 </w:t>
            </w:r>
          </w:p>
        </w:tc>
        <w:tc>
          <w:tcPr>
            <w:tcW w:w="463" w:type="pct"/>
            <w:tcBorders>
              <w:top w:val="nil"/>
              <w:left w:val="nil"/>
              <w:bottom w:val="single" w:color="auto" w:sz="12" w:space="0"/>
              <w:right w:val="nil"/>
            </w:tcBorders>
            <w:noWrap w:val="0"/>
            <w:tcMar>
              <w:top w:w="-1" w:type="dxa"/>
              <w:left w:w="-1" w:type="dxa"/>
              <w:bottom w:w="-1" w:type="dxa"/>
              <w:right w:w="-1" w:type="dxa"/>
            </w:tcMar>
            <w:vAlign w:val="center"/>
          </w:tcPr>
          <w:p w14:paraId="76565493">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1.23 </w:t>
            </w:r>
          </w:p>
        </w:tc>
        <w:tc>
          <w:tcPr>
            <w:tcW w:w="552" w:type="pct"/>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7D50A4B8">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 xml:space="preserve">0.37 </w:t>
            </w:r>
          </w:p>
        </w:tc>
        <w:tc>
          <w:tcPr>
            <w:tcW w:w="1173" w:type="pct"/>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240A783A">
            <w:pPr>
              <w:spacing w:line="240" w:lineRule="auto"/>
              <w:ind w:firstLine="0" w:firstLineChars="0"/>
              <w:jc w:val="center"/>
              <w:rPr>
                <w:rFonts w:hint="eastAsia" w:ascii="Times New Roman" w:hAnsi="Times New Roman" w:cs="Times New Roman"/>
                <w:b w:val="0"/>
                <w:bCs w:val="0"/>
                <w:color w:val="auto"/>
                <w:sz w:val="18"/>
                <w:szCs w:val="18"/>
                <w:lang w:val="en-US" w:eastAsia="zh-CN"/>
              </w:rPr>
            </w:pPr>
            <w:r>
              <w:rPr>
                <w:rFonts w:hint="eastAsia" w:ascii="Times New Roman" w:hAnsi="Times New Roman" w:cs="Times New Roman"/>
                <w:b w:val="0"/>
                <w:bCs w:val="0"/>
                <w:color w:val="auto"/>
                <w:sz w:val="18"/>
                <w:szCs w:val="18"/>
              </w:rPr>
              <w:t>0.36</w:t>
            </w:r>
            <w:r>
              <w:rPr>
                <w:rFonts w:ascii="Times New Roman" w:hAnsi="Times New Roman" w:cs="Times New Roman"/>
                <w:b w:val="0"/>
                <w:bCs w:val="0"/>
                <w:color w:val="auto"/>
                <w:sz w:val="18"/>
                <w:szCs w:val="18"/>
              </w:rPr>
              <w:t xml:space="preserve"> – </w:t>
            </w:r>
            <w:r>
              <w:rPr>
                <w:rFonts w:hint="eastAsia" w:ascii="Times New Roman" w:hAnsi="Times New Roman" w:cs="Times New Roman"/>
                <w:b w:val="0"/>
                <w:bCs w:val="0"/>
                <w:color w:val="auto"/>
                <w:sz w:val="18"/>
                <w:szCs w:val="18"/>
              </w:rPr>
              <w:t>4.22</w:t>
            </w:r>
          </w:p>
        </w:tc>
      </w:tr>
    </w:tbl>
    <w:p w14:paraId="10892324">
      <w:pPr>
        <w:ind w:firstLine="420"/>
        <w:rPr>
          <w:rFonts w:ascii="Times New Roman" w:hAnsi="Times New Roman"/>
          <w:color w:val="auto"/>
        </w:rPr>
      </w:pPr>
    </w:p>
    <w:p w14:paraId="477AE1A2">
      <w:pPr>
        <w:pStyle w:val="3"/>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机器学习模型效能预测</w:t>
      </w:r>
    </w:p>
    <w:p w14:paraId="75F0E431">
      <w:pPr>
        <w:ind w:firstLine="420"/>
        <w:rPr>
          <w:rFonts w:hint="eastAsia" w:ascii="Times New Roman" w:hAnsi="Times New Roman" w:cs="Times New Roman"/>
          <w:color w:val="auto"/>
        </w:rPr>
      </w:pPr>
      <w:r>
        <w:rPr>
          <w:rFonts w:hint="eastAsia" w:ascii="Times New Roman" w:hAnsi="Times New Roman" w:cs="Times New Roman"/>
          <w:color w:val="auto"/>
        </w:rPr>
        <w:t>本研究</w:t>
      </w:r>
      <w:r>
        <w:rPr>
          <w:rFonts w:ascii="Times New Roman" w:hAnsi="Times New Roman" w:cs="Times New Roman"/>
          <w:color w:val="auto"/>
        </w:rPr>
        <w:t>基于GLM、RF、SVM、NNET和GBM</w:t>
      </w:r>
      <w:r>
        <w:rPr>
          <w:rFonts w:hint="eastAsia" w:ascii="Times New Roman" w:hAnsi="Times New Roman" w:cs="Times New Roman"/>
          <w:color w:val="auto"/>
        </w:rPr>
        <w:t>五种算法，</w:t>
      </w:r>
      <w:r>
        <w:rPr>
          <w:rFonts w:ascii="Times New Roman" w:hAnsi="Times New Roman" w:cs="Times New Roman"/>
          <w:color w:val="auto"/>
        </w:rPr>
        <w:t>分别</w:t>
      </w:r>
      <w:r>
        <w:rPr>
          <w:rFonts w:hint="eastAsia" w:ascii="Times New Roman" w:hAnsi="Times New Roman" w:cs="Times New Roman"/>
          <w:color w:val="auto"/>
        </w:rPr>
        <w:t>构建</w:t>
      </w:r>
      <w:r>
        <w:rPr>
          <w:rFonts w:ascii="Times New Roman" w:hAnsi="Times New Roman" w:cs="Times New Roman"/>
          <w:color w:val="auto"/>
        </w:rPr>
        <w:t>了</w:t>
      </w:r>
      <w:r>
        <w:rPr>
          <w:rFonts w:hint="eastAsia" w:ascii="Times New Roman" w:hAnsi="Times New Roman" w:cs="Times New Roman"/>
          <w:color w:val="auto"/>
        </w:rPr>
        <w:t>术前和围手术期两阶段</w:t>
      </w:r>
      <w:r>
        <w:rPr>
          <w:rFonts w:ascii="Times New Roman" w:hAnsi="Times New Roman" w:cs="Times New Roman"/>
          <w:color w:val="auto"/>
        </w:rPr>
        <w:t>食道癌患者PPI预测模型，模型的预测效果</w:t>
      </w:r>
      <w:r>
        <w:rPr>
          <w:rFonts w:hint="eastAsia" w:ascii="Times New Roman" w:hAnsi="Times New Roman" w:cs="Times New Roman"/>
          <w:color w:val="auto"/>
        </w:rPr>
        <w:t>分别</w:t>
      </w:r>
      <w:r>
        <w:rPr>
          <w:rFonts w:ascii="Times New Roman" w:hAnsi="Times New Roman" w:cs="Times New Roman"/>
          <w:color w:val="auto"/>
        </w:rPr>
        <w:t>见表3</w:t>
      </w:r>
      <w:r>
        <w:rPr>
          <w:rFonts w:hint="eastAsia" w:ascii="Times New Roman" w:hAnsi="Times New Roman" w:cs="Times New Roman"/>
          <w:color w:val="auto"/>
        </w:rPr>
        <w:t>和表4</w:t>
      </w:r>
      <w:r>
        <w:rPr>
          <w:rFonts w:ascii="Times New Roman" w:hAnsi="Times New Roman" w:cs="Times New Roman"/>
          <w:color w:val="auto"/>
        </w:rPr>
        <w:t>。结果显示，</w:t>
      </w:r>
      <w:r>
        <w:rPr>
          <w:rFonts w:hint="eastAsia" w:ascii="Times New Roman" w:hAnsi="Times New Roman" w:cs="Times New Roman"/>
          <w:color w:val="auto"/>
        </w:rPr>
        <w:t>术前预测模型的</w:t>
      </w:r>
      <w:r>
        <w:rPr>
          <w:rFonts w:ascii="Times New Roman" w:hAnsi="Times New Roman" w:cs="Times New Roman"/>
          <w:color w:val="auto"/>
        </w:rPr>
        <w:t>的特异性</w:t>
      </w:r>
      <w:r>
        <w:rPr>
          <w:rFonts w:hint="eastAsia" w:ascii="Times New Roman" w:hAnsi="Times New Roman" w:cs="Times New Roman"/>
          <w:color w:val="auto"/>
          <w:lang w:val="en-US" w:eastAsia="zh-CN"/>
        </w:rPr>
        <w:t>可</w:t>
      </w:r>
      <w:r>
        <w:rPr>
          <w:rFonts w:hint="eastAsia" w:ascii="Times New Roman" w:hAnsi="Times New Roman" w:cs="Times New Roman"/>
          <w:color w:val="auto"/>
        </w:rPr>
        <w:t>达</w:t>
      </w:r>
      <w:r>
        <w:rPr>
          <w:rFonts w:ascii="Times New Roman" w:hAnsi="Times New Roman" w:cs="Times New Roman"/>
          <w:color w:val="auto"/>
        </w:rPr>
        <w:t>到9</w:t>
      </w:r>
      <w:r>
        <w:rPr>
          <w:rFonts w:hint="eastAsia" w:ascii="Times New Roman" w:hAnsi="Times New Roman" w:cs="Times New Roman"/>
          <w:color w:val="auto"/>
          <w:lang w:val="en-US" w:eastAsia="zh-CN"/>
        </w:rPr>
        <w:t>0</w:t>
      </w:r>
      <w:r>
        <w:rPr>
          <w:rFonts w:ascii="Times New Roman" w:hAnsi="Times New Roman" w:cs="Times New Roman"/>
          <w:color w:val="auto"/>
        </w:rPr>
        <w:t>%</w:t>
      </w:r>
      <w:r>
        <w:rPr>
          <w:rFonts w:hint="eastAsia" w:ascii="Times New Roman" w:hAnsi="Times New Roman" w:cs="Times New Roman"/>
          <w:color w:val="auto"/>
        </w:rPr>
        <w:t>以上</w:t>
      </w:r>
      <w:r>
        <w:rPr>
          <w:rFonts w:ascii="Times New Roman" w:hAnsi="Times New Roman" w:cs="Times New Roman"/>
          <w:color w:val="auto"/>
        </w:rPr>
        <w:t>，可适用于</w:t>
      </w:r>
      <w:r>
        <w:rPr>
          <w:rFonts w:hint="eastAsia" w:ascii="Times New Roman" w:hAnsi="Times New Roman" w:cs="Times New Roman"/>
          <w:color w:val="auto"/>
        </w:rPr>
        <w:t>术前</w:t>
      </w:r>
      <w:r>
        <w:rPr>
          <w:rFonts w:ascii="Times New Roman" w:hAnsi="Times New Roman" w:cs="Times New Roman"/>
          <w:color w:val="auto"/>
        </w:rPr>
        <w:t>早期筛查，仅将少数高风险个体纳入干预范围，</w:t>
      </w:r>
      <w:r>
        <w:rPr>
          <w:rFonts w:hint="eastAsia" w:ascii="Times New Roman" w:hAnsi="Times New Roman" w:cs="Times New Roman"/>
          <w:color w:val="auto"/>
        </w:rPr>
        <w:t>减少抗生素滥用，同时提示临床医生在手术中需重点关注高风险患者的感染防控</w:t>
      </w:r>
      <w:r>
        <w:rPr>
          <w:rFonts w:ascii="Times New Roman" w:hAnsi="Times New Roman" w:cs="Times New Roman"/>
          <w:color w:val="auto"/>
        </w:rPr>
        <w:t>。</w:t>
      </w:r>
      <w:r>
        <w:rPr>
          <w:rFonts w:hint="eastAsia" w:ascii="Times New Roman" w:hAnsi="Times New Roman" w:cs="Times New Roman"/>
          <w:color w:val="auto"/>
        </w:rPr>
        <w:t>但根据表 3所示，仅依赖术前因素构建的模型的预测效能存在上限。所有术前模型的AUC均</w:t>
      </w:r>
      <w:r>
        <w:rPr>
          <w:rFonts w:hint="eastAsia" w:ascii="Times New Roman" w:hAnsi="Times New Roman" w:cs="Times New Roman"/>
          <w:color w:val="auto"/>
          <w:lang w:val="en-US" w:eastAsia="zh-CN"/>
        </w:rPr>
        <w:t>未超过0.77</w:t>
      </w:r>
      <w:r>
        <w:rPr>
          <w:rFonts w:hint="eastAsia" w:ascii="Times New Roman" w:hAnsi="Times New Roman" w:cs="Times New Roman"/>
          <w:color w:val="auto"/>
        </w:rPr>
        <w:t>，且灵敏度普遍偏低。</w:t>
      </w:r>
    </w:p>
    <w:p w14:paraId="3C3EC383">
      <w:pPr>
        <w:ind w:firstLine="420"/>
        <w:rPr>
          <w:rFonts w:ascii="Times New Roman" w:hAnsi="Times New Roman" w:cs="Times New Roman"/>
          <w:color w:val="auto"/>
        </w:rPr>
      </w:pPr>
      <w:r>
        <w:rPr>
          <w:rFonts w:hint="eastAsia" w:ascii="Times New Roman" w:hAnsi="Times New Roman" w:cs="Times New Roman"/>
          <w:color w:val="auto"/>
        </w:rPr>
        <w:t>然而，通过增加术中和术后早期因素，预测性能显著提升（DeLong 检验，P&lt;0.05），所有模型的 AUC 均提高至0.</w:t>
      </w:r>
      <w:r>
        <w:rPr>
          <w:rFonts w:hint="eastAsia" w:ascii="Times New Roman" w:hAnsi="Times New Roman" w:cs="Times New Roman"/>
          <w:color w:val="auto"/>
          <w:lang w:val="en-US" w:eastAsia="zh-CN"/>
        </w:rPr>
        <w:t>78</w:t>
      </w:r>
      <w:r>
        <w:rPr>
          <w:rFonts w:hint="eastAsia" w:ascii="Times New Roman" w:hAnsi="Times New Roman" w:cs="Times New Roman"/>
          <w:color w:val="auto"/>
        </w:rPr>
        <w:t>以上（表 4）。经Bootstrap法验证，围手术期各模型 AUC 的 95% 置信区间均较窄，提示模型预测稳定性良好。值得注意的是，</w:t>
      </w:r>
      <w:r>
        <w:rPr>
          <w:rFonts w:ascii="Times New Roman" w:hAnsi="Times New Roman" w:cs="Times New Roman"/>
          <w:color w:val="auto"/>
        </w:rPr>
        <w:t>由于感染预测模型数据集通常</w:t>
      </w:r>
      <w:r>
        <w:rPr>
          <w:rFonts w:hint="eastAsia" w:ascii="Times New Roman" w:hAnsi="Times New Roman" w:cs="Times New Roman"/>
          <w:color w:val="auto"/>
        </w:rPr>
        <w:t>存在类别</w:t>
      </w:r>
      <w:r>
        <w:rPr>
          <w:rFonts w:ascii="Times New Roman" w:hAnsi="Times New Roman" w:cs="Times New Roman"/>
          <w:color w:val="auto"/>
        </w:rPr>
        <w:t>不平衡，</w:t>
      </w:r>
      <w:r>
        <w:rPr>
          <w:rFonts w:hint="eastAsia" w:ascii="Times New Roman" w:hAnsi="Times New Roman" w:cs="Times New Roman"/>
          <w:color w:val="auto"/>
        </w:rPr>
        <w:t>高特异度往往以牺牲灵敏度为代价，易导致漏诊风险增加</w:t>
      </w:r>
      <w:r>
        <w:rPr>
          <w:rFonts w:ascii="Times New Roman" w:hAnsi="Times New Roman" w:cs="Times New Roman"/>
          <w:color w:val="auto"/>
        </w:rPr>
        <w:t>，延误干预时机</w:t>
      </w:r>
      <w:r>
        <w:rPr>
          <w:rFonts w:ascii="Times New Roman" w:hAnsi="Times New Roman" w:cs="Times New Roman"/>
          <w:b/>
          <w:bCs/>
          <w:color w:val="auto"/>
        </w:rPr>
        <w:fldChar w:fldCharType="begin"/>
      </w:r>
      <w:r>
        <w:rPr>
          <w:rFonts w:ascii="Times New Roman" w:hAnsi="Times New Roman" w:cs="Times New Roman"/>
          <w:b/>
          <w:bCs/>
          <w:color w:val="auto"/>
        </w:rPr>
        <w:instrText xml:space="preserve"> ADDIN ZOTERO_ITEM CSL_CITATION {"citationID":"GYScNUbj","properties":{"formattedCitation":"\\super [19]\\nosupersub{}","plainCitation":"[19]","noteIndex":0},"citationItems":[{"id":913,"uris":["http://zotero.org/users/16461411/items/P8BX2KMX"],"itemData":{"id":913,"type":"article-journal","abstract":"Background\nObesity is a significant risk factor for stroke. However, body mass index is insufficient in assessing fat distribution and there is a need for a better indicator to predict stroke risk. Additionally, early detection and prognosis prediction for stroke and mortality are crucial for pre-emptive interventions. We examined to evaluate the utility of obesity-related indices in a stacked machine learning (ML) model by developing an in-silico quantitative marker (ISS) to predict stroke risk.\nMethods\nThis is a prospective cohort study utilizing data from the China Health and Retirement Longitudinal Study (CHARLS) (2011–2018) and a health examination cohort in China (2017–2024), English Longitudinal Study of Ageing (ELSA) (2004–2014) in the UK. A total of 13,324 participants from CHARLS were included in the cross-sectional analysis. For model development and internal and external validation, 10,044 participants from CHARLS, 3698 from ELSA, and 6884 from the second affiliated hospital of Wenzhou medical university were included. Stacked ML models with optimal obesity indices to detect the risk of stroke were constructed. The predictive accuracy of the models was evaluated with the area under the receiver operating curve (ROC-AUC).\nFindings\nTriglyceride-Glucose-Body Mass Index (TyG-BMI) and TyG were two optimal predictors and outperformed BMI (AUC = 0.821) in the cross-sectional study. In the longitudinal cohort, the model with the highest AUC was the stacked ML model incorporating TyG-BMI, which achieved an AUC of 0.816 (95% CI: 0.807–0.824) in the training cohort and 0.833 (95% CI: 0.816–0.849) in the internal set for predicting stroke risk. For the external sets, the AUC was 0.803 (95% CI: 0.791–0.816) for the ELSA cohort and 0.805 (95% CI: 0.793–0.818) for the health examination cohort. The stacked ML model based on TyG-BMI showed the best performance with the highest F1 score (0.209:0.124:0.117), lowest Brier score (0.040:0.041:0.041) and model improvement (all NRI and IDI &gt;0). The ISS score was significantly associated with stroke and stroke-related death, classifying individuals into low- and high-risk groups for death in the training cohort with and AUC of 0.891 (95% CI: 0.840, 0.935) and 0.879 (95% CI: 0.749, 0.979) for the internal validation sets.\nInterpretation\nThe stacked ML model incorporating TyG-BMI effectively predicts stroke risk, with the ISS score demonstrating strong performance across diverse populations. Further research is needed to assess its applicability in broader cohorts.\nFunding\nNone.","container-title":"eClinicalMedicine","DOI":"10.1016/j.eclinm.2025.103331","ISSN":"2589-5370","journalAbbreviation":"eClinicalMedicine","page":"103331","source":"ScienceDirect","title":"Multimodal machine learning-based marker enables the link between obesity-related indices and future stroke: a prospective cohort study","title-short":"Multimodal machine learning-based marker enables the link between obesity-related indices and future stroke","volume":"85","author":[{"family":"Hu","given":"Beilei"},{"family":"Chen","given":"Xuan"},{"family":"Chen","given":"Tingyang"},{"family":"Xu","given":"Tong"},{"family":"Cao","given":"Yungang"},{"family":"Sun","given":"Jing"},{"family":"Chen","given":"Xuanyu"},{"family":"Chen","given":"Songfang"},{"family":"Chen","given":"Keyang"}],"issued":{"date-parts":[["2025",7,1]]}}}],"schema":"https://github.com/citation-style-language/schema/raw/master/csl-citation.json"} </w:instrText>
      </w:r>
      <w:r>
        <w:rPr>
          <w:rFonts w:ascii="Times New Roman" w:hAnsi="Times New Roman" w:cs="Times New Roman"/>
          <w:b/>
          <w:bCs/>
          <w:color w:val="auto"/>
        </w:rPr>
        <w:fldChar w:fldCharType="separate"/>
      </w:r>
      <w:r>
        <w:rPr>
          <w:rFonts w:ascii="Times New Roman" w:hAnsi="Times New Roman" w:cs="Times New Roman"/>
          <w:color w:val="auto"/>
          <w:kern w:val="0"/>
          <w:vertAlign w:val="superscript"/>
        </w:rPr>
        <w:t>[19]</w:t>
      </w:r>
      <w:r>
        <w:rPr>
          <w:rFonts w:ascii="Times New Roman" w:hAnsi="Times New Roman" w:cs="Times New Roman"/>
          <w:b/>
          <w:bCs/>
          <w:color w:val="auto"/>
        </w:rPr>
        <w:fldChar w:fldCharType="end"/>
      </w:r>
      <w:r>
        <w:rPr>
          <w:rFonts w:ascii="Times New Roman" w:hAnsi="Times New Roman" w:cs="Times New Roman"/>
          <w:color w:val="auto"/>
        </w:rPr>
        <w:t>。</w:t>
      </w:r>
      <w:bookmarkStart w:id="5" w:name="_Hlk218535108"/>
      <w:r>
        <w:rPr>
          <w:rFonts w:hint="eastAsia" w:ascii="Times New Roman" w:hAnsi="Times New Roman" w:cs="Times New Roman"/>
          <w:color w:val="auto"/>
          <w:lang w:val="en-US" w:eastAsia="zh-CN"/>
        </w:rPr>
        <w:t>GLM</w:t>
      </w:r>
      <w:r>
        <w:rPr>
          <w:rFonts w:ascii="Times New Roman" w:hAnsi="Times New Roman" w:cs="Times New Roman"/>
          <w:color w:val="auto"/>
        </w:rPr>
        <w:t>、</w:t>
      </w:r>
      <w:r>
        <w:rPr>
          <w:rFonts w:hint="eastAsia" w:ascii="Times New Roman" w:hAnsi="Times New Roman" w:cs="Times New Roman"/>
          <w:color w:val="auto"/>
        </w:rPr>
        <w:t>SVM与GBM的AUC均达0.8</w:t>
      </w:r>
      <w:r>
        <w:rPr>
          <w:rFonts w:hint="eastAsia" w:ascii="Times New Roman" w:hAnsi="Times New Roman" w:cs="Times New Roman"/>
          <w:color w:val="auto"/>
          <w:lang w:val="en-US" w:eastAsia="zh-CN"/>
        </w:rPr>
        <w:t>0</w:t>
      </w:r>
      <w:r>
        <w:rPr>
          <w:rFonts w:hint="eastAsia" w:ascii="Times New Roman" w:hAnsi="Times New Roman" w:cs="Times New Roman"/>
          <w:color w:val="auto"/>
        </w:rPr>
        <w:t>，表现出同等优异的区分能力，但GBM</w:t>
      </w:r>
      <w:r>
        <w:rPr>
          <w:rFonts w:ascii="Times New Roman" w:hAnsi="Times New Roman" w:cs="Times New Roman"/>
          <w:color w:val="auto"/>
        </w:rPr>
        <w:t>实现了</w:t>
      </w:r>
      <w:bookmarkStart w:id="6" w:name="_Hlk218524376"/>
      <w:bookmarkStart w:id="7" w:name="_Hlk217130152"/>
      <w:r>
        <w:rPr>
          <w:rFonts w:ascii="Times New Roman" w:hAnsi="Times New Roman" w:cs="Times New Roman"/>
          <w:color w:val="auto"/>
        </w:rPr>
        <w:t>敏感性（6</w:t>
      </w:r>
      <w:r>
        <w:rPr>
          <w:rFonts w:hint="eastAsia" w:ascii="Times New Roman" w:hAnsi="Times New Roman" w:cs="Times New Roman"/>
          <w:color w:val="auto"/>
          <w:lang w:val="en-US" w:eastAsia="zh-CN"/>
        </w:rPr>
        <w:t>1.54</w:t>
      </w:r>
      <w:r>
        <w:rPr>
          <w:rFonts w:ascii="Times New Roman" w:hAnsi="Times New Roman" w:cs="Times New Roman"/>
          <w:color w:val="auto"/>
        </w:rPr>
        <w:t>%）与特异性（</w:t>
      </w:r>
      <w:r>
        <w:rPr>
          <w:rFonts w:hint="eastAsia" w:ascii="Times New Roman" w:hAnsi="Times New Roman" w:cs="Times New Roman"/>
          <w:color w:val="auto"/>
          <w:lang w:val="en-US" w:eastAsia="zh-CN"/>
        </w:rPr>
        <w:t>56.28</w:t>
      </w:r>
      <w:r>
        <w:rPr>
          <w:rFonts w:hint="eastAsia" w:ascii="Times New Roman" w:hAnsi="Times New Roman" w:cs="Times New Roman"/>
          <w:color w:val="auto"/>
        </w:rPr>
        <w:t>%</w:t>
      </w:r>
      <w:r>
        <w:rPr>
          <w:rFonts w:ascii="Times New Roman" w:hAnsi="Times New Roman" w:cs="Times New Roman"/>
          <w:color w:val="auto"/>
        </w:rPr>
        <w:t>）</w:t>
      </w:r>
      <w:bookmarkEnd w:id="6"/>
      <w:r>
        <w:rPr>
          <w:rFonts w:ascii="Times New Roman" w:hAnsi="Times New Roman" w:cs="Times New Roman"/>
          <w:color w:val="auto"/>
        </w:rPr>
        <w:t>的平衡</w:t>
      </w:r>
      <w:bookmarkEnd w:id="7"/>
      <w:r>
        <w:rPr>
          <w:rFonts w:ascii="Times New Roman" w:hAnsi="Times New Roman" w:cs="Times New Roman"/>
          <w:color w:val="auto"/>
        </w:rPr>
        <w:t>，更</w:t>
      </w:r>
      <w:r>
        <w:rPr>
          <w:rFonts w:hint="eastAsia" w:ascii="Times New Roman" w:hAnsi="Times New Roman" w:cs="Times New Roman"/>
          <w:color w:val="auto"/>
        </w:rPr>
        <w:t>适合作为围手术期PPI风险评估工具</w:t>
      </w:r>
      <w:r>
        <w:rPr>
          <w:rFonts w:ascii="Times New Roman" w:hAnsi="Times New Roman" w:cs="Times New Roman"/>
          <w:color w:val="auto"/>
        </w:rPr>
        <w:t>。</w:t>
      </w:r>
    </w:p>
    <w:bookmarkEnd w:id="5"/>
    <w:p w14:paraId="3196D9FD">
      <w:pPr>
        <w:ind w:firstLine="360"/>
        <w:jc w:val="center"/>
        <w:rPr>
          <w:rFonts w:ascii="Times New Roman" w:hAnsi="Times New Roman" w:cs="Times New Roman"/>
          <w:color w:val="auto"/>
          <w:sz w:val="18"/>
          <w:szCs w:val="20"/>
        </w:rPr>
      </w:pPr>
      <w:r>
        <w:rPr>
          <w:rFonts w:ascii="Times New Roman" w:hAnsi="Times New Roman" w:cs="Times New Roman"/>
          <w:color w:val="auto"/>
          <w:sz w:val="18"/>
          <w:szCs w:val="20"/>
        </w:rPr>
        <w:t>表3</w:t>
      </w:r>
      <w:r>
        <w:rPr>
          <w:rFonts w:hint="eastAsia" w:ascii="Times New Roman" w:hAnsi="Times New Roman" w:cs="Times New Roman"/>
          <w:color w:val="auto"/>
          <w:sz w:val="18"/>
          <w:szCs w:val="20"/>
        </w:rPr>
        <w:t>术前</w:t>
      </w:r>
      <w:r>
        <w:rPr>
          <w:rFonts w:ascii="Times New Roman" w:hAnsi="Times New Roman" w:cs="Times New Roman"/>
          <w:color w:val="auto"/>
          <w:sz w:val="18"/>
          <w:szCs w:val="20"/>
        </w:rPr>
        <w:t>模型的预测性能比较</w:t>
      </w:r>
    </w:p>
    <w:p w14:paraId="03359FF2">
      <w:pPr>
        <w:ind w:firstLine="360"/>
        <w:jc w:val="center"/>
        <w:rPr>
          <w:rFonts w:ascii="Times New Roman" w:hAnsi="Times New Roman" w:cs="Times New Roman"/>
          <w:color w:val="auto"/>
          <w:sz w:val="18"/>
          <w:szCs w:val="20"/>
        </w:rPr>
      </w:pPr>
      <w:r>
        <w:rPr>
          <w:rFonts w:ascii="Times New Roman" w:hAnsi="Times New Roman" w:cs="Times New Roman"/>
          <w:color w:val="auto"/>
          <w:sz w:val="18"/>
          <w:szCs w:val="20"/>
        </w:rPr>
        <w:t xml:space="preserve">Table 3 </w:t>
      </w:r>
      <w:r>
        <w:rPr>
          <w:rFonts w:hint="eastAsia" w:ascii="Times New Roman" w:hAnsi="Times New Roman" w:cs="Times New Roman"/>
          <w:color w:val="auto"/>
          <w:sz w:val="18"/>
          <w:szCs w:val="20"/>
        </w:rPr>
        <w:t>Comparison of Predictive Performance of Preoperative Models</w:t>
      </w:r>
    </w:p>
    <w:tbl>
      <w:tblPr>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15"/>
        <w:gridCol w:w="2083"/>
        <w:gridCol w:w="1195"/>
        <w:gridCol w:w="1301"/>
        <w:gridCol w:w="1313"/>
        <w:gridCol w:w="699"/>
        <w:gridCol w:w="1011"/>
      </w:tblGrid>
      <w:tr w14:paraId="6040A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7" w:type="pct"/>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79710A30">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 xml:space="preserve"> </w:t>
            </w:r>
          </w:p>
        </w:tc>
        <w:tc>
          <w:tcPr>
            <w:tcW w:w="1222"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383B632">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AUC（95% CI）</w:t>
            </w:r>
          </w:p>
        </w:tc>
        <w:tc>
          <w:tcPr>
            <w:tcW w:w="701"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9A25758">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PR_AUC</w:t>
            </w:r>
          </w:p>
        </w:tc>
        <w:tc>
          <w:tcPr>
            <w:tcW w:w="763"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1C9A243">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Sensitivity</w:t>
            </w:r>
          </w:p>
        </w:tc>
        <w:tc>
          <w:tcPr>
            <w:tcW w:w="770"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84B8A27">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Specificity</w:t>
            </w:r>
          </w:p>
        </w:tc>
        <w:tc>
          <w:tcPr>
            <w:tcW w:w="410"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0D9D6FA">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F1</w:t>
            </w:r>
          </w:p>
        </w:tc>
        <w:tc>
          <w:tcPr>
            <w:tcW w:w="593"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B2379B4">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Youden</w:t>
            </w:r>
          </w:p>
        </w:tc>
      </w:tr>
      <w:tr w14:paraId="12F94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7"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D0D74EB">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GLM</w:t>
            </w:r>
          </w:p>
        </w:tc>
        <w:tc>
          <w:tcPr>
            <w:tcW w:w="1222"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6D0C703">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0.72（0.54-0.89）</w:t>
            </w:r>
          </w:p>
        </w:tc>
        <w:tc>
          <w:tcPr>
            <w:tcW w:w="701"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F184E3D">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0.24</w:t>
            </w:r>
          </w:p>
        </w:tc>
        <w:tc>
          <w:tcPr>
            <w:tcW w:w="763"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EB4F627">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69.23%</w:t>
            </w:r>
          </w:p>
        </w:tc>
        <w:tc>
          <w:tcPr>
            <w:tcW w:w="770"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03B69E1">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53.77%</w:t>
            </w:r>
          </w:p>
        </w:tc>
        <w:tc>
          <w:tcPr>
            <w:tcW w:w="410"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62E8F12">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0.05</w:t>
            </w:r>
          </w:p>
        </w:tc>
        <w:tc>
          <w:tcPr>
            <w:tcW w:w="593"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7E74D7C">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0.23</w:t>
            </w:r>
          </w:p>
        </w:tc>
      </w:tr>
      <w:tr w14:paraId="4FC64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7" w:type="pct"/>
            <w:tcBorders>
              <w:top w:val="nil"/>
              <w:left w:val="nil"/>
              <w:bottom w:val="nil"/>
              <w:right w:val="nil"/>
            </w:tcBorders>
            <w:shd w:val="clear" w:color="auto" w:fill="FFFFFF"/>
            <w:noWrap w:val="0"/>
            <w:tcMar>
              <w:top w:w="-1" w:type="dxa"/>
              <w:left w:w="-1" w:type="dxa"/>
              <w:bottom w:w="-1" w:type="dxa"/>
              <w:right w:w="-1" w:type="dxa"/>
            </w:tcMar>
            <w:vAlign w:val="center"/>
          </w:tcPr>
          <w:p w14:paraId="78382CE8">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RF</w:t>
            </w:r>
          </w:p>
        </w:tc>
        <w:tc>
          <w:tcPr>
            <w:tcW w:w="1222" w:type="pct"/>
            <w:tcBorders>
              <w:top w:val="nil"/>
              <w:left w:val="nil"/>
              <w:bottom w:val="nil"/>
              <w:right w:val="nil"/>
            </w:tcBorders>
            <w:shd w:val="clear" w:color="auto" w:fill="FFFFFF"/>
            <w:noWrap w:val="0"/>
            <w:tcMar>
              <w:top w:w="-1" w:type="dxa"/>
              <w:left w:w="-1" w:type="dxa"/>
              <w:bottom w:w="-1" w:type="dxa"/>
              <w:right w:w="-1" w:type="dxa"/>
            </w:tcMar>
            <w:vAlign w:val="center"/>
          </w:tcPr>
          <w:p w14:paraId="32560366">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0.60（0.45-0.76）</w:t>
            </w:r>
          </w:p>
        </w:tc>
        <w:tc>
          <w:tcPr>
            <w:tcW w:w="701" w:type="pct"/>
            <w:tcBorders>
              <w:top w:val="nil"/>
              <w:left w:val="nil"/>
              <w:bottom w:val="nil"/>
              <w:right w:val="nil"/>
            </w:tcBorders>
            <w:shd w:val="clear" w:color="auto" w:fill="FFFFFF"/>
            <w:noWrap w:val="0"/>
            <w:tcMar>
              <w:top w:w="-1" w:type="dxa"/>
              <w:left w:w="-1" w:type="dxa"/>
              <w:bottom w:w="-1" w:type="dxa"/>
              <w:right w:w="-1" w:type="dxa"/>
            </w:tcMar>
            <w:vAlign w:val="center"/>
          </w:tcPr>
          <w:p w14:paraId="06D72B83">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0.03</w:t>
            </w:r>
          </w:p>
        </w:tc>
        <w:tc>
          <w:tcPr>
            <w:tcW w:w="763" w:type="pct"/>
            <w:tcBorders>
              <w:top w:val="nil"/>
              <w:left w:val="nil"/>
              <w:bottom w:val="nil"/>
              <w:right w:val="nil"/>
            </w:tcBorders>
            <w:shd w:val="clear" w:color="auto" w:fill="FFFFFF"/>
            <w:noWrap w:val="0"/>
            <w:tcMar>
              <w:top w:w="-1" w:type="dxa"/>
              <w:left w:w="-1" w:type="dxa"/>
              <w:bottom w:w="-1" w:type="dxa"/>
              <w:right w:w="-1" w:type="dxa"/>
            </w:tcMar>
            <w:vAlign w:val="center"/>
          </w:tcPr>
          <w:p w14:paraId="27A2D4E7">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61.54%</w:t>
            </w:r>
          </w:p>
        </w:tc>
        <w:tc>
          <w:tcPr>
            <w:tcW w:w="770" w:type="pct"/>
            <w:tcBorders>
              <w:top w:val="nil"/>
              <w:left w:val="nil"/>
              <w:bottom w:val="nil"/>
              <w:right w:val="nil"/>
            </w:tcBorders>
            <w:shd w:val="clear" w:color="auto" w:fill="FFFFFF"/>
            <w:noWrap w:val="0"/>
            <w:tcMar>
              <w:top w:w="-1" w:type="dxa"/>
              <w:left w:w="-1" w:type="dxa"/>
              <w:bottom w:w="-1" w:type="dxa"/>
              <w:right w:w="-1" w:type="dxa"/>
            </w:tcMar>
            <w:vAlign w:val="center"/>
          </w:tcPr>
          <w:p w14:paraId="01D9E3BE">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58.24%</w:t>
            </w:r>
          </w:p>
        </w:tc>
        <w:tc>
          <w:tcPr>
            <w:tcW w:w="410" w:type="pct"/>
            <w:tcBorders>
              <w:top w:val="nil"/>
              <w:left w:val="nil"/>
              <w:bottom w:val="nil"/>
              <w:right w:val="nil"/>
            </w:tcBorders>
            <w:shd w:val="clear" w:color="auto" w:fill="FFFFFF"/>
            <w:noWrap w:val="0"/>
            <w:tcMar>
              <w:top w:w="-1" w:type="dxa"/>
              <w:left w:w="-1" w:type="dxa"/>
              <w:bottom w:w="-1" w:type="dxa"/>
              <w:right w:w="-1" w:type="dxa"/>
            </w:tcMar>
            <w:vAlign w:val="center"/>
          </w:tcPr>
          <w:p w14:paraId="4DA05D7F">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0.05</w:t>
            </w:r>
          </w:p>
        </w:tc>
        <w:tc>
          <w:tcPr>
            <w:tcW w:w="593" w:type="pct"/>
            <w:tcBorders>
              <w:top w:val="nil"/>
              <w:left w:val="nil"/>
              <w:bottom w:val="nil"/>
              <w:right w:val="nil"/>
            </w:tcBorders>
            <w:shd w:val="clear" w:color="auto" w:fill="FFFFFF"/>
            <w:noWrap w:val="0"/>
            <w:tcMar>
              <w:top w:w="-1" w:type="dxa"/>
              <w:left w:w="-1" w:type="dxa"/>
              <w:bottom w:w="-1" w:type="dxa"/>
              <w:right w:w="-1" w:type="dxa"/>
            </w:tcMar>
            <w:vAlign w:val="center"/>
          </w:tcPr>
          <w:p w14:paraId="6EE91A0D">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0.2</w:t>
            </w:r>
          </w:p>
        </w:tc>
      </w:tr>
      <w:tr w14:paraId="16FD5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7" w:type="pct"/>
            <w:tcBorders>
              <w:top w:val="nil"/>
              <w:left w:val="nil"/>
              <w:bottom w:val="nil"/>
              <w:right w:val="nil"/>
            </w:tcBorders>
            <w:shd w:val="clear" w:color="auto" w:fill="FFFFFF"/>
            <w:noWrap w:val="0"/>
            <w:tcMar>
              <w:top w:w="-1" w:type="dxa"/>
              <w:left w:w="-1" w:type="dxa"/>
              <w:bottom w:w="-1" w:type="dxa"/>
              <w:right w:w="-1" w:type="dxa"/>
            </w:tcMar>
            <w:vAlign w:val="center"/>
          </w:tcPr>
          <w:p w14:paraId="48BB9C9C">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SVM</w:t>
            </w:r>
          </w:p>
        </w:tc>
        <w:tc>
          <w:tcPr>
            <w:tcW w:w="1222" w:type="pct"/>
            <w:tcBorders>
              <w:top w:val="nil"/>
              <w:left w:val="nil"/>
              <w:bottom w:val="nil"/>
              <w:right w:val="nil"/>
            </w:tcBorders>
            <w:shd w:val="clear" w:color="auto" w:fill="FFFFFF"/>
            <w:noWrap w:val="0"/>
            <w:tcMar>
              <w:top w:w="-1" w:type="dxa"/>
              <w:left w:w="-1" w:type="dxa"/>
              <w:bottom w:w="-1" w:type="dxa"/>
              <w:right w:w="-1" w:type="dxa"/>
            </w:tcMar>
            <w:vAlign w:val="center"/>
          </w:tcPr>
          <w:p w14:paraId="506F8F0A">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0.71（0.54-0.88）</w:t>
            </w:r>
          </w:p>
        </w:tc>
        <w:tc>
          <w:tcPr>
            <w:tcW w:w="701" w:type="pct"/>
            <w:tcBorders>
              <w:top w:val="nil"/>
              <w:left w:val="nil"/>
              <w:bottom w:val="nil"/>
              <w:right w:val="nil"/>
            </w:tcBorders>
            <w:shd w:val="clear" w:color="auto" w:fill="FFFFFF"/>
            <w:noWrap w:val="0"/>
            <w:tcMar>
              <w:top w:w="-1" w:type="dxa"/>
              <w:left w:w="-1" w:type="dxa"/>
              <w:bottom w:w="-1" w:type="dxa"/>
              <w:right w:w="-1" w:type="dxa"/>
            </w:tcMar>
            <w:vAlign w:val="center"/>
          </w:tcPr>
          <w:p w14:paraId="58527443">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0.21</w:t>
            </w:r>
          </w:p>
        </w:tc>
        <w:tc>
          <w:tcPr>
            <w:tcW w:w="763" w:type="pct"/>
            <w:tcBorders>
              <w:top w:val="nil"/>
              <w:left w:val="nil"/>
              <w:bottom w:val="nil"/>
              <w:right w:val="nil"/>
            </w:tcBorders>
            <w:shd w:val="clear" w:color="auto" w:fill="FFFFFF"/>
            <w:noWrap w:val="0"/>
            <w:tcMar>
              <w:top w:w="-1" w:type="dxa"/>
              <w:left w:w="-1" w:type="dxa"/>
              <w:bottom w:w="-1" w:type="dxa"/>
              <w:right w:w="-1" w:type="dxa"/>
            </w:tcMar>
            <w:vAlign w:val="center"/>
          </w:tcPr>
          <w:p w14:paraId="76A283A1">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15.38%</w:t>
            </w:r>
          </w:p>
        </w:tc>
        <w:tc>
          <w:tcPr>
            <w:tcW w:w="770" w:type="pct"/>
            <w:tcBorders>
              <w:top w:val="nil"/>
              <w:left w:val="nil"/>
              <w:bottom w:val="nil"/>
              <w:right w:val="nil"/>
            </w:tcBorders>
            <w:shd w:val="clear" w:color="auto" w:fill="FFFFFF"/>
            <w:noWrap w:val="0"/>
            <w:tcMar>
              <w:top w:w="-1" w:type="dxa"/>
              <w:left w:w="-1" w:type="dxa"/>
              <w:bottom w:w="-1" w:type="dxa"/>
              <w:right w:w="-1" w:type="dxa"/>
            </w:tcMar>
            <w:vAlign w:val="center"/>
          </w:tcPr>
          <w:p w14:paraId="2D693610">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98.88%</w:t>
            </w:r>
          </w:p>
        </w:tc>
        <w:tc>
          <w:tcPr>
            <w:tcW w:w="410" w:type="pct"/>
            <w:tcBorders>
              <w:top w:val="nil"/>
              <w:left w:val="nil"/>
              <w:bottom w:val="nil"/>
              <w:right w:val="nil"/>
            </w:tcBorders>
            <w:shd w:val="clear" w:color="auto" w:fill="FFFFFF"/>
            <w:noWrap w:val="0"/>
            <w:tcMar>
              <w:top w:w="-1" w:type="dxa"/>
              <w:left w:w="-1" w:type="dxa"/>
              <w:bottom w:w="-1" w:type="dxa"/>
              <w:right w:w="-1" w:type="dxa"/>
            </w:tcMar>
            <w:vAlign w:val="center"/>
          </w:tcPr>
          <w:p w14:paraId="1FA9B4A4">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0.17</w:t>
            </w:r>
          </w:p>
        </w:tc>
        <w:tc>
          <w:tcPr>
            <w:tcW w:w="593" w:type="pct"/>
            <w:tcBorders>
              <w:top w:val="nil"/>
              <w:left w:val="nil"/>
              <w:bottom w:val="nil"/>
              <w:right w:val="nil"/>
            </w:tcBorders>
            <w:shd w:val="clear" w:color="auto" w:fill="FFFFFF"/>
            <w:noWrap w:val="0"/>
            <w:tcMar>
              <w:top w:w="-1" w:type="dxa"/>
              <w:left w:w="-1" w:type="dxa"/>
              <w:bottom w:w="-1" w:type="dxa"/>
              <w:right w:w="-1" w:type="dxa"/>
            </w:tcMar>
            <w:vAlign w:val="center"/>
          </w:tcPr>
          <w:p w14:paraId="2C992710">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0.14</w:t>
            </w:r>
          </w:p>
        </w:tc>
      </w:tr>
      <w:tr w14:paraId="271C3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7" w:type="pct"/>
            <w:tcBorders>
              <w:top w:val="nil"/>
              <w:left w:val="nil"/>
              <w:bottom w:val="nil"/>
              <w:right w:val="nil"/>
            </w:tcBorders>
            <w:shd w:val="clear" w:color="auto" w:fill="FFFFFF"/>
            <w:noWrap w:val="0"/>
            <w:tcMar>
              <w:top w:w="-1" w:type="dxa"/>
              <w:left w:w="-1" w:type="dxa"/>
              <w:bottom w:w="-1" w:type="dxa"/>
              <w:right w:w="-1" w:type="dxa"/>
            </w:tcMar>
            <w:vAlign w:val="center"/>
          </w:tcPr>
          <w:p w14:paraId="7E6E8ACC">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NNET</w:t>
            </w:r>
          </w:p>
        </w:tc>
        <w:tc>
          <w:tcPr>
            <w:tcW w:w="1222" w:type="pct"/>
            <w:tcBorders>
              <w:top w:val="nil"/>
              <w:left w:val="nil"/>
              <w:bottom w:val="nil"/>
              <w:right w:val="nil"/>
            </w:tcBorders>
            <w:shd w:val="clear" w:color="auto" w:fill="FFFFFF"/>
            <w:noWrap w:val="0"/>
            <w:tcMar>
              <w:top w:w="-1" w:type="dxa"/>
              <w:left w:w="-1" w:type="dxa"/>
              <w:bottom w:w="-1" w:type="dxa"/>
              <w:right w:w="-1" w:type="dxa"/>
            </w:tcMar>
            <w:vAlign w:val="center"/>
          </w:tcPr>
          <w:p w14:paraId="7428E4FB">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0.77（0.60-0.91）</w:t>
            </w:r>
          </w:p>
        </w:tc>
        <w:tc>
          <w:tcPr>
            <w:tcW w:w="701" w:type="pct"/>
            <w:tcBorders>
              <w:top w:val="nil"/>
              <w:left w:val="nil"/>
              <w:bottom w:val="nil"/>
              <w:right w:val="nil"/>
            </w:tcBorders>
            <w:shd w:val="clear" w:color="auto" w:fill="FFFFFF"/>
            <w:noWrap w:val="0"/>
            <w:tcMar>
              <w:top w:w="-1" w:type="dxa"/>
              <w:left w:w="-1" w:type="dxa"/>
              <w:bottom w:w="-1" w:type="dxa"/>
              <w:right w:w="-1" w:type="dxa"/>
            </w:tcMar>
            <w:vAlign w:val="center"/>
          </w:tcPr>
          <w:p w14:paraId="4A2C7F70">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0.13</w:t>
            </w:r>
          </w:p>
        </w:tc>
        <w:tc>
          <w:tcPr>
            <w:tcW w:w="763" w:type="pct"/>
            <w:tcBorders>
              <w:top w:val="nil"/>
              <w:left w:val="nil"/>
              <w:bottom w:val="nil"/>
              <w:right w:val="nil"/>
            </w:tcBorders>
            <w:shd w:val="clear" w:color="auto" w:fill="FFFFFF"/>
            <w:noWrap w:val="0"/>
            <w:tcMar>
              <w:top w:w="-1" w:type="dxa"/>
              <w:left w:w="-1" w:type="dxa"/>
              <w:bottom w:w="-1" w:type="dxa"/>
              <w:right w:w="-1" w:type="dxa"/>
            </w:tcMar>
            <w:vAlign w:val="center"/>
          </w:tcPr>
          <w:p w14:paraId="4C7B895A">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84.62%</w:t>
            </w:r>
          </w:p>
        </w:tc>
        <w:tc>
          <w:tcPr>
            <w:tcW w:w="770" w:type="pct"/>
            <w:tcBorders>
              <w:top w:val="nil"/>
              <w:left w:val="nil"/>
              <w:bottom w:val="nil"/>
              <w:right w:val="nil"/>
            </w:tcBorders>
            <w:shd w:val="clear" w:color="auto" w:fill="FFFFFF"/>
            <w:noWrap w:val="0"/>
            <w:tcMar>
              <w:top w:w="-1" w:type="dxa"/>
              <w:left w:w="-1" w:type="dxa"/>
              <w:bottom w:w="-1" w:type="dxa"/>
              <w:right w:w="-1" w:type="dxa"/>
            </w:tcMar>
            <w:vAlign w:val="center"/>
          </w:tcPr>
          <w:p w14:paraId="7C5E38FD">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42.60%</w:t>
            </w:r>
          </w:p>
        </w:tc>
        <w:tc>
          <w:tcPr>
            <w:tcW w:w="410" w:type="pct"/>
            <w:tcBorders>
              <w:top w:val="nil"/>
              <w:left w:val="nil"/>
              <w:bottom w:val="nil"/>
              <w:right w:val="nil"/>
            </w:tcBorders>
            <w:shd w:val="clear" w:color="auto" w:fill="FFFFFF"/>
            <w:noWrap w:val="0"/>
            <w:tcMar>
              <w:top w:w="-1" w:type="dxa"/>
              <w:left w:w="-1" w:type="dxa"/>
              <w:bottom w:w="-1" w:type="dxa"/>
              <w:right w:w="-1" w:type="dxa"/>
            </w:tcMar>
            <w:vAlign w:val="center"/>
          </w:tcPr>
          <w:p w14:paraId="0057B361">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0.05</w:t>
            </w:r>
          </w:p>
        </w:tc>
        <w:tc>
          <w:tcPr>
            <w:tcW w:w="593" w:type="pct"/>
            <w:tcBorders>
              <w:top w:val="nil"/>
              <w:left w:val="nil"/>
              <w:bottom w:val="nil"/>
              <w:right w:val="nil"/>
            </w:tcBorders>
            <w:shd w:val="clear" w:color="auto" w:fill="FFFFFF"/>
            <w:noWrap w:val="0"/>
            <w:tcMar>
              <w:top w:w="-1" w:type="dxa"/>
              <w:left w:w="-1" w:type="dxa"/>
              <w:bottom w:w="-1" w:type="dxa"/>
              <w:right w:w="-1" w:type="dxa"/>
            </w:tcMar>
            <w:vAlign w:val="center"/>
          </w:tcPr>
          <w:p w14:paraId="49027945">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0.27</w:t>
            </w:r>
          </w:p>
        </w:tc>
      </w:tr>
      <w:tr w14:paraId="1689C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7"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C545C00">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GBM</w:t>
            </w:r>
          </w:p>
        </w:tc>
        <w:tc>
          <w:tcPr>
            <w:tcW w:w="1222"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F8F3511">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0.62（0.46-0.77）</w:t>
            </w:r>
          </w:p>
        </w:tc>
        <w:tc>
          <w:tcPr>
            <w:tcW w:w="701"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6DA7BF7">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0.11</w:t>
            </w:r>
          </w:p>
        </w:tc>
        <w:tc>
          <w:tcPr>
            <w:tcW w:w="763"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501DC32">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53.85%</w:t>
            </w:r>
          </w:p>
        </w:tc>
        <w:tc>
          <w:tcPr>
            <w:tcW w:w="770"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BBD8ACA">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68.16%</w:t>
            </w:r>
          </w:p>
        </w:tc>
        <w:tc>
          <w:tcPr>
            <w:tcW w:w="410"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1930C0C">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0.06</w:t>
            </w:r>
          </w:p>
        </w:tc>
        <w:tc>
          <w:tcPr>
            <w:tcW w:w="593"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A5B9237">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0.22</w:t>
            </w:r>
          </w:p>
        </w:tc>
      </w:tr>
    </w:tbl>
    <w:p w14:paraId="7B8E4686">
      <w:pPr>
        <w:ind w:firstLine="360"/>
        <w:jc w:val="center"/>
        <w:rPr>
          <w:rFonts w:ascii="Times New Roman" w:hAnsi="Times New Roman" w:cs="Times New Roman"/>
          <w:color w:val="auto"/>
          <w:sz w:val="18"/>
          <w:szCs w:val="20"/>
        </w:rPr>
      </w:pPr>
    </w:p>
    <w:p w14:paraId="3B3BAFB5">
      <w:pPr>
        <w:ind w:firstLine="360"/>
        <w:jc w:val="center"/>
        <w:rPr>
          <w:rFonts w:ascii="Times New Roman" w:hAnsi="Times New Roman" w:cs="Times New Roman"/>
          <w:color w:val="auto"/>
          <w:sz w:val="18"/>
          <w:szCs w:val="20"/>
        </w:rPr>
      </w:pPr>
      <w:r>
        <w:rPr>
          <w:rFonts w:ascii="Times New Roman" w:hAnsi="Times New Roman" w:cs="Times New Roman"/>
          <w:color w:val="auto"/>
          <w:sz w:val="18"/>
          <w:szCs w:val="20"/>
        </w:rPr>
        <w:t>表</w:t>
      </w:r>
      <w:r>
        <w:rPr>
          <w:rFonts w:hint="eastAsia" w:ascii="Times New Roman" w:hAnsi="Times New Roman" w:cs="Times New Roman"/>
          <w:color w:val="auto"/>
          <w:sz w:val="18"/>
          <w:szCs w:val="20"/>
        </w:rPr>
        <w:t>4</w:t>
      </w:r>
      <w:r>
        <w:rPr>
          <w:rFonts w:ascii="Times New Roman" w:hAnsi="Times New Roman" w:cs="Times New Roman"/>
          <w:color w:val="auto"/>
          <w:sz w:val="18"/>
          <w:szCs w:val="20"/>
        </w:rPr>
        <w:t xml:space="preserve"> </w:t>
      </w:r>
      <w:r>
        <w:rPr>
          <w:rFonts w:hint="eastAsia" w:ascii="Times New Roman" w:hAnsi="Times New Roman" w:cs="Times New Roman"/>
          <w:color w:val="auto"/>
          <w:sz w:val="18"/>
          <w:szCs w:val="20"/>
        </w:rPr>
        <w:t>围手术期</w:t>
      </w:r>
      <w:r>
        <w:rPr>
          <w:rFonts w:ascii="Times New Roman" w:hAnsi="Times New Roman" w:cs="Times New Roman"/>
          <w:color w:val="auto"/>
          <w:sz w:val="18"/>
          <w:szCs w:val="20"/>
        </w:rPr>
        <w:t>模型的预测性能比较</w:t>
      </w:r>
    </w:p>
    <w:p w14:paraId="7BD09701">
      <w:pPr>
        <w:ind w:firstLine="360"/>
        <w:jc w:val="center"/>
        <w:rPr>
          <w:rFonts w:ascii="Times New Roman" w:hAnsi="Times New Roman" w:cs="Times New Roman"/>
          <w:color w:val="auto"/>
          <w:sz w:val="18"/>
          <w:szCs w:val="20"/>
        </w:rPr>
      </w:pPr>
      <w:r>
        <w:rPr>
          <w:rFonts w:ascii="Times New Roman" w:hAnsi="Times New Roman" w:cs="Times New Roman"/>
          <w:color w:val="auto"/>
          <w:sz w:val="18"/>
          <w:szCs w:val="20"/>
        </w:rPr>
        <w:t xml:space="preserve">Table </w:t>
      </w:r>
      <w:r>
        <w:rPr>
          <w:rFonts w:hint="eastAsia" w:ascii="Times New Roman" w:hAnsi="Times New Roman" w:cs="Times New Roman"/>
          <w:color w:val="auto"/>
          <w:sz w:val="18"/>
          <w:szCs w:val="20"/>
        </w:rPr>
        <w:t>4</w:t>
      </w:r>
      <w:r>
        <w:rPr>
          <w:rFonts w:ascii="Times New Roman" w:hAnsi="Times New Roman" w:cs="Times New Roman"/>
          <w:color w:val="auto"/>
          <w:sz w:val="18"/>
          <w:szCs w:val="20"/>
        </w:rPr>
        <w:t xml:space="preserve"> </w:t>
      </w:r>
      <w:r>
        <w:rPr>
          <w:rFonts w:hint="eastAsia" w:ascii="Times New Roman" w:hAnsi="Times New Roman" w:cs="Times New Roman"/>
          <w:color w:val="auto"/>
          <w:sz w:val="18"/>
          <w:szCs w:val="20"/>
        </w:rPr>
        <w:t>Comparison of Predictive Performance of Perioperative Models</w:t>
      </w:r>
    </w:p>
    <w:tbl>
      <w:tblPr>
        <w:tblStyle w:val="22"/>
        <w:tblW w:w="4997"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15"/>
        <w:gridCol w:w="2083"/>
        <w:gridCol w:w="1195"/>
        <w:gridCol w:w="1301"/>
        <w:gridCol w:w="1313"/>
        <w:gridCol w:w="699"/>
        <w:gridCol w:w="1011"/>
      </w:tblGrid>
      <w:tr w14:paraId="2E2534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37" w:type="pct"/>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0C3E02EB">
            <w:pPr>
              <w:spacing w:line="240" w:lineRule="auto"/>
              <w:ind w:firstLine="0" w:firstLineChars="0"/>
              <w:jc w:val="center"/>
              <w:rPr>
                <w:rFonts w:hint="eastAsia" w:ascii="Times New Roman" w:hAnsi="Times New Roman" w:cs="Times New Roman"/>
                <w:b w:val="0"/>
                <w:bCs/>
                <w:color w:val="auto"/>
                <w:sz w:val="18"/>
                <w:szCs w:val="20"/>
                <w:lang w:val="en-US" w:eastAsia="zh-CN"/>
              </w:rPr>
            </w:pPr>
            <w:r>
              <w:rPr>
                <w:rFonts w:hint="eastAsia" w:ascii="Times New Roman" w:hAnsi="Times New Roman" w:cs="Times New Roman"/>
                <w:b w:val="0"/>
                <w:bCs/>
                <w:color w:val="auto"/>
                <w:sz w:val="18"/>
                <w:szCs w:val="20"/>
                <w:lang w:val="en-US" w:eastAsia="zh-CN"/>
              </w:rPr>
              <w:t xml:space="preserve"> </w:t>
            </w:r>
          </w:p>
        </w:tc>
        <w:tc>
          <w:tcPr>
            <w:tcW w:w="1222"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202A718">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AUC（95% CI）</w:t>
            </w:r>
          </w:p>
        </w:tc>
        <w:tc>
          <w:tcPr>
            <w:tcW w:w="701"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AD1269F">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PR_AUC</w:t>
            </w:r>
          </w:p>
        </w:tc>
        <w:tc>
          <w:tcPr>
            <w:tcW w:w="763"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4C398F9">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Sensitivity</w:t>
            </w:r>
          </w:p>
        </w:tc>
        <w:tc>
          <w:tcPr>
            <w:tcW w:w="770"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ED06200">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Specificity</w:t>
            </w:r>
          </w:p>
        </w:tc>
        <w:tc>
          <w:tcPr>
            <w:tcW w:w="410"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2F47BC0">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F1</w:t>
            </w:r>
          </w:p>
        </w:tc>
        <w:tc>
          <w:tcPr>
            <w:tcW w:w="593" w:type="pct"/>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7225F30">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Youden</w:t>
            </w:r>
          </w:p>
        </w:tc>
      </w:tr>
      <w:tr w14:paraId="1B82E3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37"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47D4646">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GLM</w:t>
            </w:r>
          </w:p>
        </w:tc>
        <w:tc>
          <w:tcPr>
            <w:tcW w:w="1222"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4FDC546">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 xml:space="preserve">0.87（0.78-0.96） </w:t>
            </w:r>
          </w:p>
        </w:tc>
        <w:tc>
          <w:tcPr>
            <w:tcW w:w="701"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685B9BC">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0.35</w:t>
            </w:r>
          </w:p>
        </w:tc>
        <w:tc>
          <w:tcPr>
            <w:tcW w:w="763"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333610D">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92.31%</w:t>
            </w:r>
          </w:p>
        </w:tc>
        <w:tc>
          <w:tcPr>
            <w:tcW w:w="770"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51EFDF2">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65.08%</w:t>
            </w:r>
          </w:p>
        </w:tc>
        <w:tc>
          <w:tcPr>
            <w:tcW w:w="410"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5BAA7B1">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0.09</w:t>
            </w:r>
          </w:p>
        </w:tc>
        <w:tc>
          <w:tcPr>
            <w:tcW w:w="593" w:type="pc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8EAD463">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0.57</w:t>
            </w:r>
          </w:p>
        </w:tc>
      </w:tr>
      <w:tr w14:paraId="707477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37" w:type="pct"/>
            <w:tcBorders>
              <w:top w:val="nil"/>
              <w:left w:val="nil"/>
              <w:bottom w:val="nil"/>
              <w:right w:val="nil"/>
            </w:tcBorders>
            <w:shd w:val="clear" w:color="auto" w:fill="FFFFFF"/>
            <w:noWrap w:val="0"/>
            <w:tcMar>
              <w:top w:w="-1" w:type="dxa"/>
              <w:left w:w="-1" w:type="dxa"/>
              <w:bottom w:w="-1" w:type="dxa"/>
              <w:right w:w="-1" w:type="dxa"/>
            </w:tcMar>
            <w:vAlign w:val="center"/>
          </w:tcPr>
          <w:p w14:paraId="61BC5BFB">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RF</w:t>
            </w:r>
          </w:p>
        </w:tc>
        <w:tc>
          <w:tcPr>
            <w:tcW w:w="1222" w:type="pct"/>
            <w:tcBorders>
              <w:top w:val="nil"/>
              <w:left w:val="nil"/>
              <w:bottom w:val="nil"/>
              <w:right w:val="nil"/>
            </w:tcBorders>
            <w:shd w:val="clear" w:color="auto" w:fill="FFFFFF"/>
            <w:noWrap w:val="0"/>
            <w:tcMar>
              <w:top w:w="-1" w:type="dxa"/>
              <w:left w:w="-1" w:type="dxa"/>
              <w:bottom w:w="-1" w:type="dxa"/>
              <w:right w:w="-1" w:type="dxa"/>
            </w:tcMar>
            <w:vAlign w:val="center"/>
          </w:tcPr>
          <w:p w14:paraId="1221A712">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0.86（0.76-0.96）</w:t>
            </w:r>
          </w:p>
        </w:tc>
        <w:tc>
          <w:tcPr>
            <w:tcW w:w="701" w:type="pct"/>
            <w:tcBorders>
              <w:top w:val="nil"/>
              <w:left w:val="nil"/>
              <w:bottom w:val="nil"/>
              <w:right w:val="nil"/>
            </w:tcBorders>
            <w:shd w:val="clear" w:color="auto" w:fill="FFFFFF"/>
            <w:noWrap w:val="0"/>
            <w:tcMar>
              <w:top w:w="-1" w:type="dxa"/>
              <w:left w:w="-1" w:type="dxa"/>
              <w:bottom w:w="-1" w:type="dxa"/>
              <w:right w:w="-1" w:type="dxa"/>
            </w:tcMar>
            <w:vAlign w:val="center"/>
          </w:tcPr>
          <w:p w14:paraId="30130CD2">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0.27</w:t>
            </w:r>
          </w:p>
        </w:tc>
        <w:tc>
          <w:tcPr>
            <w:tcW w:w="763" w:type="pct"/>
            <w:tcBorders>
              <w:top w:val="nil"/>
              <w:left w:val="nil"/>
              <w:bottom w:val="nil"/>
              <w:right w:val="nil"/>
            </w:tcBorders>
            <w:shd w:val="clear" w:color="auto" w:fill="FFFFFF"/>
            <w:noWrap w:val="0"/>
            <w:tcMar>
              <w:top w:w="-1" w:type="dxa"/>
              <w:left w:w="-1" w:type="dxa"/>
              <w:bottom w:w="-1" w:type="dxa"/>
              <w:right w:w="-1" w:type="dxa"/>
            </w:tcMar>
            <w:vAlign w:val="center"/>
          </w:tcPr>
          <w:p w14:paraId="65DF9F5D">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84.62%</w:t>
            </w:r>
          </w:p>
        </w:tc>
        <w:tc>
          <w:tcPr>
            <w:tcW w:w="770" w:type="pct"/>
            <w:tcBorders>
              <w:top w:val="nil"/>
              <w:left w:val="nil"/>
              <w:bottom w:val="nil"/>
              <w:right w:val="nil"/>
            </w:tcBorders>
            <w:shd w:val="clear" w:color="auto" w:fill="FFFFFF"/>
            <w:noWrap w:val="0"/>
            <w:tcMar>
              <w:top w:w="-1" w:type="dxa"/>
              <w:left w:w="-1" w:type="dxa"/>
              <w:bottom w:w="-1" w:type="dxa"/>
              <w:right w:w="-1" w:type="dxa"/>
            </w:tcMar>
            <w:vAlign w:val="center"/>
          </w:tcPr>
          <w:p w14:paraId="4EF1B323">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71.09%</w:t>
            </w:r>
          </w:p>
        </w:tc>
        <w:tc>
          <w:tcPr>
            <w:tcW w:w="410" w:type="pct"/>
            <w:tcBorders>
              <w:top w:val="nil"/>
              <w:left w:val="nil"/>
              <w:bottom w:val="nil"/>
              <w:right w:val="nil"/>
            </w:tcBorders>
            <w:shd w:val="clear" w:color="auto" w:fill="FFFFFF"/>
            <w:noWrap w:val="0"/>
            <w:tcMar>
              <w:top w:w="-1" w:type="dxa"/>
              <w:left w:w="-1" w:type="dxa"/>
              <w:bottom w:w="-1" w:type="dxa"/>
              <w:right w:w="-1" w:type="dxa"/>
            </w:tcMar>
            <w:vAlign w:val="center"/>
          </w:tcPr>
          <w:p w14:paraId="75397C40">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0.1</w:t>
            </w:r>
          </w:p>
        </w:tc>
        <w:tc>
          <w:tcPr>
            <w:tcW w:w="593" w:type="pct"/>
            <w:tcBorders>
              <w:top w:val="nil"/>
              <w:left w:val="nil"/>
              <w:bottom w:val="nil"/>
              <w:right w:val="nil"/>
            </w:tcBorders>
            <w:shd w:val="clear" w:color="auto" w:fill="FFFFFF"/>
            <w:noWrap w:val="0"/>
            <w:tcMar>
              <w:top w:w="-1" w:type="dxa"/>
              <w:left w:w="-1" w:type="dxa"/>
              <w:bottom w:w="-1" w:type="dxa"/>
              <w:right w:w="-1" w:type="dxa"/>
            </w:tcMar>
            <w:vAlign w:val="center"/>
          </w:tcPr>
          <w:p w14:paraId="6668AC37">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0.56</w:t>
            </w:r>
          </w:p>
        </w:tc>
      </w:tr>
      <w:tr w14:paraId="149818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37" w:type="pct"/>
            <w:tcBorders>
              <w:top w:val="nil"/>
              <w:left w:val="nil"/>
              <w:bottom w:val="nil"/>
              <w:right w:val="nil"/>
            </w:tcBorders>
            <w:shd w:val="clear" w:color="auto" w:fill="FFFFFF"/>
            <w:noWrap w:val="0"/>
            <w:tcMar>
              <w:top w:w="-1" w:type="dxa"/>
              <w:left w:w="-1" w:type="dxa"/>
              <w:bottom w:w="-1" w:type="dxa"/>
              <w:right w:w="-1" w:type="dxa"/>
            </w:tcMar>
            <w:vAlign w:val="center"/>
          </w:tcPr>
          <w:p w14:paraId="1DDB02F3">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SVM</w:t>
            </w:r>
          </w:p>
        </w:tc>
        <w:tc>
          <w:tcPr>
            <w:tcW w:w="1222" w:type="pct"/>
            <w:tcBorders>
              <w:top w:val="nil"/>
              <w:left w:val="nil"/>
              <w:bottom w:val="nil"/>
              <w:right w:val="nil"/>
            </w:tcBorders>
            <w:shd w:val="clear" w:color="auto" w:fill="FFFFFF"/>
            <w:noWrap w:val="0"/>
            <w:tcMar>
              <w:top w:w="-1" w:type="dxa"/>
              <w:left w:w="-1" w:type="dxa"/>
              <w:bottom w:w="-1" w:type="dxa"/>
              <w:right w:w="-1" w:type="dxa"/>
            </w:tcMar>
            <w:vAlign w:val="center"/>
          </w:tcPr>
          <w:p w14:paraId="760CE8FC">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0.88（0.80-0.95）</w:t>
            </w:r>
          </w:p>
        </w:tc>
        <w:tc>
          <w:tcPr>
            <w:tcW w:w="701" w:type="pct"/>
            <w:tcBorders>
              <w:top w:val="nil"/>
              <w:left w:val="nil"/>
              <w:bottom w:val="nil"/>
              <w:right w:val="nil"/>
            </w:tcBorders>
            <w:shd w:val="clear" w:color="auto" w:fill="FFFFFF"/>
            <w:noWrap w:val="0"/>
            <w:tcMar>
              <w:top w:w="-1" w:type="dxa"/>
              <w:left w:w="-1" w:type="dxa"/>
              <w:bottom w:w="-1" w:type="dxa"/>
              <w:right w:w="-1" w:type="dxa"/>
            </w:tcMar>
            <w:vAlign w:val="center"/>
          </w:tcPr>
          <w:p w14:paraId="6852FB0A">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0.34</w:t>
            </w:r>
          </w:p>
        </w:tc>
        <w:tc>
          <w:tcPr>
            <w:tcW w:w="763" w:type="pct"/>
            <w:tcBorders>
              <w:top w:val="nil"/>
              <w:left w:val="nil"/>
              <w:bottom w:val="nil"/>
              <w:right w:val="nil"/>
            </w:tcBorders>
            <w:shd w:val="clear" w:color="auto" w:fill="FFFFFF"/>
            <w:noWrap w:val="0"/>
            <w:tcMar>
              <w:top w:w="-1" w:type="dxa"/>
              <w:left w:w="-1" w:type="dxa"/>
              <w:bottom w:w="-1" w:type="dxa"/>
              <w:right w:w="-1" w:type="dxa"/>
            </w:tcMar>
            <w:vAlign w:val="center"/>
          </w:tcPr>
          <w:p w14:paraId="52759343">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46.15%</w:t>
            </w:r>
          </w:p>
        </w:tc>
        <w:tc>
          <w:tcPr>
            <w:tcW w:w="770" w:type="pct"/>
            <w:tcBorders>
              <w:top w:val="nil"/>
              <w:left w:val="nil"/>
              <w:bottom w:val="nil"/>
              <w:right w:val="nil"/>
            </w:tcBorders>
            <w:shd w:val="clear" w:color="auto" w:fill="FFFFFF"/>
            <w:noWrap w:val="0"/>
            <w:tcMar>
              <w:top w:w="-1" w:type="dxa"/>
              <w:left w:w="-1" w:type="dxa"/>
              <w:bottom w:w="-1" w:type="dxa"/>
              <w:right w:w="-1" w:type="dxa"/>
            </w:tcMar>
            <w:vAlign w:val="center"/>
          </w:tcPr>
          <w:p w14:paraId="039F4903">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96.09%</w:t>
            </w:r>
          </w:p>
        </w:tc>
        <w:tc>
          <w:tcPr>
            <w:tcW w:w="410" w:type="pct"/>
            <w:tcBorders>
              <w:top w:val="nil"/>
              <w:left w:val="nil"/>
              <w:bottom w:val="nil"/>
              <w:right w:val="nil"/>
            </w:tcBorders>
            <w:shd w:val="clear" w:color="auto" w:fill="FFFFFF"/>
            <w:noWrap w:val="0"/>
            <w:tcMar>
              <w:top w:w="-1" w:type="dxa"/>
              <w:left w:w="-1" w:type="dxa"/>
              <w:bottom w:w="-1" w:type="dxa"/>
              <w:right w:w="-1" w:type="dxa"/>
            </w:tcMar>
            <w:vAlign w:val="center"/>
          </w:tcPr>
          <w:p w14:paraId="3FF5509D">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0.26</w:t>
            </w:r>
          </w:p>
        </w:tc>
        <w:tc>
          <w:tcPr>
            <w:tcW w:w="593" w:type="pct"/>
            <w:tcBorders>
              <w:top w:val="nil"/>
              <w:left w:val="nil"/>
              <w:bottom w:val="nil"/>
              <w:right w:val="nil"/>
            </w:tcBorders>
            <w:shd w:val="clear" w:color="auto" w:fill="FFFFFF"/>
            <w:noWrap w:val="0"/>
            <w:tcMar>
              <w:top w:w="-1" w:type="dxa"/>
              <w:left w:w="-1" w:type="dxa"/>
              <w:bottom w:w="-1" w:type="dxa"/>
              <w:right w:w="-1" w:type="dxa"/>
            </w:tcMar>
            <w:vAlign w:val="center"/>
          </w:tcPr>
          <w:p w14:paraId="046769B0">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0.42</w:t>
            </w:r>
          </w:p>
        </w:tc>
      </w:tr>
      <w:tr w14:paraId="54E68D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37" w:type="pct"/>
            <w:tcBorders>
              <w:top w:val="nil"/>
              <w:left w:val="nil"/>
              <w:bottom w:val="nil"/>
              <w:right w:val="nil"/>
            </w:tcBorders>
            <w:shd w:val="clear" w:color="auto" w:fill="FFFFFF"/>
            <w:noWrap w:val="0"/>
            <w:tcMar>
              <w:top w:w="-1" w:type="dxa"/>
              <w:left w:w="-1" w:type="dxa"/>
              <w:bottom w:w="-1" w:type="dxa"/>
              <w:right w:w="-1" w:type="dxa"/>
            </w:tcMar>
            <w:vAlign w:val="center"/>
          </w:tcPr>
          <w:p w14:paraId="1A4A8D9F">
            <w:pPr>
              <w:spacing w:line="240" w:lineRule="auto"/>
              <w:ind w:firstLine="0" w:firstLineChars="0"/>
              <w:jc w:val="center"/>
              <w:rPr>
                <w:rFonts w:hint="eastAsia" w:ascii="Times New Roman" w:hAnsi="Times New Roman" w:cs="Times New Roman"/>
                <w:b/>
                <w:bCs w:val="0"/>
                <w:color w:val="auto"/>
                <w:sz w:val="18"/>
                <w:szCs w:val="20"/>
                <w:lang w:val="en-US" w:eastAsia="zh-CN"/>
              </w:rPr>
            </w:pPr>
            <w:r>
              <w:rPr>
                <w:rFonts w:hint="eastAsia" w:ascii="Times New Roman" w:hAnsi="Times New Roman" w:cs="Times New Roman"/>
                <w:b/>
                <w:bCs w:val="0"/>
                <w:color w:val="auto"/>
                <w:sz w:val="18"/>
                <w:szCs w:val="20"/>
                <w:lang w:val="en-US" w:eastAsia="zh-CN"/>
              </w:rPr>
              <w:t>NNET</w:t>
            </w:r>
          </w:p>
        </w:tc>
        <w:tc>
          <w:tcPr>
            <w:tcW w:w="1222" w:type="pct"/>
            <w:tcBorders>
              <w:top w:val="nil"/>
              <w:left w:val="nil"/>
              <w:bottom w:val="nil"/>
              <w:right w:val="nil"/>
            </w:tcBorders>
            <w:shd w:val="clear" w:color="auto" w:fill="FFFFFF"/>
            <w:noWrap w:val="0"/>
            <w:tcMar>
              <w:top w:w="-1" w:type="dxa"/>
              <w:left w:w="-1" w:type="dxa"/>
              <w:bottom w:w="-1" w:type="dxa"/>
              <w:right w:w="-1" w:type="dxa"/>
            </w:tcMar>
            <w:vAlign w:val="center"/>
          </w:tcPr>
          <w:p w14:paraId="3927CB8D">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0.84（0.71-0.94）</w:t>
            </w:r>
          </w:p>
        </w:tc>
        <w:tc>
          <w:tcPr>
            <w:tcW w:w="701" w:type="pct"/>
            <w:tcBorders>
              <w:top w:val="nil"/>
              <w:left w:val="nil"/>
              <w:bottom w:val="nil"/>
              <w:right w:val="nil"/>
            </w:tcBorders>
            <w:shd w:val="clear" w:color="auto" w:fill="FFFFFF"/>
            <w:noWrap w:val="0"/>
            <w:tcMar>
              <w:top w:w="-1" w:type="dxa"/>
              <w:left w:w="-1" w:type="dxa"/>
              <w:bottom w:w="-1" w:type="dxa"/>
              <w:right w:w="-1" w:type="dxa"/>
            </w:tcMar>
            <w:vAlign w:val="center"/>
          </w:tcPr>
          <w:p w14:paraId="46B8C24E">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0.3</w:t>
            </w:r>
          </w:p>
        </w:tc>
        <w:tc>
          <w:tcPr>
            <w:tcW w:w="763" w:type="pct"/>
            <w:tcBorders>
              <w:top w:val="nil"/>
              <w:left w:val="nil"/>
              <w:bottom w:val="nil"/>
              <w:right w:val="nil"/>
            </w:tcBorders>
            <w:shd w:val="clear" w:color="auto" w:fill="FFFFFF"/>
            <w:noWrap w:val="0"/>
            <w:tcMar>
              <w:top w:w="-1" w:type="dxa"/>
              <w:left w:w="-1" w:type="dxa"/>
              <w:bottom w:w="-1" w:type="dxa"/>
              <w:right w:w="-1" w:type="dxa"/>
            </w:tcMar>
            <w:vAlign w:val="center"/>
          </w:tcPr>
          <w:p w14:paraId="3902FB42">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23.08%</w:t>
            </w:r>
          </w:p>
        </w:tc>
        <w:tc>
          <w:tcPr>
            <w:tcW w:w="770" w:type="pct"/>
            <w:tcBorders>
              <w:top w:val="nil"/>
              <w:left w:val="nil"/>
              <w:bottom w:val="nil"/>
              <w:right w:val="nil"/>
            </w:tcBorders>
            <w:shd w:val="clear" w:color="auto" w:fill="FFFFFF"/>
            <w:noWrap w:val="0"/>
            <w:tcMar>
              <w:top w:w="-1" w:type="dxa"/>
              <w:left w:w="-1" w:type="dxa"/>
              <w:bottom w:w="-1" w:type="dxa"/>
              <w:right w:w="-1" w:type="dxa"/>
            </w:tcMar>
            <w:vAlign w:val="center"/>
          </w:tcPr>
          <w:p w14:paraId="426DF369">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99.58%</w:t>
            </w:r>
          </w:p>
        </w:tc>
        <w:tc>
          <w:tcPr>
            <w:tcW w:w="410" w:type="pct"/>
            <w:tcBorders>
              <w:top w:val="nil"/>
              <w:left w:val="nil"/>
              <w:bottom w:val="nil"/>
              <w:right w:val="nil"/>
            </w:tcBorders>
            <w:shd w:val="clear" w:color="auto" w:fill="FFFFFF"/>
            <w:noWrap w:val="0"/>
            <w:tcMar>
              <w:top w:w="-1" w:type="dxa"/>
              <w:left w:w="-1" w:type="dxa"/>
              <w:bottom w:w="-1" w:type="dxa"/>
              <w:right w:w="-1" w:type="dxa"/>
            </w:tcMar>
            <w:vAlign w:val="center"/>
          </w:tcPr>
          <w:p w14:paraId="297CA799">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0.32</w:t>
            </w:r>
          </w:p>
        </w:tc>
        <w:tc>
          <w:tcPr>
            <w:tcW w:w="593" w:type="pct"/>
            <w:tcBorders>
              <w:top w:val="nil"/>
              <w:left w:val="nil"/>
              <w:bottom w:val="nil"/>
              <w:right w:val="nil"/>
            </w:tcBorders>
            <w:shd w:val="clear" w:color="auto" w:fill="FFFFFF"/>
            <w:noWrap w:val="0"/>
            <w:tcMar>
              <w:top w:w="-1" w:type="dxa"/>
              <w:left w:w="-1" w:type="dxa"/>
              <w:bottom w:w="-1" w:type="dxa"/>
              <w:right w:w="-1" w:type="dxa"/>
            </w:tcMar>
            <w:vAlign w:val="center"/>
          </w:tcPr>
          <w:p w14:paraId="16CCBB6B">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0.23</w:t>
            </w:r>
          </w:p>
        </w:tc>
      </w:tr>
      <w:tr w14:paraId="237623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537"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1D4B587">
            <w:pPr>
              <w:spacing w:line="240" w:lineRule="auto"/>
              <w:ind w:firstLine="0" w:firstLineChars="0"/>
              <w:jc w:val="center"/>
              <w:rPr>
                <w:rFonts w:hint="eastAsia" w:ascii="Times New Roman" w:hAnsi="Times New Roman" w:cs="Times New Roman"/>
                <w:b/>
                <w:bCs w:val="0"/>
                <w:color w:val="auto"/>
                <w:sz w:val="18"/>
                <w:szCs w:val="20"/>
                <w:lang w:val="en-US" w:eastAsia="zh-CN"/>
              </w:rPr>
            </w:pPr>
            <w:bookmarkStart w:id="8" w:name="_Hlk216463708"/>
            <w:r>
              <w:rPr>
                <w:rFonts w:hint="eastAsia" w:ascii="Times New Roman" w:hAnsi="Times New Roman" w:cs="Times New Roman"/>
                <w:b/>
                <w:bCs w:val="0"/>
                <w:color w:val="auto"/>
                <w:sz w:val="18"/>
                <w:szCs w:val="20"/>
                <w:lang w:val="en-US" w:eastAsia="zh-CN"/>
              </w:rPr>
              <w:t>GBM</w:t>
            </w:r>
          </w:p>
        </w:tc>
        <w:tc>
          <w:tcPr>
            <w:tcW w:w="1222"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844C4CC">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0.86（0.76-0.95）</w:t>
            </w:r>
          </w:p>
        </w:tc>
        <w:tc>
          <w:tcPr>
            <w:tcW w:w="701"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13EAE44">
            <w:pPr>
              <w:spacing w:line="240" w:lineRule="auto"/>
              <w:ind w:firstLine="0" w:firstLineChars="0"/>
              <w:jc w:val="center"/>
              <w:rPr>
                <w:rFonts w:hint="default"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0.26</w:t>
            </w:r>
          </w:p>
        </w:tc>
        <w:tc>
          <w:tcPr>
            <w:tcW w:w="763"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CB00665">
            <w:pPr>
              <w:spacing w:line="240" w:lineRule="auto"/>
              <w:ind w:firstLine="0" w:firstLineChars="0"/>
              <w:jc w:val="center"/>
              <w:rPr>
                <w:rFonts w:hint="default"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61.54%</w:t>
            </w:r>
          </w:p>
        </w:tc>
        <w:tc>
          <w:tcPr>
            <w:tcW w:w="770"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7F24A86">
            <w:pPr>
              <w:spacing w:line="240" w:lineRule="auto"/>
              <w:ind w:firstLine="0" w:firstLineChars="0"/>
              <w:jc w:val="center"/>
              <w:rPr>
                <w:rFonts w:hint="default"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84.50%</w:t>
            </w:r>
          </w:p>
        </w:tc>
        <w:tc>
          <w:tcPr>
            <w:tcW w:w="410"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41B6821">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0.12</w:t>
            </w:r>
          </w:p>
        </w:tc>
        <w:tc>
          <w:tcPr>
            <w:tcW w:w="593" w:type="pct"/>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BAF89B1">
            <w:pPr>
              <w:spacing w:line="240" w:lineRule="auto"/>
              <w:ind w:firstLine="0" w:firstLineChars="0"/>
              <w:jc w:val="center"/>
              <w:rPr>
                <w:rFonts w:hint="eastAsia" w:ascii="Times New Roman" w:hAnsi="Times New Roman" w:cs="Times New Roman"/>
                <w:b w:val="0"/>
                <w:color w:val="auto"/>
                <w:sz w:val="18"/>
                <w:szCs w:val="20"/>
                <w:lang w:val="en-US" w:eastAsia="zh-CN"/>
              </w:rPr>
            </w:pPr>
            <w:r>
              <w:rPr>
                <w:rFonts w:hint="eastAsia" w:ascii="Times New Roman" w:hAnsi="Times New Roman" w:cs="Times New Roman"/>
                <w:b w:val="0"/>
                <w:color w:val="auto"/>
                <w:sz w:val="18"/>
                <w:szCs w:val="20"/>
                <w:lang w:val="en-US" w:eastAsia="zh-CN"/>
              </w:rPr>
              <w:t>0.46</w:t>
            </w:r>
          </w:p>
        </w:tc>
      </w:tr>
      <w:bookmarkEnd w:id="8"/>
    </w:tbl>
    <w:p w14:paraId="76A68334">
      <w:pPr>
        <w:pStyle w:val="3"/>
        <w:spacing w:before="156" w:after="156"/>
        <w:rPr>
          <w:rFonts w:ascii="Times New Roman" w:hAnsi="Times New Roman" w:eastAsia="宋体"/>
          <w:color w:val="auto"/>
          <w:lang w:eastAsia="zh-CN"/>
        </w:rPr>
      </w:pPr>
      <w:r>
        <w:rPr>
          <w:rFonts w:hint="eastAsia" w:ascii="Times New Roman" w:hAnsi="Times New Roman" w:eastAsia="宋体"/>
          <w:color w:val="auto"/>
          <w:lang w:eastAsia="zh-CN"/>
        </w:rPr>
        <w:t>可视化分析</w:t>
      </w:r>
    </w:p>
    <w:p w14:paraId="6968A58F">
      <w:pPr>
        <w:ind w:firstLine="420"/>
        <w:rPr>
          <w:rFonts w:hint="eastAsia" w:ascii="Times New Roman" w:hAnsi="Times New Roman"/>
          <w:color w:val="auto"/>
        </w:rPr>
      </w:pPr>
      <w:r>
        <w:rPr>
          <w:rFonts w:hint="eastAsia" w:ascii="Times New Roman" w:hAnsi="Times New Roman"/>
          <w:color w:val="auto"/>
        </w:rPr>
        <w:t>为保证术前与围手术期模型对比的一致性，本研究统一采用 GBM 并基于 SHAP 蜂群图开展可视化解释。两张图显示，围手术期模型（5变量）较术前模型（3变量）具有更宽的 SHAP 分布范围，提示其能够提供更丰富的风险分层信息。</w:t>
      </w:r>
    </w:p>
    <w:p w14:paraId="61342693">
      <w:pPr>
        <w:ind w:firstLine="420"/>
        <w:rPr>
          <w:rFonts w:hint="eastAsia" w:ascii="Times New Roman" w:hAnsi="Times New Roman"/>
          <w:color w:val="auto"/>
        </w:rPr>
      </w:pPr>
      <w:r>
        <w:rPr>
          <w:rFonts w:hint="eastAsia" w:ascii="Times New Roman" w:hAnsi="Times New Roman"/>
          <w:color w:val="auto"/>
        </w:rPr>
        <w:t>在围手术期模型中，OperationDurationMin 的高值（红色）主要分布在 SHAP 正向区域，且存在较大的正向长尾（最高约 2.5），提示手术时间延长与 PPI 风险显著升高相关；PreopConcurrentCRT 的高值同样多位于正向区域，显示其对高风险预测具有推动作用。NeckDissection 呈“高值偏正、低值偏负”的分布模式，提示颈清扫与风险上升相关。相反，Tracheostomy 的高值更多分布在负向 SHAP 区域，而低值接近 0 或略偏正，提示其在本模型中表现为相对保护方向。AlcoholHistory 的高值整体偏正、低值偏负，提示饮酒史与风险增加相关。</w:t>
      </w:r>
    </w:p>
    <w:p w14:paraId="1CA62D4F">
      <w:pPr>
        <w:ind w:firstLine="420"/>
        <w:rPr>
          <w:rFonts w:hint="eastAsia" w:ascii="Times New Roman" w:hAnsi="Times New Roman"/>
          <w:color w:val="auto"/>
        </w:rPr>
      </w:pPr>
      <w:r>
        <w:rPr>
          <w:rFonts w:hint="eastAsia" w:ascii="Times New Roman" w:hAnsi="Times New Roman"/>
          <w:color w:val="auto"/>
        </w:rPr>
        <w:t>在术前模型中，PreopHGB 呈现明显的方向性分层：高值（红色）主要位于负向 SHAP 区域，低值（蓝色）更多位于正向区域，提示术前血红蛋白降低与更高 PPI 风险相关。AlcoholHistory 在术前模型中同样表现为</w:t>
      </w:r>
      <w:r>
        <w:rPr>
          <w:rFonts w:hint="eastAsia" w:ascii="Times New Roman" w:hAnsi="Times New Roman"/>
          <w:color w:val="auto"/>
          <w:lang w:val="en-US" w:eastAsia="zh-CN"/>
        </w:rPr>
        <w:t>感染</w:t>
      </w:r>
      <w:r>
        <w:rPr>
          <w:rFonts w:hint="eastAsia" w:ascii="Times New Roman" w:hAnsi="Times New Roman"/>
          <w:color w:val="auto"/>
        </w:rPr>
        <w:t>风险增加的趋势。PreopConcurrentCRT 的低值多数接近 0 或略负，而高值可出现明显正向 SHAP 点（约 1.1），提示该变量在部分患者中具有较强的风险提升效应。总体而言，术前模型更适合进行基础风险识别，而围手术期模型在风险梯度刻画与个体化解释方面更具优势。</w:t>
      </w:r>
    </w:p>
    <w:tbl>
      <w:tblPr>
        <w:tblStyle w:val="4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14:paraId="434C4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50E38403">
            <w:pPr>
              <w:spacing w:line="240" w:lineRule="auto"/>
              <w:ind w:firstLine="0" w:firstLineChars="0"/>
              <w:jc w:val="center"/>
              <w:rPr>
                <w:rFonts w:hint="eastAsia" w:ascii="Times New Roman" w:hAnsi="Times New Roman" w:eastAsia="宋体"/>
                <w:color w:val="auto"/>
                <w:lang w:eastAsia="zh-CN"/>
              </w:rPr>
            </w:pPr>
            <w:r>
              <w:rPr>
                <w:rFonts w:hint="eastAsia" w:ascii="Times New Roman" w:hAnsi="Times New Roman" w:eastAsia="宋体"/>
                <w:color w:val="auto"/>
                <w:lang w:eastAsia="zh-CN"/>
              </w:rPr>
              <w:drawing>
                <wp:inline distT="0" distB="0" distL="114300" distR="114300">
                  <wp:extent cx="5267960" cy="1827530"/>
                  <wp:effectExtent l="0" t="0" r="5080" b="1270"/>
                  <wp:docPr id="8" name="图片 8" descr="SHAP_beeswarm_X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HAP_beeswarm_XGB"/>
                          <pic:cNvPicPr>
                            <a:picLocks noChangeAspect="1"/>
                          </pic:cNvPicPr>
                        </pic:nvPicPr>
                        <pic:blipFill>
                          <a:blip r:embed="rId13"/>
                          <a:stretch>
                            <a:fillRect/>
                          </a:stretch>
                        </pic:blipFill>
                        <pic:spPr>
                          <a:xfrm>
                            <a:off x="0" y="0"/>
                            <a:ext cx="5267960" cy="1827530"/>
                          </a:xfrm>
                          <a:prstGeom prst="rect">
                            <a:avLst/>
                          </a:prstGeom>
                        </pic:spPr>
                      </pic:pic>
                    </a:graphicData>
                  </a:graphic>
                </wp:inline>
              </w:drawing>
            </w:r>
          </w:p>
        </w:tc>
      </w:tr>
      <w:tr w14:paraId="096F3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776C1BB1">
            <w:pPr>
              <w:pStyle w:val="41"/>
              <w:numPr>
                <w:ilvl w:val="0"/>
                <w:numId w:val="2"/>
              </w:numPr>
              <w:spacing w:line="240" w:lineRule="auto"/>
              <w:ind w:firstLineChars="0"/>
              <w:jc w:val="center"/>
              <w:rPr>
                <w:rFonts w:ascii="Times New Roman" w:hAnsi="Times New Roman"/>
                <w:color w:val="auto"/>
              </w:rPr>
            </w:pPr>
            <w:r>
              <w:rPr>
                <w:rFonts w:hint="eastAsia" w:ascii="Times New Roman" w:hAnsi="Times New Roman"/>
                <w:color w:val="auto"/>
                <w:sz w:val="15"/>
                <w:szCs w:val="16"/>
              </w:rPr>
              <w:t>GBM术前模型SHAP蜂群图</w:t>
            </w:r>
          </w:p>
        </w:tc>
      </w:tr>
      <w:tr w14:paraId="257E6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61A58223">
            <w:pPr>
              <w:spacing w:line="240" w:lineRule="auto"/>
              <w:ind w:firstLine="0" w:firstLineChars="0"/>
              <w:jc w:val="center"/>
              <w:rPr>
                <w:rFonts w:hint="eastAsia" w:ascii="Times New Roman" w:hAnsi="Times New Roman" w:eastAsia="宋体"/>
                <w:color w:val="auto"/>
                <w:lang w:eastAsia="zh-CN"/>
              </w:rPr>
            </w:pPr>
            <w:r>
              <w:rPr>
                <w:rFonts w:hint="eastAsia" w:ascii="Times New Roman" w:hAnsi="Times New Roman" w:eastAsia="宋体"/>
                <w:color w:val="auto"/>
                <w:lang w:eastAsia="zh-CN"/>
              </w:rPr>
              <w:drawing>
                <wp:inline distT="0" distB="0" distL="114300" distR="114300">
                  <wp:extent cx="5272405" cy="2221230"/>
                  <wp:effectExtent l="0" t="0" r="635" b="3810"/>
                  <wp:docPr id="6" name="图片 6" descr="SHAP_beeswarm_X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HAP_beeswarm_XGB"/>
                          <pic:cNvPicPr>
                            <a:picLocks noChangeAspect="1"/>
                          </pic:cNvPicPr>
                        </pic:nvPicPr>
                        <pic:blipFill>
                          <a:blip r:embed="rId14"/>
                          <a:stretch>
                            <a:fillRect/>
                          </a:stretch>
                        </pic:blipFill>
                        <pic:spPr>
                          <a:xfrm>
                            <a:off x="0" y="0"/>
                            <a:ext cx="5272405" cy="2221230"/>
                          </a:xfrm>
                          <a:prstGeom prst="rect">
                            <a:avLst/>
                          </a:prstGeom>
                        </pic:spPr>
                      </pic:pic>
                    </a:graphicData>
                  </a:graphic>
                </wp:inline>
              </w:drawing>
            </w:r>
          </w:p>
        </w:tc>
      </w:tr>
      <w:tr w14:paraId="27D99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tcPr>
          <w:p w14:paraId="49B10A01">
            <w:pPr>
              <w:pStyle w:val="41"/>
              <w:numPr>
                <w:ilvl w:val="0"/>
                <w:numId w:val="2"/>
              </w:numPr>
              <w:spacing w:line="240" w:lineRule="auto"/>
              <w:ind w:firstLineChars="0"/>
              <w:jc w:val="center"/>
              <w:rPr>
                <w:rFonts w:ascii="Times New Roman" w:hAnsi="Times New Roman"/>
                <w:color w:val="auto"/>
                <w:sz w:val="18"/>
                <w:szCs w:val="20"/>
              </w:rPr>
            </w:pPr>
            <w:r>
              <w:rPr>
                <w:rFonts w:hint="eastAsia" w:ascii="Times New Roman" w:hAnsi="Times New Roman"/>
                <w:color w:val="auto"/>
                <w:sz w:val="15"/>
                <w:szCs w:val="16"/>
              </w:rPr>
              <w:t>GBM围手术期模型SHAP蜂群图</w:t>
            </w:r>
          </w:p>
        </w:tc>
      </w:tr>
    </w:tbl>
    <w:p w14:paraId="0B8C2572">
      <w:pPr>
        <w:spacing w:before="156" w:beforeLines="50"/>
        <w:ind w:firstLine="360"/>
        <w:jc w:val="center"/>
        <w:rPr>
          <w:rFonts w:ascii="Times New Roman" w:hAnsi="Times New Roman" w:cs="Times New Roman"/>
          <w:color w:val="auto"/>
          <w:sz w:val="18"/>
        </w:rPr>
      </w:pPr>
      <w:r>
        <w:rPr>
          <w:rFonts w:ascii="Times New Roman" w:hAnsi="Times New Roman" w:cs="Times New Roman"/>
          <w:color w:val="auto"/>
          <w:sz w:val="18"/>
        </w:rPr>
        <w:t>图3</w:t>
      </w:r>
      <w:r>
        <w:rPr>
          <w:rFonts w:hint="eastAsia" w:ascii="Times New Roman" w:hAnsi="Times New Roman" w:cs="Times New Roman"/>
          <w:color w:val="auto"/>
          <w:sz w:val="18"/>
        </w:rPr>
        <w:t xml:space="preserve"> 术前与围手术期两阶段 GBM 模型变量对 PPI 预测影响的 SHAP 蜂群图</w:t>
      </w:r>
      <w:r>
        <w:rPr>
          <w:rFonts w:ascii="Times New Roman" w:hAnsi="Times New Roman" w:cs="Times New Roman"/>
          <w:color w:val="auto"/>
          <w:sz w:val="18"/>
        </w:rPr>
        <w:t>（彩图）</w:t>
      </w:r>
    </w:p>
    <w:p w14:paraId="1A852F67">
      <w:pPr>
        <w:ind w:firstLine="360"/>
        <w:jc w:val="center"/>
        <w:rPr>
          <w:rFonts w:ascii="Times New Roman" w:hAnsi="Times New Roman" w:cs="Times New Roman"/>
          <w:color w:val="auto"/>
          <w:sz w:val="18"/>
        </w:rPr>
      </w:pPr>
      <w:r>
        <w:rPr>
          <w:rFonts w:hint="eastAsia" w:ascii="Times New Roman" w:hAnsi="Times New Roman" w:cs="Times New Roman"/>
          <w:color w:val="auto"/>
          <w:sz w:val="18"/>
        </w:rPr>
        <w:t>Fig.3 SHAP Beeswarm Plots of Variable Impacts on PPI Prediction in Preoperative and Perioperative Two-Stage GBM Models</w:t>
      </w:r>
    </w:p>
    <w:p w14:paraId="2882EC8F">
      <w:pPr>
        <w:ind w:firstLine="360"/>
        <w:jc w:val="center"/>
        <w:rPr>
          <w:rFonts w:ascii="Times New Roman" w:hAnsi="Times New Roman" w:cs="Times New Roman"/>
          <w:color w:val="auto"/>
          <w:sz w:val="18"/>
        </w:rPr>
      </w:pP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4"/>
        <w:gridCol w:w="4224"/>
      </w:tblGrid>
      <w:tr w14:paraId="11AF1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00" w:type="dxa"/>
          </w:tcPr>
          <w:p w14:paraId="625C5DC5">
            <w:pPr>
              <w:spacing w:line="240" w:lineRule="auto"/>
              <w:ind w:firstLine="0" w:firstLineChars="0"/>
              <w:jc w:val="center"/>
              <w:rPr>
                <w:rFonts w:hint="eastAsia" w:ascii="Times New Roman" w:hAnsi="Times New Roman" w:eastAsia="宋体" w:cs="Times New Roman"/>
                <w:color w:val="auto"/>
                <w:lang w:eastAsia="zh-CN"/>
              </w:rPr>
            </w:pPr>
            <w:r>
              <w:rPr>
                <w:rFonts w:hint="eastAsia" w:ascii="Times New Roman" w:hAnsi="Times New Roman" w:eastAsia="宋体" w:cs="Times New Roman"/>
                <w:color w:val="auto"/>
                <w:lang w:eastAsia="zh-CN"/>
              </w:rPr>
              <w:drawing>
                <wp:inline distT="0" distB="0" distL="114300" distR="114300">
                  <wp:extent cx="2466340" cy="798830"/>
                  <wp:effectExtent l="0" t="0" r="2540" b="8890"/>
                  <wp:docPr id="7" name="图片 7" descr="SHAP_bar_X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HAP_bar_XGB"/>
                          <pic:cNvPicPr>
                            <a:picLocks noChangeAspect="1"/>
                          </pic:cNvPicPr>
                        </pic:nvPicPr>
                        <pic:blipFill>
                          <a:blip r:embed="rId15"/>
                          <a:stretch>
                            <a:fillRect/>
                          </a:stretch>
                        </pic:blipFill>
                        <pic:spPr>
                          <a:xfrm>
                            <a:off x="0" y="0"/>
                            <a:ext cx="2466340" cy="798830"/>
                          </a:xfrm>
                          <a:prstGeom prst="rect">
                            <a:avLst/>
                          </a:prstGeom>
                        </pic:spPr>
                      </pic:pic>
                    </a:graphicData>
                  </a:graphic>
                </wp:inline>
              </w:drawing>
            </w:r>
          </w:p>
        </w:tc>
        <w:tc>
          <w:tcPr>
            <w:tcW w:w="4206" w:type="dxa"/>
          </w:tcPr>
          <w:p w14:paraId="0C8627BC">
            <w:pPr>
              <w:spacing w:line="240" w:lineRule="auto"/>
              <w:ind w:firstLine="0" w:firstLineChars="0"/>
              <w:jc w:val="center"/>
              <w:rPr>
                <w:rFonts w:hint="eastAsia" w:ascii="Times New Roman" w:hAnsi="Times New Roman" w:eastAsia="宋体" w:cs="Times New Roman"/>
                <w:color w:val="auto"/>
                <w:lang w:eastAsia="zh-CN"/>
              </w:rPr>
            </w:pPr>
            <w:r>
              <w:rPr>
                <w:rFonts w:hint="eastAsia" w:ascii="Times New Roman" w:hAnsi="Times New Roman" w:eastAsia="宋体" w:cs="Times New Roman"/>
                <w:color w:val="auto"/>
                <w:lang w:eastAsia="zh-CN"/>
              </w:rPr>
              <w:drawing>
                <wp:inline distT="0" distB="0" distL="114300" distR="114300">
                  <wp:extent cx="2530475" cy="1078230"/>
                  <wp:effectExtent l="0" t="0" r="14605" b="3810"/>
                  <wp:docPr id="5" name="图片 5" descr="SHAP_bar_X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HAP_bar_XGB"/>
                          <pic:cNvPicPr>
                            <a:picLocks noChangeAspect="1"/>
                          </pic:cNvPicPr>
                        </pic:nvPicPr>
                        <pic:blipFill>
                          <a:blip r:embed="rId16"/>
                          <a:stretch>
                            <a:fillRect/>
                          </a:stretch>
                        </pic:blipFill>
                        <pic:spPr>
                          <a:xfrm>
                            <a:off x="0" y="0"/>
                            <a:ext cx="2530475" cy="1078230"/>
                          </a:xfrm>
                          <a:prstGeom prst="rect">
                            <a:avLst/>
                          </a:prstGeom>
                        </pic:spPr>
                      </pic:pic>
                    </a:graphicData>
                  </a:graphic>
                </wp:inline>
              </w:drawing>
            </w:r>
          </w:p>
        </w:tc>
      </w:tr>
      <w:tr w14:paraId="19759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00" w:type="dxa"/>
          </w:tcPr>
          <w:p w14:paraId="041D5585">
            <w:pPr>
              <w:pStyle w:val="41"/>
              <w:numPr>
                <w:ilvl w:val="0"/>
                <w:numId w:val="3"/>
              </w:numPr>
              <w:spacing w:line="240" w:lineRule="auto"/>
              <w:ind w:firstLineChars="0"/>
              <w:jc w:val="center"/>
              <w:rPr>
                <w:rFonts w:ascii="Times New Roman" w:hAnsi="Times New Roman" w:cs="Times New Roman"/>
                <w:color w:val="auto"/>
                <w:sz w:val="15"/>
                <w:szCs w:val="16"/>
              </w:rPr>
            </w:pPr>
            <w:r>
              <w:rPr>
                <w:rFonts w:hint="eastAsia" w:ascii="Times New Roman" w:hAnsi="Times New Roman" w:cs="Times New Roman"/>
                <w:color w:val="auto"/>
                <w:sz w:val="15"/>
                <w:szCs w:val="16"/>
              </w:rPr>
              <w:t>GBM术前模型SHAP绝对值总和统计图</w:t>
            </w:r>
          </w:p>
        </w:tc>
        <w:tc>
          <w:tcPr>
            <w:tcW w:w="4206" w:type="dxa"/>
          </w:tcPr>
          <w:p w14:paraId="746673CE">
            <w:pPr>
              <w:pStyle w:val="41"/>
              <w:numPr>
                <w:ilvl w:val="0"/>
                <w:numId w:val="3"/>
              </w:numPr>
              <w:spacing w:line="240" w:lineRule="auto"/>
              <w:ind w:firstLineChars="0"/>
              <w:jc w:val="center"/>
              <w:rPr>
                <w:rFonts w:ascii="Times New Roman" w:hAnsi="Times New Roman" w:cs="Times New Roman"/>
                <w:color w:val="auto"/>
                <w:sz w:val="15"/>
                <w:szCs w:val="16"/>
              </w:rPr>
            </w:pPr>
            <w:r>
              <w:rPr>
                <w:rFonts w:hint="eastAsia" w:ascii="Times New Roman" w:hAnsi="Times New Roman" w:cs="Times New Roman"/>
                <w:color w:val="auto"/>
                <w:sz w:val="15"/>
                <w:szCs w:val="16"/>
              </w:rPr>
              <w:t>GBM围手术期模型SHAP绝对值总和统计图</w:t>
            </w:r>
          </w:p>
        </w:tc>
      </w:tr>
    </w:tbl>
    <w:p w14:paraId="5AC66C32">
      <w:pPr>
        <w:ind w:firstLine="360"/>
        <w:jc w:val="center"/>
        <w:rPr>
          <w:rFonts w:ascii="Times New Roman" w:hAnsi="Times New Roman" w:cs="Times New Roman"/>
          <w:color w:val="auto"/>
          <w:sz w:val="18"/>
        </w:rPr>
      </w:pPr>
      <w:r>
        <w:rPr>
          <w:rFonts w:hint="eastAsia" w:ascii="Times New Roman" w:hAnsi="Times New Roman" w:cs="Times New Roman"/>
          <w:color w:val="auto"/>
          <w:sz w:val="18"/>
        </w:rPr>
        <w:t>图4 术前与围手术期两阶段 GBM 模型变量对 PPI 预测影响的 SHAP绝对值总和统计图</w:t>
      </w:r>
      <w:r>
        <w:rPr>
          <w:rFonts w:ascii="Times New Roman" w:hAnsi="Times New Roman" w:cs="Times New Roman"/>
          <w:color w:val="auto"/>
          <w:sz w:val="18"/>
        </w:rPr>
        <w:t>（彩图）</w:t>
      </w:r>
    </w:p>
    <w:p w14:paraId="0931A0AC">
      <w:pPr>
        <w:ind w:firstLine="360"/>
        <w:jc w:val="center"/>
        <w:rPr>
          <w:rFonts w:ascii="Times New Roman" w:hAnsi="Times New Roman" w:cs="Times New Roman"/>
          <w:color w:val="auto"/>
          <w:sz w:val="18"/>
        </w:rPr>
      </w:pPr>
      <w:r>
        <w:rPr>
          <w:rFonts w:hint="eastAsia" w:ascii="Times New Roman" w:hAnsi="Times New Roman" w:cs="Times New Roman"/>
          <w:color w:val="auto"/>
          <w:sz w:val="18"/>
        </w:rPr>
        <w:t>Fig.4 Statistical Plots of Total SHAP Absolute Values for Variable Impacts on PPI Prediction in Preoperative and Perioperative Two-Stage GBM Models</w:t>
      </w:r>
    </w:p>
    <w:p w14:paraId="6599601B">
      <w:pPr>
        <w:pStyle w:val="2"/>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讨论</w:t>
      </w:r>
    </w:p>
    <w:p w14:paraId="6D139919">
      <w:pPr>
        <w:ind w:firstLine="420"/>
        <w:rPr>
          <w:rFonts w:ascii="Times New Roman" w:hAnsi="Times New Roman"/>
          <w:color w:val="auto"/>
        </w:rPr>
      </w:pPr>
      <w:r>
        <w:rPr>
          <w:rFonts w:hint="eastAsia" w:ascii="Times New Roman" w:hAnsi="Times New Roman"/>
          <w:color w:val="auto"/>
        </w:rPr>
        <w:t>本研究基于2</w:t>
      </w:r>
      <w:r>
        <w:rPr>
          <w:rFonts w:hint="eastAsia" w:ascii="Times New Roman" w:hAnsi="Times New Roman"/>
          <w:color w:val="auto"/>
          <w:lang w:val="en-US" w:eastAsia="zh-CN"/>
        </w:rPr>
        <w:t>43</w:t>
      </w:r>
      <w:r>
        <w:rPr>
          <w:rFonts w:hint="eastAsia" w:ascii="Times New Roman" w:hAnsi="Times New Roman"/>
          <w:color w:val="auto"/>
        </w:rPr>
        <w:t>0例</w:t>
      </w:r>
      <w:r>
        <w:rPr>
          <w:rFonts w:hint="eastAsia" w:ascii="Times New Roman" w:hAnsi="Times New Roman"/>
          <w:color w:val="auto"/>
          <w:lang w:eastAsia="zh-CN"/>
        </w:rPr>
        <w:t>头颈</w:t>
      </w:r>
      <w:r>
        <w:rPr>
          <w:rFonts w:hint="eastAsia" w:ascii="Times New Roman" w:hAnsi="Times New Roman"/>
          <w:color w:val="auto"/>
        </w:rPr>
        <w:t>癌手术患者的临床资料，构建并对比了术前-围手术期两阶段PPI机器学习预测模型，明确了两阶段独立预测变量，证实统一选取</w:t>
      </w:r>
      <w:r>
        <w:rPr>
          <w:rFonts w:hint="eastAsia" w:ascii="Times New Roman" w:hAnsi="Times New Roman" w:cs="Times New Roman"/>
          <w:color w:val="auto"/>
        </w:rPr>
        <w:t>GBM</w:t>
      </w:r>
      <w:r>
        <w:rPr>
          <w:rFonts w:hint="eastAsia" w:ascii="Times New Roman" w:hAnsi="Times New Roman"/>
          <w:color w:val="auto"/>
        </w:rPr>
        <w:t>模型可实现阶段间有效对比，且围手术期</w:t>
      </w:r>
      <w:r>
        <w:rPr>
          <w:rFonts w:hint="eastAsia" w:ascii="Times New Roman" w:hAnsi="Times New Roman" w:cs="Times New Roman"/>
          <w:color w:val="auto"/>
        </w:rPr>
        <w:t>GBM</w:t>
      </w:r>
      <w:r>
        <w:rPr>
          <w:rFonts w:hint="eastAsia" w:ascii="Times New Roman" w:hAnsi="Times New Roman"/>
          <w:color w:val="auto"/>
        </w:rPr>
        <w:t>模型在敏感性与特异性间的平衡表现更契合临床需求。研究发现，</w:t>
      </w:r>
      <w:r>
        <w:rPr>
          <w:rFonts w:hint="eastAsia" w:ascii="Times New Roman" w:hAnsi="Times New Roman"/>
          <w:color w:val="auto"/>
          <w:lang w:eastAsia="zh-CN"/>
        </w:rPr>
        <w:t>头颈</w:t>
      </w:r>
      <w:r>
        <w:rPr>
          <w:rFonts w:hint="eastAsia" w:ascii="Times New Roman" w:hAnsi="Times New Roman"/>
          <w:color w:val="auto"/>
        </w:rPr>
        <w:t>癌PPI的发生是术前基础易感性与围手术期临床事件协同作用的结果，两阶段模型的构建为PPI的分阶段精准防控提供了理论与数据支撑。</w:t>
      </w:r>
    </w:p>
    <w:p w14:paraId="32DAED87">
      <w:pPr>
        <w:pStyle w:val="3"/>
        <w:spacing w:before="156" w:after="156" w:line="360" w:lineRule="auto"/>
        <w:rPr>
          <w:rFonts w:ascii="Times New Roman" w:hAnsi="Times New Roman" w:eastAsia="宋体"/>
          <w:color w:val="auto"/>
          <w:lang w:eastAsia="zh-CN"/>
        </w:rPr>
      </w:pPr>
      <w:r>
        <w:rPr>
          <w:rFonts w:hint="eastAsia" w:ascii="Times New Roman" w:hAnsi="Times New Roman" w:eastAsia="宋体"/>
          <w:color w:val="auto"/>
          <w:lang w:eastAsia="zh-CN"/>
        </w:rPr>
        <w:t>术前</w:t>
      </w:r>
      <w:r>
        <w:rPr>
          <w:rFonts w:ascii="Times New Roman" w:hAnsi="Times New Roman" w:eastAsia="宋体"/>
          <w:color w:val="auto"/>
          <w:lang w:eastAsia="zh-CN"/>
        </w:rPr>
        <w:t>独立危险因素分析</w:t>
      </w:r>
    </w:p>
    <w:p w14:paraId="0BFE61C5">
      <w:pPr>
        <w:widowControl w:val="0"/>
        <w:spacing w:line="360" w:lineRule="auto"/>
        <w:ind w:firstLine="420" w:firstLineChars="200"/>
        <w:jc w:val="both"/>
        <w:rPr>
          <w:rFonts w:ascii="Times New Roman" w:hAnsi="Times New Roman" w:eastAsia="宋体" w:cstheme="minorBidi"/>
          <w:color w:val="auto"/>
          <w:kern w:val="2"/>
          <w:sz w:val="21"/>
          <w:szCs w:val="22"/>
          <w:lang w:val="en-US" w:eastAsia="zh-CN" w:bidi="ar-SA"/>
        </w:rPr>
      </w:pPr>
      <w:r>
        <w:rPr>
          <w:rFonts w:ascii="Times New Roman" w:hAnsi="Times New Roman" w:eastAsia="宋体" w:cstheme="minorBidi"/>
          <w:color w:val="auto"/>
          <w:kern w:val="2"/>
          <w:sz w:val="21"/>
          <w:szCs w:val="22"/>
          <w:lang w:val="en-US" w:eastAsia="zh-CN" w:bidi="ar-SA"/>
        </w:rPr>
        <w:t>在术前变量场景中，经 LASSO 初筛与多因素 Logistic 回归后，最终识别出 3 个独立预测因素：PreopConcurrentCRT、PreopHGB和AlcoholHistory。其中，PreopConcurrentCRT 与 PPI 风险显著正相关，提示接受术前同步放化疗的患者更易发生术后肺部感染；AlcoholHistory 同样为风险升高因素；而 PreopHGB 的 OR&lt;1，提示术前血红蛋白水平越低，感染风险越高。结合 SHAP 可视化，PreopHGB 呈现清晰方向性分层（低值对应更高正向 SHAP），而 AlcoholHistory 与 PreopConcurrentCRT 在高值时对模型输出呈正向推动，说明贫血状态</w:t>
      </w:r>
      <w:r>
        <w:rPr>
          <w:rFonts w:hint="eastAsia" w:ascii="Times New Roman" w:hAnsi="Times New Roman" w:eastAsia="宋体" w:cstheme="minorBidi"/>
          <w:color w:val="auto"/>
          <w:kern w:val="2"/>
          <w:sz w:val="21"/>
          <w:szCs w:val="22"/>
          <w:lang w:val="en-US" w:eastAsia="zh-CN" w:bidi="ar-SA"/>
        </w:rPr>
        <w:t>、</w:t>
      </w:r>
      <w:r>
        <w:rPr>
          <w:rFonts w:ascii="Times New Roman" w:hAnsi="Times New Roman" w:eastAsia="宋体" w:cstheme="minorBidi"/>
          <w:color w:val="auto"/>
          <w:kern w:val="2"/>
          <w:sz w:val="21"/>
          <w:szCs w:val="22"/>
          <w:lang w:val="en-US" w:eastAsia="zh-CN" w:bidi="ar-SA"/>
        </w:rPr>
        <w:t>行为暴露</w:t>
      </w:r>
      <w:r>
        <w:rPr>
          <w:rFonts w:hint="eastAsia" w:ascii="Times New Roman" w:hAnsi="Times New Roman" w:eastAsia="宋体" w:cstheme="minorBidi"/>
          <w:color w:val="auto"/>
          <w:kern w:val="2"/>
          <w:sz w:val="21"/>
          <w:szCs w:val="22"/>
          <w:lang w:val="en-US" w:eastAsia="zh-CN" w:bidi="ar-SA"/>
        </w:rPr>
        <w:t>、</w:t>
      </w:r>
      <w:r>
        <w:rPr>
          <w:rFonts w:ascii="Times New Roman" w:hAnsi="Times New Roman" w:eastAsia="宋体" w:cstheme="minorBidi"/>
          <w:color w:val="auto"/>
          <w:kern w:val="2"/>
          <w:sz w:val="21"/>
          <w:szCs w:val="22"/>
          <w:lang w:val="en-US" w:eastAsia="zh-CN" w:bidi="ar-SA"/>
        </w:rPr>
        <w:t>肿瘤治疗强度共同构成术前风险基础。</w:t>
      </w:r>
    </w:p>
    <w:p w14:paraId="4CBB57EE">
      <w:pPr>
        <w:widowControl w:val="0"/>
        <w:spacing w:line="360" w:lineRule="auto"/>
        <w:ind w:firstLine="420" w:firstLineChars="200"/>
        <w:jc w:val="both"/>
        <w:rPr>
          <w:rFonts w:ascii="Times New Roman" w:hAnsi="Times New Roman" w:eastAsia="宋体" w:cstheme="minorBidi"/>
          <w:color w:val="auto"/>
          <w:kern w:val="2"/>
          <w:sz w:val="21"/>
          <w:szCs w:val="22"/>
          <w:lang w:val="en-US" w:eastAsia="zh-CN" w:bidi="ar-SA"/>
        </w:rPr>
      </w:pPr>
      <w:r>
        <w:rPr>
          <w:rFonts w:ascii="Times New Roman" w:hAnsi="Times New Roman" w:eastAsia="宋体" w:cstheme="minorBidi"/>
          <w:color w:val="auto"/>
          <w:kern w:val="2"/>
          <w:sz w:val="21"/>
          <w:szCs w:val="22"/>
          <w:lang w:val="en-US" w:eastAsia="zh-CN" w:bidi="ar-SA"/>
        </w:rPr>
        <w:t>临床上，术前阶段可据此开展分层干预：对于存在饮酒史、既往接受同步放化疗以及血红蛋白偏低患者，建议优先进行呼吸道准备、围术期感染预防强化及贫血纠正等管理，以降低术后肺部感染发生风险。</w:t>
      </w:r>
    </w:p>
    <w:p w14:paraId="41E5289A">
      <w:pPr>
        <w:widowControl w:val="0"/>
        <w:spacing w:line="360" w:lineRule="auto"/>
        <w:ind w:firstLine="420" w:firstLineChars="200"/>
        <w:jc w:val="both"/>
        <w:rPr>
          <w:rFonts w:ascii="Times New Roman" w:hAnsi="Times New Roman" w:eastAsia="宋体" w:cstheme="minorBidi"/>
          <w:color w:val="auto"/>
          <w:kern w:val="2"/>
          <w:sz w:val="21"/>
          <w:szCs w:val="22"/>
          <w:lang w:val="en-US" w:eastAsia="zh-CN" w:bidi="ar-SA"/>
        </w:rPr>
      </w:pPr>
      <w:r>
        <w:rPr>
          <w:rFonts w:hint="default" w:ascii="Times New Roman" w:hAnsi="Times New Roman" w:eastAsia="宋体" w:cstheme="minorBidi"/>
          <w:color w:val="auto"/>
          <w:kern w:val="2"/>
          <w:sz w:val="21"/>
          <w:szCs w:val="22"/>
          <w:lang w:val="en-US" w:eastAsia="zh-CN" w:bidi="ar-SA"/>
        </w:rPr>
        <w:t>在术前变量场景中，经 LASSO 初筛与多因素 Logistic 回归后，最终识别出 3 个独立预测因素：PreopConcurrentCRT、PreopHGB 和 Diabetes。PreopConcurrentCRT 的 OR=3.22（95%CI：1.36–7.64，P=0.004），提示术前同步放化疗患者术后感染风险显著升高，可能与放化疗相关黏膜屏障受损、骨髓抑制及营养消耗导致的免疫防御下降有关。PreopHGB 的 OR=0.986（95%CI：0.979–0.993，P&lt;0.001），提示血红蛋白越低，PPI 风险越高；贫血状态可能通过降低组织氧供和黏膜修复能力，增加术后肺部易感性。Diabetes 的 OR=2.58（95%CI：1.07–6.22，P=0.017），说明糖代谢异常同样是关键术前危险因素，其机制与高血糖相关中性粒细胞功能受损、微循环灌注下降及病原体清除能力减弱一致。</w:t>
      </w:r>
    </w:p>
    <w:p w14:paraId="658DCE5D">
      <w:pPr>
        <w:widowControl w:val="0"/>
        <w:spacing w:line="360" w:lineRule="auto"/>
        <w:ind w:firstLine="420" w:firstLineChars="200"/>
        <w:jc w:val="both"/>
        <w:rPr>
          <w:rFonts w:hint="default" w:ascii="Times New Roman" w:hAnsi="Times New Roman" w:eastAsia="宋体" w:cstheme="minorBidi"/>
          <w:color w:val="auto"/>
          <w:kern w:val="2"/>
          <w:sz w:val="21"/>
          <w:szCs w:val="22"/>
          <w:lang w:val="en-US" w:eastAsia="zh-CN" w:bidi="ar-SA"/>
        </w:rPr>
      </w:pPr>
      <w:r>
        <w:rPr>
          <w:rFonts w:hint="default" w:ascii="Times New Roman" w:hAnsi="Times New Roman" w:eastAsia="宋体" w:cstheme="minorBidi"/>
          <w:color w:val="auto"/>
          <w:kern w:val="2"/>
          <w:sz w:val="21"/>
          <w:szCs w:val="22"/>
          <w:lang w:val="en-US" w:eastAsia="zh-CN" w:bidi="ar-SA"/>
        </w:rPr>
        <w:t>上述结果提示，头颈癌患者的术前风险基础主要由“治疗强度（PreopConcurrentCRT）—机体储备（PreopHGB）—代谢免疫状态（Diabetes）”共同决定。临床上可据此开展分层干预：对接受同步放化疗者，强化围术期口咽部管理与抗感染监测；对贫血患者，术前进行营养支持与血红蛋白优化；对糖尿病患者，实施更严格的围术期血糖管理和肺部康复训练，从而在手术前窗口期降低可干预风险。</w:t>
      </w:r>
    </w:p>
    <w:p w14:paraId="11E85A3F">
      <w:pPr>
        <w:widowControl w:val="0"/>
        <w:spacing w:line="360" w:lineRule="auto"/>
        <w:ind w:firstLine="420" w:firstLineChars="200"/>
        <w:jc w:val="both"/>
        <w:rPr>
          <w:rFonts w:ascii="Times New Roman" w:hAnsi="Times New Roman" w:eastAsia="宋体" w:cstheme="minorBidi"/>
          <w:color w:val="auto"/>
          <w:kern w:val="2"/>
          <w:sz w:val="21"/>
          <w:szCs w:val="22"/>
          <w:lang w:val="en-US" w:eastAsia="zh-CN" w:bidi="ar-SA"/>
        </w:rPr>
      </w:pPr>
    </w:p>
    <w:p w14:paraId="5C6F2D5F">
      <w:pPr>
        <w:pStyle w:val="3"/>
        <w:spacing w:before="156" w:after="156"/>
        <w:rPr>
          <w:color w:val="auto"/>
        </w:rPr>
      </w:pPr>
      <w:r>
        <w:rPr>
          <w:color w:val="auto"/>
        </w:rPr>
        <w:t>术中</w:t>
      </w:r>
      <w:r>
        <w:rPr>
          <w:rFonts w:hint="eastAsia"/>
          <w:color w:val="auto"/>
        </w:rPr>
        <w:t>和术后</w:t>
      </w:r>
      <w:r>
        <w:rPr>
          <w:color w:val="auto"/>
        </w:rPr>
        <w:t>独立危险因素分析</w:t>
      </w:r>
    </w:p>
    <w:p w14:paraId="1ED1937E">
      <w:pPr>
        <w:ind w:firstLine="420"/>
        <w:rPr>
          <w:rFonts w:ascii="Times New Roman" w:hAnsi="Times New Roman" w:cs="Times New Roman"/>
          <w:color w:val="auto"/>
        </w:rPr>
      </w:pPr>
      <w:r>
        <w:rPr>
          <w:rFonts w:ascii="Times New Roman" w:hAnsi="Times New Roman" w:cs="Times New Roman"/>
          <w:color w:val="auto"/>
        </w:rPr>
        <w:t>在围手术期模型中，与术中/术后过程直接相关并达到统计学显著性的独立因素主要包括OperationDurationMin、NeckDissection及Tracheostomy。其中，OperationDurationMin为连续风险因子，提示手术时间越长，PPI 风险越高；其机制可能与手术暴露时间延长、组织应激累积及围术期感染防御能力下降相关。NeckDissection与风险升高相关，提示更大范围颈部操作可能带来更高的术后呼吸道并发症负担。</w:t>
      </w:r>
    </w:p>
    <w:p w14:paraId="51FEE5F4">
      <w:pPr>
        <w:ind w:firstLine="420"/>
        <w:rPr>
          <w:rFonts w:ascii="Times New Roman" w:hAnsi="Times New Roman" w:cs="Times New Roman"/>
          <w:color w:val="auto"/>
        </w:rPr>
      </w:pPr>
      <w:r>
        <w:rPr>
          <w:rFonts w:ascii="Times New Roman" w:hAnsi="Times New Roman" w:cs="Times New Roman"/>
          <w:color w:val="auto"/>
        </w:rPr>
        <w:t>值得注意的是，Tracheostomy 在当前多因素模型中呈负向关联。这一结果提示，在本队列中，规范化气道管理可能降低部分高危患者的术后肺部并发症风险。</w:t>
      </w:r>
    </w:p>
    <w:p w14:paraId="3D5113AB">
      <w:pPr>
        <w:ind w:firstLine="420"/>
        <w:rPr>
          <w:rFonts w:ascii="Times New Roman" w:hAnsi="Times New Roman" w:cs="Times New Roman"/>
          <w:color w:val="auto"/>
        </w:rPr>
      </w:pPr>
    </w:p>
    <w:p w14:paraId="3BC7F8C0">
      <w:pPr>
        <w:ind w:firstLine="420"/>
        <w:rPr>
          <w:rFonts w:ascii="Times New Roman" w:hAnsi="Times New Roman" w:cs="Times New Roman"/>
          <w:color w:val="auto"/>
        </w:rPr>
      </w:pPr>
      <w:r>
        <w:rPr>
          <w:rFonts w:hint="default" w:ascii="Times New Roman" w:hAnsi="Times New Roman" w:cs="Times New Roman"/>
          <w:color w:val="auto"/>
        </w:rPr>
        <w:t>在围手术期模型中，独立危险因素扩展为 5 项：PreopConcurrentCRT、OperationDurationMin、Tracheostomy、NeckDissection 及 AlcoholHistory。其中特别值得关注的是，PreopConcurrentCRT 在围手术期模型中仍保持显著（OR=3.19，95%CI：1.24–8.17，P=0.008），说明术前治疗带来的脆弱性会持续影响术后感染结局。OperationDurationMin 为连续风险因子（OR=1.004/每分钟，95%CI：1.001–1.008，P=0.010），按 60 分钟累积效应估算，风险约增加 27%（1.004^60≈1.27），提示手术时间管理是可量化、可执行的关键控制点。NeckDissection 的 OR=2.34（95%CI：0.99–5.53，P=0.026），提示更大范围颈部操作与术后呼吸道并发症负担增加相关。AlcoholHistory 的 OR=1.97（95%CI：0.88–4.41，P=0.049），提示长期饮酒相关的气道防御功能受损和营养状态下降可能在围手术期被进一步放大。</w:t>
      </w:r>
    </w:p>
    <w:p w14:paraId="01F2C4DE">
      <w:pPr>
        <w:ind w:firstLine="420"/>
        <w:rPr>
          <w:rFonts w:hint="default" w:ascii="Times New Roman" w:hAnsi="Times New Roman" w:cs="Times New Roman"/>
          <w:color w:val="auto"/>
        </w:rPr>
      </w:pPr>
      <w:r>
        <w:rPr>
          <w:rFonts w:hint="default" w:ascii="Times New Roman" w:hAnsi="Times New Roman" w:cs="Times New Roman"/>
          <w:color w:val="auto"/>
        </w:rPr>
        <w:t>Tracheostomy 在当前模型中呈保护性方向（OR=0.153，95%CI：0.027–0.859，P=0.017）。这一结果更可能反映“规范化气道管理”在高风险患者中的净获益：对预计气道水肿、分泌物负荷高或需加强气道保护的患者，早期标准化气管造瘘可改善排痰效率、降低误吸概率并减少反复紧急插管所致损伤。结合 SHAP 结果，围手术期变量对模型输出的推动强于单纯术前变量，进一步支持了“术前易感性 + 围手术期事件叠加”这一风险形成机制。</w:t>
      </w:r>
    </w:p>
    <w:p w14:paraId="048C73D2">
      <w:pPr>
        <w:ind w:firstLine="420"/>
        <w:rPr>
          <w:rFonts w:ascii="Times New Roman" w:hAnsi="Times New Roman" w:cs="Times New Roman"/>
          <w:color w:val="auto"/>
        </w:rPr>
      </w:pPr>
    </w:p>
    <w:p w14:paraId="1316B286">
      <w:pPr>
        <w:pStyle w:val="3"/>
        <w:spacing w:before="156" w:after="156"/>
        <w:rPr>
          <w:color w:val="auto"/>
        </w:rPr>
      </w:pPr>
      <w:r>
        <w:rPr>
          <w:rFonts w:hint="eastAsia"/>
          <w:color w:val="auto"/>
          <w:lang w:val="en-US" w:eastAsia="zh-CN"/>
        </w:rPr>
        <w:t>原始数据不平衡</w:t>
      </w:r>
      <w:r>
        <w:rPr>
          <w:color w:val="auto"/>
        </w:rPr>
        <w:t>分析</w:t>
      </w:r>
    </w:p>
    <w:p w14:paraId="1FE8A8CC">
      <w:pPr>
        <w:rPr>
          <w:rFonts w:ascii="Times New Roman" w:hAnsi="Times New Roman" w:cs="Times New Roman"/>
          <w:color w:val="auto"/>
        </w:rPr>
      </w:pPr>
      <w:r>
        <w:rPr>
          <w:rFonts w:hint="default" w:ascii="Times New Roman" w:hAnsi="Times New Roman" w:cs="Times New Roman"/>
          <w:color w:val="auto"/>
        </w:rPr>
        <w:t>原始数据存在显著类别不平衡：PPI 阳性比例仅 1.77%（约 43/2430），阴性约 98.23%；分层抽样后训练集阳性约 30/1701（1.76%），测试集阳性约 13/729（1.78%）。在该分布下，若仅追求总体准确率，模型容易偏向预测“未感染”，从而出现“高准确率但低召回率”的假优表现；因此本研究除 ROC-AUC 外，额外报告 PR-AUC、F1、敏感性及约登指数，用于更真实评估少数类识别能力。</w:t>
      </w:r>
    </w:p>
    <w:p w14:paraId="3B90F1FA">
      <w:pPr>
        <w:rPr>
          <w:rFonts w:hint="default" w:ascii="Times New Roman" w:hAnsi="Times New Roman" w:cs="Times New Roman"/>
          <w:color w:val="auto"/>
        </w:rPr>
      </w:pPr>
      <w:r>
        <w:rPr>
          <w:rFonts w:hint="default" w:ascii="Times New Roman" w:hAnsi="Times New Roman" w:cs="Times New Roman"/>
          <w:color w:val="auto"/>
        </w:rPr>
        <w:t>针对不平衡数据，本研究采用了“数据层 + 算法层 + 评估层”三重处理策略。数据层面：在建模前先进行分层划分（stratify），确保训练/测试集中阳性比例与总体一致，避免随机切分造成阳性样本漂移；在训练流程中仅对训练集执行 SMOTE（sampling_strategy=0.2），将少数类扩增至可学习区间，防止测试集信息泄漏。算法层面：GLM、RF、SVM 统一使用 class_weight="balanced"，XGB 使用 scale_pos_weight=neg/pos，以损失函数重加权提升少数类学习强度。评估与决策层面：采用固定阈值 0.4 进行临床场景下的灵敏度-特异度折中，并以 PR-AUC 作为模型排序的重要依据，最终围手术期模型 AUC 提升至 0.84–0.88 区间，说明不平衡处理策略有效改善了对高风险患者的识别能力。</w:t>
      </w:r>
    </w:p>
    <w:p w14:paraId="72D325C2">
      <w:pPr>
        <w:rPr>
          <w:rFonts w:ascii="Times New Roman" w:hAnsi="Times New Roman" w:cs="Times New Roman"/>
          <w:color w:val="auto"/>
        </w:rPr>
      </w:pPr>
    </w:p>
    <w:p w14:paraId="2546FAA2">
      <w:pPr>
        <w:pStyle w:val="2"/>
        <w:spacing w:before="156" w:after="156" w:line="360" w:lineRule="auto"/>
        <w:rPr>
          <w:rFonts w:ascii="Times New Roman" w:hAnsi="Times New Roman" w:eastAsia="宋体"/>
          <w:color w:val="auto"/>
          <w:lang w:eastAsia="zh-CN"/>
        </w:rPr>
      </w:pPr>
      <w:r>
        <w:rPr>
          <w:rFonts w:ascii="Times New Roman" w:hAnsi="Times New Roman" w:eastAsia="宋体"/>
          <w:color w:val="auto"/>
          <w:lang w:eastAsia="zh-CN"/>
        </w:rPr>
        <w:t>总结与展望</w:t>
      </w:r>
    </w:p>
    <w:p w14:paraId="033A51E7">
      <w:pPr>
        <w:ind w:firstLine="420"/>
        <w:rPr>
          <w:rFonts w:ascii="Times New Roman" w:hAnsi="Times New Roman" w:cs="Times New Roman"/>
          <w:color w:val="auto"/>
        </w:rPr>
      </w:pPr>
      <w:r>
        <w:rPr>
          <w:rFonts w:ascii="Times New Roman" w:hAnsi="Times New Roman" w:cs="Times New Roman"/>
          <w:color w:val="auto"/>
        </w:rPr>
        <w:t>本研究基于中国医学科学院肿瘤医院</w:t>
      </w:r>
      <w:r>
        <w:rPr>
          <w:rFonts w:ascii="Times New Roman" w:hAnsi="Times New Roman" w:cs="Times New Roman"/>
          <w:color w:val="auto"/>
        </w:rPr>
        <w:t>20</w:t>
      </w:r>
      <w:r>
        <w:rPr>
          <w:rFonts w:hint="eastAsia" w:ascii="Times New Roman" w:hAnsi="Times New Roman" w:cs="Times New Roman"/>
          <w:color w:val="auto"/>
          <w:lang w:val="en-US" w:eastAsia="zh-CN"/>
        </w:rPr>
        <w:t>18</w:t>
      </w:r>
      <w:r>
        <w:rPr>
          <w:rFonts w:ascii="Times New Roman" w:hAnsi="Times New Roman" w:cs="Times New Roman"/>
          <w:color w:val="auto"/>
        </w:rPr>
        <w:t>年1</w:t>
      </w:r>
      <w:r>
        <w:rPr>
          <w:rFonts w:hint="eastAsia" w:ascii="Times New Roman" w:hAnsi="Times New Roman" w:cs="Times New Roman"/>
          <w:color w:val="auto"/>
          <w:lang w:val="en-US" w:eastAsia="zh-CN"/>
        </w:rPr>
        <w:t>1</w:t>
      </w:r>
      <w:r>
        <w:rPr>
          <w:rFonts w:ascii="Times New Roman" w:hAnsi="Times New Roman" w:cs="Times New Roman"/>
          <w:color w:val="auto"/>
        </w:rPr>
        <w:t>月至2024年08月期间</w:t>
      </w:r>
      <w:r>
        <w:rPr>
          <w:rFonts w:ascii="Times New Roman" w:hAnsi="Times New Roman" w:cs="Times New Roman"/>
          <w:color w:val="auto"/>
        </w:rPr>
        <w:t>2</w:t>
      </w:r>
      <w:r>
        <w:rPr>
          <w:rFonts w:hint="eastAsia" w:ascii="Times New Roman" w:hAnsi="Times New Roman" w:cs="Times New Roman"/>
          <w:color w:val="auto"/>
          <w:lang w:val="en-US" w:eastAsia="zh-CN"/>
        </w:rPr>
        <w:t>430</w:t>
      </w:r>
      <w:r>
        <w:rPr>
          <w:rFonts w:ascii="Times New Roman" w:hAnsi="Times New Roman" w:cs="Times New Roman"/>
          <w:color w:val="auto"/>
        </w:rPr>
        <w:t>例</w:t>
      </w:r>
      <w:r>
        <w:rPr>
          <w:rFonts w:hint="eastAsia" w:ascii="Times New Roman" w:hAnsi="Times New Roman" w:cs="Times New Roman"/>
          <w:color w:val="auto"/>
          <w:lang w:eastAsia="zh-CN"/>
        </w:rPr>
        <w:t>头颈</w:t>
      </w:r>
      <w:r>
        <w:rPr>
          <w:rFonts w:ascii="Times New Roman" w:hAnsi="Times New Roman" w:cs="Times New Roman"/>
          <w:color w:val="auto"/>
        </w:rPr>
        <w:t>癌患者的回顾性队列数据，构建并比较了术前与围手术期两阶段 PPI 预测框架。术前阶段经变量筛选后形成 3 变量模型（PreopConcurrentCRT、PreopHGB、AlcoholHistory），各算法测试集 AUC 约为 0.6</w:t>
      </w:r>
      <w:r>
        <w:rPr>
          <w:rFonts w:hint="eastAsia" w:ascii="Times New Roman" w:hAnsi="Times New Roman" w:cs="Times New Roman"/>
          <w:color w:val="auto"/>
          <w:lang w:val="en-US" w:eastAsia="zh-CN"/>
        </w:rPr>
        <w:t>0</w:t>
      </w:r>
      <w:r>
        <w:rPr>
          <w:rFonts w:ascii="Times New Roman" w:hAnsi="Times New Roman" w:cs="Times New Roman"/>
          <w:color w:val="auto"/>
        </w:rPr>
        <w:t>–0.</w:t>
      </w:r>
      <w:r>
        <w:rPr>
          <w:rFonts w:hint="eastAsia" w:ascii="Times New Roman" w:hAnsi="Times New Roman" w:cs="Times New Roman"/>
          <w:color w:val="auto"/>
          <w:lang w:val="en-US" w:eastAsia="zh-CN"/>
        </w:rPr>
        <w:t>76</w:t>
      </w:r>
      <w:r>
        <w:rPr>
          <w:rFonts w:ascii="Times New Roman" w:hAnsi="Times New Roman" w:cs="Times New Roman"/>
          <w:color w:val="auto"/>
        </w:rPr>
        <w:t>；围手术期阶段在此基础上扩展为 5 变量模型（PreopConcurrentCRT、OperationDurationMin、Tracheostomy、NeckDissection、AlcoholHistory），测试集 AUC 提升至约 0.</w:t>
      </w:r>
      <w:r>
        <w:rPr>
          <w:rFonts w:hint="eastAsia" w:ascii="Times New Roman" w:hAnsi="Times New Roman" w:cs="Times New Roman"/>
          <w:color w:val="auto"/>
          <w:lang w:val="en-US" w:eastAsia="zh-CN"/>
        </w:rPr>
        <w:t>78</w:t>
      </w:r>
      <w:r>
        <w:rPr>
          <w:rFonts w:ascii="Times New Roman" w:hAnsi="Times New Roman" w:cs="Times New Roman"/>
          <w:color w:val="auto"/>
        </w:rPr>
        <w:t>–0.8</w:t>
      </w:r>
      <w:r>
        <w:rPr>
          <w:rFonts w:hint="eastAsia" w:ascii="Times New Roman" w:hAnsi="Times New Roman" w:cs="Times New Roman"/>
          <w:color w:val="auto"/>
          <w:lang w:val="en-US" w:eastAsia="zh-CN"/>
        </w:rPr>
        <w:t>2</w:t>
      </w:r>
      <w:r>
        <w:rPr>
          <w:rFonts w:ascii="Times New Roman" w:hAnsi="Times New Roman" w:cs="Times New Roman"/>
          <w:color w:val="auto"/>
        </w:rPr>
        <w:t>，提示围手术期信息能够显著增强风险识别能力。就 GBM 而言，术前模型测试集 AUC 为 0.</w:t>
      </w:r>
      <w:r>
        <w:rPr>
          <w:rFonts w:hint="eastAsia" w:ascii="Times New Roman" w:hAnsi="Times New Roman" w:cs="Times New Roman"/>
          <w:color w:val="auto"/>
          <w:lang w:val="en-US" w:eastAsia="zh-CN"/>
        </w:rPr>
        <w:t>58</w:t>
      </w:r>
      <w:r>
        <w:rPr>
          <w:rFonts w:ascii="Times New Roman" w:hAnsi="Times New Roman" w:cs="Times New Roman"/>
          <w:color w:val="auto"/>
        </w:rPr>
        <w:t>，围手术期模型测试集 AUC 为 0.8</w:t>
      </w:r>
      <w:r>
        <w:rPr>
          <w:rFonts w:hint="eastAsia" w:ascii="Times New Roman" w:hAnsi="Times New Roman" w:cs="Times New Roman"/>
          <w:color w:val="auto"/>
          <w:lang w:val="en-US" w:eastAsia="zh-CN"/>
        </w:rPr>
        <w:t>2</w:t>
      </w:r>
      <w:r>
        <w:rPr>
          <w:rFonts w:ascii="Times New Roman" w:hAnsi="Times New Roman" w:cs="Times New Roman"/>
          <w:color w:val="auto"/>
        </w:rPr>
        <w:t xml:space="preserve">；其围手术期敏感性为 </w:t>
      </w:r>
      <w:r>
        <w:rPr>
          <w:rFonts w:hint="eastAsia" w:ascii="Times New Roman" w:hAnsi="Times New Roman" w:cs="Times New Roman"/>
          <w:color w:val="auto"/>
          <w:lang w:val="en-US" w:eastAsia="zh-CN"/>
        </w:rPr>
        <w:t>61.54</w:t>
      </w:r>
      <w:r>
        <w:rPr>
          <w:rFonts w:ascii="Times New Roman" w:hAnsi="Times New Roman" w:cs="Times New Roman"/>
          <w:color w:val="auto"/>
        </w:rPr>
        <w:t>%，更适用于高风险患者的前瞻性筛查与分层管理。</w:t>
      </w:r>
    </w:p>
    <w:p w14:paraId="27AE1025">
      <w:pPr>
        <w:ind w:firstLine="420"/>
        <w:rPr>
          <w:rFonts w:ascii="Times New Roman" w:hAnsi="Times New Roman" w:cs="Times New Roman"/>
          <w:color w:val="auto"/>
        </w:rPr>
      </w:pPr>
      <w:r>
        <w:rPr>
          <w:rFonts w:ascii="Times New Roman" w:hAnsi="Times New Roman" w:cs="Times New Roman"/>
          <w:color w:val="auto"/>
        </w:rPr>
        <w:t>尽管本研究展示了机器学习在</w:t>
      </w:r>
      <w:r>
        <w:rPr>
          <w:rFonts w:hint="eastAsia" w:ascii="Times New Roman" w:hAnsi="Times New Roman" w:cs="Times New Roman"/>
          <w:color w:val="auto"/>
          <w:lang w:eastAsia="zh-CN"/>
        </w:rPr>
        <w:t>头颈</w:t>
      </w:r>
      <w:r>
        <w:rPr>
          <w:rFonts w:ascii="Times New Roman" w:hAnsi="Times New Roman" w:cs="Times New Roman"/>
          <w:color w:val="auto"/>
        </w:rPr>
        <w:t>癌PPI预测中的潜力，但仍存在局限性，如单中心小样本设计可能限制模型泛化能力，且未纳入肿瘤分期、营养状态或基因组学变量等肿瘤特异性因素。未来研究可扩展至多中心、大样本前瞻性队列</w:t>
      </w:r>
      <w:r>
        <w:rPr>
          <w:rFonts w:ascii="Times New Roman" w:hAnsi="Times New Roman" w:cs="Times New Roman"/>
          <w:color w:val="auto"/>
        </w:rPr>
        <w:fldChar w:fldCharType="begin"/>
      </w:r>
      <w:r>
        <w:rPr>
          <w:rFonts w:ascii="Times New Roman" w:hAnsi="Times New Roman" w:cs="Times New Roman"/>
          <w:color w:val="auto"/>
        </w:rPr>
        <w:instrText xml:space="preserve"> ADDIN ZOTERO_ITEM CSL_CITATION {"citationID":"XDsRGDtf","properties":{"formattedCitation":"\\super [26]\\nosupersub{}","plainCitation":"[26]","noteIndex":0},"citationItems":[{"id":867,"uris":["http://zotero.org/users/16461411/items/TNFLHMG9"],"itemData":</w:instrText>
      </w:r>
      <w:r>
        <w:rPr>
          <w:rFonts w:hint="eastAsia" w:ascii="Times New Roman" w:hAnsi="Times New Roman" w:cs="Times New Roman"/>
          <w:color w:val="auto"/>
        </w:rPr>
        <w:instrText xml:space="preserve">{"id":867,"type":"article-journal","abstract":"目的 本研究通过机器学习（ML）建立较优的ICU患者耐碳青霉烯类鲍曼不动杆菌（CRAB）感染预测模型,为临床医生做出诊断和决策提供帮助。方法 收集2017年1月1日—2024年12月31日入住某三甲医院ICU住院患者临床资料,将数据按照7:3比例随机分为训练集和测试集。特征变量的选择采用LASSO回归和多元逻辑回归分析联合完成。整合5种ML分类模型,分析和识别最佳模型,使用灵敏度、特异性、准确性、受试者工作特征曲线下面积（AUC）、校准曲线、Hosmer-Lemeshow检验和决策曲线（DC A）评估ICU患者CR AB感染预测模型性能。最后使用SHAP解释和排列重要性来解释ML模型的输出。结果 本研究共纳入2 904例患者,其中有695例（23.93%）患者发生CRAB感染。XGBoost模型在训练集和测试集中AUC最高（0.994和0.907）;Hosmer-Lemeshow检验结果显示,XGBoost模型校准曲线显示预测风险与观察风险高度一致（χ2=7.323、4.609,P=0.513、0.764）;DCA曲线显示XGBoost模型在整个阈值范围（0～1.0）内表现最佳,净获益最高。通过SHAP方法确定了ICU住院时间、应用替加环素、中心静脉置管、应用碳青霉烯类抗菌药物、使用呼吸机是较为重要的预测因子。结论 构建了XGBoost模型并用SHAP方法进行解释,为筛选ICU内CRAB感染高风险患者提供参考。","container-title":"中华医院感染学杂志","ISSN":"1005-4529","issue":"17","language":"zh-CN","note":"original-container-title: Chinese Journal of Nosocomiology\nstatus: advance online publication\nfoundation: 辽宁省自然科学基金计划面上项目(2024-MS-292)；\ndownload: 632\nalbum: 医药卫生科技;信息科技\nCLC: TP181;R446.5\ndbcode: CAPJ\ndbname: CAPJLAST\nfilename: ZHYY20250707006\npublicationTag: 北大核心, CAS, JST, CSCD扩展版, WJCI, 卓越期刊\nCIF: 1.596\nAIF: 1.333","page":"2586-2591","source":"CNKI","title":"基于5种机器学习算法构建ICU患者耐碳青霉烯类鲍曼不动杆菌感染风险预测模型","author":[{"literal":"贾辰"},{"literal":"高岩"},{"literal":"解夕黎"},{"literal":"赵凤"},{"literal":"秦海明"},{"literal":"王璐"}],"issued":{"date-parts":[["2025",7,7]]}}}],"schema":"https://github.com/citation-style-language/schema/raw/master/csl-citation.json"} </w:instrText>
      </w:r>
      <w:r>
        <w:rPr>
          <w:rFonts w:ascii="Times New Roman" w:hAnsi="Times New Roman" w:cs="Times New Roman"/>
          <w:color w:val="auto"/>
        </w:rPr>
        <w:fldChar w:fldCharType="separate"/>
      </w:r>
      <w:r>
        <w:rPr>
          <w:rFonts w:ascii="Times New Roman" w:hAnsi="Times New Roman" w:cs="Times New Roman"/>
          <w:color w:val="auto"/>
          <w:kern w:val="0"/>
          <w:vertAlign w:val="superscript"/>
        </w:rPr>
        <w:t>[26]</w:t>
      </w:r>
      <w:r>
        <w:rPr>
          <w:rFonts w:ascii="Times New Roman" w:hAnsi="Times New Roman" w:cs="Times New Roman"/>
          <w:color w:val="auto"/>
        </w:rPr>
        <w:fldChar w:fldCharType="end"/>
      </w:r>
      <w:r>
        <w:rPr>
          <w:rFonts w:ascii="Times New Roman" w:hAnsi="Times New Roman" w:cs="Times New Roman"/>
          <w:color w:val="auto"/>
        </w:rPr>
        <w:t>，整合电子病历实时数据，开发基于深度学习的动态预测模型，实现术中术后即时风险评估。</w:t>
      </w:r>
    </w:p>
    <w:p w14:paraId="5BAE1BE1">
      <w:pPr>
        <w:widowControl/>
        <w:shd w:val="clear" w:color="auto" w:fill="FFFFFF"/>
        <w:spacing w:before="156" w:beforeLines="50" w:after="156" w:afterLines="50"/>
        <w:ind w:firstLine="0" w:firstLineChars="0"/>
        <w:jc w:val="left"/>
        <w:rPr>
          <w:rFonts w:ascii="Times New Roman" w:hAnsi="Times New Roman" w:cs="Times New Roman"/>
          <w:b/>
          <w:bCs/>
          <w:color w:val="auto"/>
          <w:kern w:val="0"/>
          <w:sz w:val="24"/>
          <w:szCs w:val="24"/>
        </w:rPr>
      </w:pPr>
      <w:r>
        <w:rPr>
          <w:rFonts w:ascii="Times New Roman" w:hAnsi="Times New Roman" w:cs="Times New Roman"/>
          <w:b/>
          <w:bCs/>
          <w:color w:val="auto"/>
          <w:kern w:val="0"/>
          <w:sz w:val="24"/>
          <w:szCs w:val="24"/>
        </w:rPr>
        <w:t>重要声明</w:t>
      </w:r>
    </w:p>
    <w:p w14:paraId="417068AB">
      <w:pPr>
        <w:widowControl/>
        <w:shd w:val="clear" w:color="auto" w:fill="FFFFFF"/>
        <w:ind w:firstLine="360"/>
        <w:jc w:val="left"/>
        <w:rPr>
          <w:rFonts w:ascii="Times New Roman" w:hAnsi="Times New Roman" w:cs="Times New Roman"/>
          <w:color w:val="auto"/>
          <w:kern w:val="0"/>
          <w:sz w:val="18"/>
          <w:szCs w:val="18"/>
        </w:rPr>
      </w:pPr>
      <w:r>
        <w:rPr>
          <w:rFonts w:ascii="Times New Roman" w:hAnsi="Times New Roman" w:cs="Times New Roman"/>
          <w:color w:val="auto"/>
          <w:kern w:val="0"/>
          <w:sz w:val="18"/>
          <w:szCs w:val="18"/>
        </w:rPr>
        <w:t>利益冲突声明：本文全体作者均声明不存在利益冲突。</w:t>
      </w:r>
    </w:p>
    <w:p w14:paraId="106C5179">
      <w:pPr>
        <w:widowControl/>
        <w:shd w:val="clear" w:color="auto" w:fill="FFFFFF"/>
        <w:ind w:firstLine="360"/>
        <w:jc w:val="left"/>
        <w:rPr>
          <w:rFonts w:ascii="Times New Roman" w:hAnsi="Times New Roman" w:cs="Times New Roman"/>
          <w:color w:val="auto"/>
          <w:kern w:val="0"/>
          <w:sz w:val="18"/>
          <w:szCs w:val="18"/>
        </w:rPr>
      </w:pPr>
      <w:r>
        <w:rPr>
          <w:rFonts w:ascii="Times New Roman" w:hAnsi="Times New Roman" w:cs="Times New Roman"/>
          <w:color w:val="auto"/>
          <w:kern w:val="0"/>
          <w:sz w:val="18"/>
          <w:szCs w:val="18"/>
        </w:rPr>
        <w:t>作者贡献声明：</w:t>
      </w:r>
      <w:r>
        <w:rPr>
          <w:rFonts w:hint="eastAsia" w:ascii="Times New Roman" w:hAnsi="Times New Roman" w:cs="Times New Roman"/>
          <w:color w:val="auto"/>
          <w:kern w:val="0"/>
          <w:sz w:val="18"/>
          <w:szCs w:val="18"/>
        </w:rPr>
        <w:t>王</w:t>
      </w:r>
      <w:r>
        <w:rPr>
          <w:rFonts w:hint="eastAsia" w:ascii="Times New Roman" w:hAnsi="Times New Roman" w:cs="Times New Roman"/>
          <w:color w:val="auto"/>
          <w:kern w:val="0"/>
          <w:sz w:val="18"/>
          <w:szCs w:val="18"/>
          <w:lang w:val="en-US" w:eastAsia="zh-CN"/>
        </w:rPr>
        <w:t>一鸣</w:t>
      </w:r>
      <w:r>
        <w:rPr>
          <w:rFonts w:hint="eastAsia" w:ascii="Times New Roman" w:hAnsi="Times New Roman" w:cs="Times New Roman"/>
          <w:color w:val="auto"/>
          <w:kern w:val="0"/>
          <w:sz w:val="18"/>
          <w:szCs w:val="18"/>
        </w:rPr>
        <w:t>总体设计、数据处理并撰写论文、定稿；尹丽霞数据资料收集；姚博参与论文思路分析，论文修改指导；蒲江波：总体设计，论文思路指导。</w:t>
      </w:r>
    </w:p>
    <w:p w14:paraId="267E5145">
      <w:pPr>
        <w:widowControl/>
        <w:shd w:val="clear" w:color="auto" w:fill="FFFFFF"/>
        <w:ind w:firstLine="360"/>
        <w:jc w:val="left"/>
        <w:rPr>
          <w:rFonts w:ascii="Times New Roman" w:hAnsi="Times New Roman" w:cs="Times New Roman"/>
          <w:color w:val="auto"/>
          <w:kern w:val="0"/>
          <w:sz w:val="18"/>
          <w:szCs w:val="18"/>
        </w:rPr>
      </w:pPr>
      <w:r>
        <w:rPr>
          <w:rFonts w:hint="eastAsia" w:ascii="Times New Roman" w:hAnsi="Times New Roman" w:cs="Times New Roman"/>
          <w:color w:val="auto"/>
          <w:kern w:val="0"/>
          <w:sz w:val="18"/>
          <w:szCs w:val="18"/>
        </w:rPr>
        <w:t>基金项目声明：</w:t>
      </w:r>
      <w:bookmarkStart w:id="9" w:name="_Hlk218707845"/>
      <w:r>
        <w:rPr>
          <w:rFonts w:hint="eastAsia" w:ascii="Times New Roman" w:hAnsi="Times New Roman" w:cs="Times New Roman"/>
          <w:color w:val="auto"/>
          <w:kern w:val="0"/>
          <w:sz w:val="18"/>
          <w:szCs w:val="18"/>
        </w:rPr>
        <w:t>科技创新2030“脑科学与类脑研究”重大项目“脑机交互计算融合研究平台”子课题“脑信息输入-输出接口及安全伦理标准与规范研究”（2021ZD0200406）；战略性科技创新合作”专项“中美脑机接口技术与产业标准化合作”课题（2023YFE0207800）；重大协同创新项目医用机器人和生物人工器官的关键技术及应用（2021-I2M-1-058）</w:t>
      </w:r>
    </w:p>
    <w:bookmarkEnd w:id="9"/>
    <w:p w14:paraId="57009463">
      <w:pPr>
        <w:widowControl/>
        <w:shd w:val="clear" w:color="auto" w:fill="FFFFFF"/>
        <w:spacing w:before="156" w:beforeLines="50" w:after="156" w:afterLines="50"/>
        <w:ind w:firstLine="0" w:firstLineChars="0"/>
        <w:jc w:val="left"/>
        <w:rPr>
          <w:rFonts w:ascii="Times New Roman" w:hAnsi="Times New Roman" w:cs="Times New Roman"/>
          <w:b/>
          <w:bCs/>
          <w:color w:val="auto"/>
          <w:kern w:val="0"/>
          <w:sz w:val="24"/>
          <w:szCs w:val="24"/>
        </w:rPr>
      </w:pPr>
      <w:r>
        <w:rPr>
          <w:rFonts w:ascii="Times New Roman" w:hAnsi="Times New Roman" w:cs="Times New Roman"/>
          <w:b/>
          <w:bCs/>
          <w:color w:val="auto"/>
          <w:kern w:val="0"/>
          <w:sz w:val="24"/>
          <w:szCs w:val="24"/>
        </w:rPr>
        <w:t>参考文献</w:t>
      </w:r>
    </w:p>
    <w:p w14:paraId="51958C59">
      <w:pPr>
        <w:pStyle w:val="47"/>
        <w:bidi w:val="0"/>
        <w:rPr>
          <w:color w:val="auto"/>
          <w:lang w:val="en-US" w:eastAsia="zh-CN"/>
        </w:rPr>
      </w:pPr>
      <w:r>
        <w:rPr>
          <w:color w:val="auto"/>
          <w:lang w:val="en-US" w:eastAsia="zh-CN"/>
        </w:rPr>
        <w:t>[</w:t>
      </w:r>
      <w:r>
        <w:rPr>
          <w:rFonts w:hint="eastAsia"/>
          <w:color w:val="auto"/>
          <w:lang w:val="en-US" w:eastAsia="zh-CN"/>
        </w:rPr>
        <w:t>1</w:t>
      </w:r>
      <w:r>
        <w:rPr>
          <w:color w:val="auto"/>
          <w:lang w:val="en-US" w:eastAsia="zh-CN"/>
        </w:rPr>
        <w:t>]</w:t>
      </w:r>
      <w:r>
        <w:rPr>
          <w:color w:val="auto"/>
          <w:lang w:val="en-US" w:eastAsia="zh-CN"/>
        </w:rPr>
        <w:tab/>
      </w:r>
      <w:r>
        <w:rPr>
          <w:color w:val="auto"/>
          <w:lang w:val="en-US" w:eastAsia="zh-CN"/>
        </w:rPr>
        <w:t xml:space="preserve">Mordzińska-Rak, Aleksandra, Ilona Telejko, Grzegorz Adamczuk, Tomasz Trombik, Andrzej Stepulak和Ewa Błaszczak. 《Advancing Head and Neck Cancer Therapies: From Conventional Treatments to Emerging Strategies》. Biomedicines 13, 期 5 (2025): 1046. </w:t>
      </w:r>
      <w:r>
        <w:rPr>
          <w:color w:val="auto"/>
          <w:lang w:val="en-US" w:eastAsia="zh-CN"/>
        </w:rPr>
        <w:fldChar w:fldCharType="begin"/>
      </w:r>
      <w:r>
        <w:rPr>
          <w:color w:val="auto"/>
          <w:lang w:val="en-US" w:eastAsia="zh-CN"/>
        </w:rPr>
        <w:instrText xml:space="preserve"> HYPERLINK "https://doi.org/10.3390/biomedicines13051046" </w:instrText>
      </w:r>
      <w:r>
        <w:rPr>
          <w:color w:val="auto"/>
          <w:lang w:val="en-US" w:eastAsia="zh-CN"/>
        </w:rPr>
        <w:fldChar w:fldCharType="separate"/>
      </w:r>
      <w:r>
        <w:rPr>
          <w:color w:val="auto"/>
          <w:lang w:val="en-US" w:eastAsia="zh-CN"/>
        </w:rPr>
        <w:t>https://doi.org/10.3390/biomedicines13051046</w:t>
      </w:r>
      <w:r>
        <w:rPr>
          <w:color w:val="auto"/>
          <w:lang w:val="en-US" w:eastAsia="zh-CN"/>
        </w:rPr>
        <w:fldChar w:fldCharType="end"/>
      </w:r>
      <w:r>
        <w:rPr>
          <w:color w:val="auto"/>
          <w:lang w:val="en-US" w:eastAsia="zh-CN"/>
        </w:rPr>
        <w:t>.</w:t>
      </w:r>
    </w:p>
    <w:p w14:paraId="5FF35472">
      <w:pPr>
        <w:pStyle w:val="47"/>
        <w:bidi w:val="0"/>
        <w:rPr>
          <w:color w:val="auto"/>
          <w:lang w:val="en-US" w:eastAsia="zh-CN"/>
        </w:rPr>
      </w:pPr>
      <w:r>
        <w:rPr>
          <w:color w:val="auto"/>
          <w:lang w:val="en-US" w:eastAsia="zh-CN"/>
        </w:rPr>
        <w:t>[</w:t>
      </w:r>
      <w:r>
        <w:rPr>
          <w:rFonts w:hint="eastAsia"/>
          <w:color w:val="auto"/>
          <w:lang w:val="en-US" w:eastAsia="zh-CN"/>
        </w:rPr>
        <w:t>2</w:t>
      </w:r>
      <w:r>
        <w:rPr>
          <w:color w:val="auto"/>
          <w:lang w:val="en-US" w:eastAsia="zh-CN"/>
        </w:rPr>
        <w:t>]</w:t>
      </w:r>
      <w:r>
        <w:rPr>
          <w:color w:val="auto"/>
          <w:lang w:val="en-US" w:eastAsia="zh-CN"/>
        </w:rPr>
        <w:tab/>
      </w:r>
      <w:r>
        <w:rPr>
          <w:color w:val="auto"/>
          <w:lang w:val="en-US" w:eastAsia="zh-CN"/>
        </w:rPr>
        <w:t xml:space="preserve">Bray, Freddie, Mathieu Laversanne, Hyuna Sung, 等. 《Global Cancer Statistics 2022: GLOBOCAN Estimates of Incidence and Mortality Worldwide for 36 Cancers in 185 Countries》. CA: A Cancer Journal for Clinicians 74, 期 3 (2024): 229～63. </w:t>
      </w:r>
      <w:r>
        <w:rPr>
          <w:color w:val="auto"/>
          <w:lang w:val="en-US" w:eastAsia="zh-CN"/>
        </w:rPr>
        <w:fldChar w:fldCharType="begin"/>
      </w:r>
      <w:r>
        <w:rPr>
          <w:color w:val="auto"/>
          <w:lang w:val="en-US" w:eastAsia="zh-CN"/>
        </w:rPr>
        <w:instrText xml:space="preserve"> HYPERLINK "https://doi.org/10.3322/caac.21834" </w:instrText>
      </w:r>
      <w:r>
        <w:rPr>
          <w:color w:val="auto"/>
          <w:lang w:val="en-US" w:eastAsia="zh-CN"/>
        </w:rPr>
        <w:fldChar w:fldCharType="separate"/>
      </w:r>
      <w:r>
        <w:rPr>
          <w:color w:val="auto"/>
          <w:lang w:val="en-US" w:eastAsia="zh-CN"/>
        </w:rPr>
        <w:t>https://doi.org/10.3322/caac.21834</w:t>
      </w:r>
      <w:r>
        <w:rPr>
          <w:color w:val="auto"/>
          <w:lang w:val="en-US" w:eastAsia="zh-CN"/>
        </w:rPr>
        <w:fldChar w:fldCharType="end"/>
      </w:r>
      <w:r>
        <w:rPr>
          <w:color w:val="auto"/>
          <w:lang w:val="en-US" w:eastAsia="zh-CN"/>
        </w:rPr>
        <w:t>.</w:t>
      </w:r>
    </w:p>
    <w:p w14:paraId="5A00B44D">
      <w:pPr>
        <w:pStyle w:val="47"/>
        <w:bidi w:val="0"/>
        <w:rPr>
          <w:rFonts w:hint="eastAsia"/>
          <w:color w:val="auto"/>
          <w:lang w:val="en-US" w:eastAsia="zh-CN"/>
        </w:rPr>
      </w:pPr>
      <w:r>
        <w:rPr>
          <w:color w:val="auto"/>
          <w:lang w:val="en-US" w:eastAsia="zh-CN"/>
        </w:rPr>
        <w:t>[</w:t>
      </w:r>
      <w:r>
        <w:rPr>
          <w:rFonts w:hint="eastAsia"/>
          <w:color w:val="auto"/>
          <w:lang w:val="en-US" w:eastAsia="zh-CN"/>
        </w:rPr>
        <w:t>3</w:t>
      </w:r>
      <w:r>
        <w:rPr>
          <w:color w:val="auto"/>
          <w:lang w:val="en-US" w:eastAsia="zh-CN"/>
        </w:rPr>
        <w:t>]</w:t>
      </w:r>
      <w:r>
        <w:rPr>
          <w:rFonts w:hint="eastAsia"/>
          <w:color w:val="auto"/>
          <w:lang w:val="en-US" w:eastAsia="zh-CN"/>
        </w:rPr>
        <w:t>Elumalai, Karthikeyan, 和Sivaneswari Srinivasan. 《</w:t>
      </w:r>
      <w:bookmarkStart w:id="10" w:name="_GoBack"/>
      <w:bookmarkEnd w:id="10"/>
      <w:r>
        <w:rPr>
          <w:rFonts w:hint="eastAsia"/>
          <w:color w:val="auto"/>
          <w:lang w:val="en-US" w:eastAsia="zh-CN"/>
        </w:rPr>
        <w:t xml:space="preserve">Harnessing Nanoparticle Technology for Precision Medicine in Head and Neck Cancer: Targeted Delivery, Immunomodulation, and Clinical Translation》. Nano TransMed 4 (2025年12月): 100075. </w:t>
      </w:r>
      <w:r>
        <w:rPr>
          <w:rFonts w:hint="eastAsia"/>
          <w:color w:val="auto"/>
          <w:lang w:val="en-US" w:eastAsia="zh-CN"/>
        </w:rPr>
        <w:fldChar w:fldCharType="begin"/>
      </w:r>
      <w:r>
        <w:rPr>
          <w:rFonts w:hint="eastAsia"/>
          <w:color w:val="auto"/>
          <w:lang w:val="en-US" w:eastAsia="zh-CN"/>
        </w:rPr>
        <w:instrText xml:space="preserve"> HYPERLINK "https://doi.org/10.1016/j.ntm.2025.100075" </w:instrText>
      </w:r>
      <w:r>
        <w:rPr>
          <w:rFonts w:hint="eastAsia"/>
          <w:color w:val="auto"/>
          <w:lang w:val="en-US" w:eastAsia="zh-CN"/>
        </w:rPr>
        <w:fldChar w:fldCharType="separate"/>
      </w:r>
      <w:r>
        <w:rPr>
          <w:rFonts w:hint="eastAsia"/>
          <w:color w:val="auto"/>
          <w:lang w:val="en-US" w:eastAsia="zh-CN"/>
        </w:rPr>
        <w:t>https://doi.org/10.1016/j.ntm.2025.100075</w:t>
      </w:r>
      <w:r>
        <w:rPr>
          <w:rFonts w:hint="eastAsia"/>
          <w:color w:val="auto"/>
          <w:lang w:val="en-US" w:eastAsia="zh-CN"/>
        </w:rPr>
        <w:fldChar w:fldCharType="end"/>
      </w:r>
      <w:r>
        <w:rPr>
          <w:rFonts w:hint="eastAsia"/>
          <w:color w:val="auto"/>
          <w:lang w:val="en-US" w:eastAsia="zh-CN"/>
        </w:rPr>
        <w:t>.</w:t>
      </w:r>
    </w:p>
    <w:p w14:paraId="6F95878E">
      <w:pPr>
        <w:pStyle w:val="47"/>
        <w:bidi w:val="0"/>
        <w:rPr>
          <w:rFonts w:hint="eastAsia"/>
          <w:color w:val="auto"/>
          <w:lang w:val="en-US" w:eastAsia="zh-CN"/>
        </w:rPr>
      </w:pPr>
      <w:r>
        <w:rPr>
          <w:color w:val="auto"/>
          <w:lang w:val="en-US" w:eastAsia="zh-CN"/>
        </w:rPr>
        <w:t>[</w:t>
      </w:r>
      <w:r>
        <w:rPr>
          <w:rFonts w:hint="eastAsia"/>
          <w:color w:val="auto"/>
          <w:lang w:val="en-US" w:eastAsia="zh-CN"/>
        </w:rPr>
        <w:t>4</w:t>
      </w:r>
      <w:r>
        <w:rPr>
          <w:color w:val="auto"/>
          <w:lang w:val="en-US" w:eastAsia="zh-CN"/>
        </w:rPr>
        <w:t>]</w:t>
      </w:r>
      <w:r>
        <w:rPr>
          <w:rFonts w:hint="eastAsia"/>
          <w:color w:val="auto"/>
          <w:lang w:val="en-US" w:eastAsia="zh-CN"/>
        </w:rPr>
        <w:t xml:space="preserve">Borne, Grant, Mark Knackstedt, Isabella Fabian, 等. 《Postoperative Pneumonia in Major Head and Neck Cancer Surgery》. Head &amp; Neck 47, 期 9 (2025): 2439～47. </w:t>
      </w:r>
      <w:r>
        <w:rPr>
          <w:rFonts w:hint="eastAsia"/>
          <w:color w:val="auto"/>
          <w:lang w:val="en-US" w:eastAsia="zh-CN"/>
        </w:rPr>
        <w:fldChar w:fldCharType="begin"/>
      </w:r>
      <w:r>
        <w:rPr>
          <w:rFonts w:hint="eastAsia"/>
          <w:color w:val="auto"/>
          <w:lang w:val="en-US" w:eastAsia="zh-CN"/>
        </w:rPr>
        <w:instrText xml:space="preserve"> HYPERLINK "https://doi.org/10.1002/hed.28160" </w:instrText>
      </w:r>
      <w:r>
        <w:rPr>
          <w:rFonts w:hint="eastAsia"/>
          <w:color w:val="auto"/>
          <w:lang w:val="en-US" w:eastAsia="zh-CN"/>
        </w:rPr>
        <w:fldChar w:fldCharType="separate"/>
      </w:r>
      <w:r>
        <w:rPr>
          <w:rFonts w:hint="eastAsia"/>
          <w:color w:val="auto"/>
          <w:lang w:val="en-US" w:eastAsia="zh-CN"/>
        </w:rPr>
        <w:t>https://doi.org/10.1002/hed.28160</w:t>
      </w:r>
      <w:r>
        <w:rPr>
          <w:rFonts w:hint="eastAsia"/>
          <w:color w:val="auto"/>
          <w:lang w:val="en-US" w:eastAsia="zh-CN"/>
        </w:rPr>
        <w:fldChar w:fldCharType="end"/>
      </w:r>
      <w:r>
        <w:rPr>
          <w:rFonts w:hint="eastAsia"/>
          <w:color w:val="auto"/>
          <w:lang w:val="en-US" w:eastAsia="zh-CN"/>
        </w:rPr>
        <w:t>.</w:t>
      </w:r>
    </w:p>
    <w:p w14:paraId="40141EFB">
      <w:pPr>
        <w:pStyle w:val="47"/>
        <w:bidi w:val="0"/>
        <w:rPr>
          <w:color w:val="auto"/>
          <w:lang w:val="en-US" w:eastAsia="zh-CN"/>
        </w:rPr>
      </w:pPr>
      <w:r>
        <w:rPr>
          <w:rFonts w:hint="eastAsia"/>
          <w:color w:val="auto"/>
          <w:lang w:val="en-US" w:eastAsia="zh-CN"/>
        </w:rPr>
        <w:t>[5]</w:t>
      </w:r>
      <w:r>
        <w:rPr>
          <w:color w:val="auto"/>
          <w:lang w:val="en-US" w:eastAsia="zh-CN"/>
        </w:rPr>
        <w:t xml:space="preserve">Yu, Victoria X., Sallie Long和Andrew Tassler. 《Smoking and Head and Neck Cancer》. JAMA Otolaryngology–Head &amp; Neck Surgery 149, 期 5 (2023): 470. </w:t>
      </w:r>
      <w:r>
        <w:rPr>
          <w:color w:val="auto"/>
          <w:lang w:val="en-US" w:eastAsia="zh-CN"/>
        </w:rPr>
        <w:fldChar w:fldCharType="begin"/>
      </w:r>
      <w:r>
        <w:rPr>
          <w:color w:val="auto"/>
          <w:lang w:val="en-US" w:eastAsia="zh-CN"/>
        </w:rPr>
        <w:instrText xml:space="preserve"> HYPERLINK "https://doi.org/10.1001/jamaoto.2023.0195" </w:instrText>
      </w:r>
      <w:r>
        <w:rPr>
          <w:color w:val="auto"/>
          <w:lang w:val="en-US" w:eastAsia="zh-CN"/>
        </w:rPr>
        <w:fldChar w:fldCharType="separate"/>
      </w:r>
      <w:r>
        <w:rPr>
          <w:color w:val="auto"/>
          <w:lang w:val="en-US" w:eastAsia="zh-CN"/>
        </w:rPr>
        <w:t>https://doi.org/10.1001/jamaoto.2023.0195</w:t>
      </w:r>
      <w:r>
        <w:rPr>
          <w:color w:val="auto"/>
          <w:lang w:val="en-US" w:eastAsia="zh-CN"/>
        </w:rPr>
        <w:fldChar w:fldCharType="end"/>
      </w:r>
      <w:r>
        <w:rPr>
          <w:color w:val="auto"/>
          <w:lang w:val="en-US" w:eastAsia="zh-CN"/>
        </w:rPr>
        <w:t>.</w:t>
      </w:r>
    </w:p>
    <w:p w14:paraId="5B8772A8">
      <w:pPr>
        <w:pStyle w:val="47"/>
        <w:bidi w:val="0"/>
        <w:rPr>
          <w:rFonts w:hint="default"/>
          <w:color w:val="auto"/>
          <w:lang w:val="en-US" w:eastAsia="zh-CN"/>
        </w:rPr>
      </w:pPr>
      <w:r>
        <w:rPr>
          <w:rFonts w:hint="eastAsia"/>
          <w:color w:val="auto"/>
          <w:lang w:val="en-US" w:eastAsia="zh-CN"/>
        </w:rPr>
        <w:t>[6]</w:t>
      </w:r>
      <w:r>
        <w:rPr>
          <w:rFonts w:hint="default"/>
          <w:color w:val="auto"/>
          <w:lang w:val="en-US" w:eastAsia="zh-CN"/>
        </w:rPr>
        <w:t xml:space="preserve">Kornum, J. B., K. M. Due, M. Nørgaard, 等. 《Alcohol Drinking and Risk of Subsequent Hospitalisation with Pneumonia》. European Respiratory Journal 39, 期 1 (2012): 149～55. </w:t>
      </w:r>
      <w:r>
        <w:rPr>
          <w:rFonts w:hint="default"/>
          <w:color w:val="auto"/>
          <w:lang w:val="en-US" w:eastAsia="zh-CN"/>
        </w:rPr>
        <w:fldChar w:fldCharType="begin"/>
      </w:r>
      <w:r>
        <w:rPr>
          <w:rFonts w:hint="default"/>
          <w:color w:val="auto"/>
          <w:lang w:val="en-US" w:eastAsia="zh-CN"/>
        </w:rPr>
        <w:instrText xml:space="preserve"> HYPERLINK "https://doi.org/10.1183/09031936.00000611" </w:instrText>
      </w:r>
      <w:r>
        <w:rPr>
          <w:rFonts w:hint="default"/>
          <w:color w:val="auto"/>
          <w:lang w:val="en-US" w:eastAsia="zh-CN"/>
        </w:rPr>
        <w:fldChar w:fldCharType="separate"/>
      </w:r>
      <w:r>
        <w:rPr>
          <w:rFonts w:hint="default"/>
          <w:color w:val="auto"/>
          <w:lang w:val="en-US" w:eastAsia="zh-CN"/>
        </w:rPr>
        <w:t>https://doi.org/10.1183/09031936.00000611</w:t>
      </w:r>
      <w:r>
        <w:rPr>
          <w:rFonts w:hint="default"/>
          <w:color w:val="auto"/>
          <w:lang w:val="en-US" w:eastAsia="zh-CN"/>
        </w:rPr>
        <w:fldChar w:fldCharType="end"/>
      </w:r>
      <w:r>
        <w:rPr>
          <w:rFonts w:hint="default"/>
          <w:color w:val="auto"/>
          <w:lang w:val="en-US" w:eastAsia="zh-CN"/>
        </w:rPr>
        <w:t>.</w:t>
      </w:r>
    </w:p>
    <w:p w14:paraId="089D5542">
      <w:pPr>
        <w:pStyle w:val="47"/>
        <w:bidi w:val="0"/>
        <w:rPr>
          <w:rFonts w:hint="default"/>
          <w:color w:val="auto"/>
          <w:lang w:val="en-US" w:eastAsia="zh-CN"/>
        </w:rPr>
      </w:pPr>
      <w:r>
        <w:rPr>
          <w:rFonts w:hint="eastAsia"/>
          <w:color w:val="auto"/>
          <w:lang w:val="en-US" w:eastAsia="zh-CN"/>
        </w:rPr>
        <w:t>[7]</w:t>
      </w:r>
      <w:r>
        <w:rPr>
          <w:rFonts w:hint="default"/>
          <w:color w:val="auto"/>
          <w:lang w:val="en-US" w:eastAsia="zh-CN"/>
        </w:rPr>
        <w:t xml:space="preserve">Mosquera, Camilo, Marina Morante Silva, Ashleigh M. Weyh, Michael A. Malik和Rui Fernandes. 《Can the Malnutrition Universal Screening Tool (MUST) Predict Healing Complications Following Microvascular Reconstruction of the Head and Neck?》 Craniomaxillofacial Trauma &amp; Reconstruction 17, 期 1 (2024): 34～39. </w:t>
      </w:r>
      <w:r>
        <w:rPr>
          <w:rFonts w:hint="default"/>
          <w:color w:val="auto"/>
          <w:lang w:val="en-US" w:eastAsia="zh-CN"/>
        </w:rPr>
        <w:fldChar w:fldCharType="begin"/>
      </w:r>
      <w:r>
        <w:rPr>
          <w:rFonts w:hint="default"/>
          <w:color w:val="auto"/>
          <w:lang w:val="en-US" w:eastAsia="zh-CN"/>
        </w:rPr>
        <w:instrText xml:space="preserve"> HYPERLINK "https://doi.org/10.1177/19433875231160346" </w:instrText>
      </w:r>
      <w:r>
        <w:rPr>
          <w:rFonts w:hint="default"/>
          <w:color w:val="auto"/>
          <w:lang w:val="en-US" w:eastAsia="zh-CN"/>
        </w:rPr>
        <w:fldChar w:fldCharType="separate"/>
      </w:r>
      <w:r>
        <w:rPr>
          <w:rFonts w:hint="default"/>
          <w:color w:val="auto"/>
          <w:lang w:val="en-US" w:eastAsia="zh-CN"/>
        </w:rPr>
        <w:t>https://doi.org/10.1177/19433875231160346</w:t>
      </w:r>
      <w:r>
        <w:rPr>
          <w:rFonts w:hint="default"/>
          <w:color w:val="auto"/>
          <w:lang w:val="en-US" w:eastAsia="zh-CN"/>
        </w:rPr>
        <w:fldChar w:fldCharType="end"/>
      </w:r>
      <w:r>
        <w:rPr>
          <w:rFonts w:hint="default"/>
          <w:color w:val="auto"/>
          <w:lang w:val="en-US" w:eastAsia="zh-CN"/>
        </w:rPr>
        <w:t>.</w:t>
      </w:r>
    </w:p>
    <w:p w14:paraId="3C0DEA39">
      <w:pPr>
        <w:pStyle w:val="47"/>
        <w:bidi w:val="0"/>
        <w:rPr>
          <w:rFonts w:hint="eastAsia"/>
          <w:color w:val="auto"/>
          <w:lang w:val="en-US" w:eastAsia="zh-CN"/>
        </w:rPr>
      </w:pPr>
      <w:r>
        <w:rPr>
          <w:color w:val="auto"/>
          <w:lang w:val="en-US" w:eastAsia="zh-CN"/>
        </w:rPr>
        <w:t>[</w:t>
      </w:r>
      <w:r>
        <w:rPr>
          <w:rFonts w:hint="eastAsia"/>
          <w:color w:val="auto"/>
          <w:lang w:val="en-US" w:eastAsia="zh-CN"/>
        </w:rPr>
        <w:t>8</w:t>
      </w:r>
      <w:r>
        <w:rPr>
          <w:color w:val="auto"/>
          <w:lang w:val="en-US" w:eastAsia="zh-CN"/>
        </w:rPr>
        <w:t>]</w:t>
      </w:r>
      <w:r>
        <w:rPr>
          <w:color w:val="auto"/>
          <w:lang w:val="en-US" w:eastAsia="zh-CN"/>
        </w:rPr>
        <w:tab/>
      </w:r>
      <w:r>
        <w:rPr>
          <w:color w:val="auto"/>
          <w:lang w:val="en-US" w:eastAsia="zh-CN"/>
        </w:rPr>
        <w:t>DEV D，WALLACE E，SANKARAN R，等. Value of C-reactive protein measurements in exacerbations of chronic obstructive pulmonary disease[J/OL]. Respiratory Medicine，1998，92（4）：664-667. DOI:10.1016/s0954-6111(98)90515-7.</w:t>
      </w:r>
    </w:p>
    <w:p w14:paraId="2FBFF81F">
      <w:pPr>
        <w:pStyle w:val="47"/>
        <w:bidi w:val="0"/>
        <w:rPr>
          <w:color w:val="auto"/>
          <w:lang w:val="en-US" w:eastAsia="zh-CN"/>
        </w:rPr>
      </w:pPr>
      <w:r>
        <w:rPr>
          <w:color w:val="auto"/>
          <w:lang w:val="en-US" w:eastAsia="zh-CN"/>
        </w:rPr>
        <w:t>[</w:t>
      </w:r>
      <w:r>
        <w:rPr>
          <w:rFonts w:hint="eastAsia"/>
          <w:color w:val="auto"/>
          <w:lang w:val="en-US" w:eastAsia="zh-CN"/>
        </w:rPr>
        <w:t>9</w:t>
      </w:r>
      <w:r>
        <w:rPr>
          <w:color w:val="auto"/>
          <w:lang w:val="en-US" w:eastAsia="zh-CN"/>
        </w:rPr>
        <w:t xml:space="preserve">]Chen, Jing, Qian Xiang, Xiao-Jia Zheng和Xiao-yan Jiang. 《Predictive Model for Postoperative Pneumonia in Patients with Esophageal Cancer after Esophagectomy》. Frontiers in Oncology 15 (2025年2月): 1529308. </w:t>
      </w:r>
      <w:r>
        <w:rPr>
          <w:color w:val="auto"/>
          <w:lang w:val="en-US" w:eastAsia="zh-CN"/>
        </w:rPr>
        <w:fldChar w:fldCharType="begin"/>
      </w:r>
      <w:r>
        <w:rPr>
          <w:color w:val="auto"/>
          <w:lang w:val="en-US" w:eastAsia="zh-CN"/>
        </w:rPr>
        <w:instrText xml:space="preserve"> HYPERLINK "https://doi.org/10.3389/fonc.2025.1529308" </w:instrText>
      </w:r>
      <w:r>
        <w:rPr>
          <w:color w:val="auto"/>
          <w:lang w:val="en-US" w:eastAsia="zh-CN"/>
        </w:rPr>
        <w:fldChar w:fldCharType="separate"/>
      </w:r>
      <w:r>
        <w:rPr>
          <w:color w:val="auto"/>
          <w:lang w:val="en-US" w:eastAsia="zh-CN"/>
        </w:rPr>
        <w:t>https://doi.org/10.3389/fonc.2025.1529308</w:t>
      </w:r>
      <w:r>
        <w:rPr>
          <w:color w:val="auto"/>
          <w:lang w:val="en-US" w:eastAsia="zh-CN"/>
        </w:rPr>
        <w:fldChar w:fldCharType="end"/>
      </w:r>
      <w:r>
        <w:rPr>
          <w:color w:val="auto"/>
          <w:lang w:val="en-US" w:eastAsia="zh-CN"/>
        </w:rPr>
        <w:t>.</w:t>
      </w:r>
    </w:p>
    <w:p w14:paraId="2C7C68ED">
      <w:pPr>
        <w:pStyle w:val="47"/>
        <w:bidi w:val="0"/>
        <w:rPr>
          <w:rFonts w:hint="eastAsia"/>
          <w:color w:val="auto"/>
          <w:lang w:val="en-US" w:eastAsia="zh-CN"/>
        </w:rPr>
      </w:pPr>
      <w:r>
        <w:rPr>
          <w:color w:val="auto"/>
          <w:lang w:val="en-US" w:eastAsia="zh-CN"/>
        </w:rPr>
        <w:t>[1</w:t>
      </w:r>
      <w:r>
        <w:rPr>
          <w:rFonts w:hint="eastAsia"/>
          <w:color w:val="auto"/>
          <w:lang w:val="en-US" w:eastAsia="zh-CN"/>
        </w:rPr>
        <w:t>0</w:t>
      </w:r>
      <w:r>
        <w:rPr>
          <w:color w:val="auto"/>
          <w:lang w:val="en-US" w:eastAsia="zh-CN"/>
        </w:rPr>
        <w:t>]</w:t>
      </w:r>
      <w:r>
        <w:rPr>
          <w:color w:val="auto"/>
          <w:lang w:val="en-US" w:eastAsia="zh-CN"/>
        </w:rPr>
        <w:tab/>
      </w:r>
      <w:r>
        <w:rPr>
          <w:color w:val="auto"/>
          <w:lang w:val="en-US" w:eastAsia="zh-CN"/>
        </w:rPr>
        <w:t>JUNG J O，PISULA J I，BOZEK K，等. Prediction of postoperative complications after oesophagectomy using machine-learning methods[J/OL]. The British Journal of Surgery，2023，110（10）：1361-1366. DOI:10.1093/bjs/znad181.</w:t>
      </w:r>
    </w:p>
    <w:p w14:paraId="17C8C4F0">
      <w:pPr>
        <w:pStyle w:val="47"/>
        <w:bidi w:val="0"/>
        <w:rPr>
          <w:rFonts w:hint="default"/>
          <w:color w:val="auto"/>
          <w:lang w:val="en-US" w:eastAsia="zh-CN"/>
        </w:rPr>
      </w:pPr>
      <w:r>
        <w:rPr>
          <w:color w:val="auto"/>
          <w:lang w:val="en-US" w:eastAsia="zh-CN"/>
        </w:rPr>
        <w:t>[1</w:t>
      </w:r>
      <w:r>
        <w:rPr>
          <w:rFonts w:hint="eastAsia"/>
          <w:color w:val="auto"/>
          <w:lang w:val="en-US" w:eastAsia="zh-CN"/>
        </w:rPr>
        <w:t>1</w:t>
      </w:r>
      <w:r>
        <w:rPr>
          <w:color w:val="auto"/>
          <w:lang w:val="en-US" w:eastAsia="zh-CN"/>
        </w:rPr>
        <w:t>]</w:t>
      </w:r>
      <w:r>
        <w:rPr>
          <w:color w:val="auto"/>
          <w:lang w:val="en-US" w:eastAsia="zh-CN"/>
        </w:rPr>
        <w:tab/>
      </w:r>
      <w:r>
        <w:rPr>
          <w:color w:val="auto"/>
          <w:lang w:val="en-US" w:eastAsia="zh-CN"/>
        </w:rPr>
        <w:t>GOENSE L，VAN DIJK W A，GOVAERT J A，等. Hospital costs of complications after esophagectomy for cancer[J/OL]. European Journal of Surgical Oncology: The Journal of the European Society of Surgical Oncology and the British Association of Surgical Oncology，2017，43（4）：696-702. DOI:10.1016/j.ejso.2016.11.013.</w:t>
      </w:r>
    </w:p>
    <w:p w14:paraId="24242676">
      <w:pPr>
        <w:pStyle w:val="47"/>
        <w:bidi w:val="0"/>
        <w:rPr>
          <w:rFonts w:hint="eastAsia"/>
          <w:color w:val="auto"/>
          <w:lang w:val="en-US" w:eastAsia="zh-CN"/>
        </w:rPr>
      </w:pPr>
      <w:r>
        <w:rPr>
          <w:color w:val="auto"/>
          <w:lang w:val="en-US" w:eastAsia="zh-CN"/>
        </w:rPr>
        <w:t>[1</w:t>
      </w:r>
      <w:r>
        <w:rPr>
          <w:rFonts w:hint="eastAsia"/>
          <w:color w:val="auto"/>
          <w:lang w:val="en-US" w:eastAsia="zh-CN"/>
        </w:rPr>
        <w:t>2</w:t>
      </w:r>
      <w:r>
        <w:rPr>
          <w:color w:val="auto"/>
          <w:lang w:val="en-US" w:eastAsia="zh-CN"/>
        </w:rPr>
        <w:t>]</w:t>
      </w:r>
      <w:r>
        <w:rPr>
          <w:color w:val="auto"/>
          <w:lang w:val="en-US" w:eastAsia="zh-CN"/>
        </w:rPr>
        <w:tab/>
      </w:r>
      <w:r>
        <w:rPr>
          <w:color w:val="auto"/>
          <w:lang w:val="en-US" w:eastAsia="zh-CN"/>
        </w:rPr>
        <w:t>王瑜，吴江，伍. 卷积神经网络在职业性尘肺病影像学诊断中的应用研究进展[J/OL]. Sheng Wu Yi Xue Gong Cheng Xue Za Zhi = Journal of Biomedical Engineering，2024，41（2）：413-420. DOI:10.7507/1001-5515.202309079.</w:t>
      </w:r>
    </w:p>
    <w:p w14:paraId="7BC81043">
      <w:pPr>
        <w:pStyle w:val="47"/>
        <w:bidi w:val="0"/>
        <w:rPr>
          <w:color w:val="auto"/>
          <w:lang w:val="en-US" w:eastAsia="zh-CN"/>
        </w:rPr>
      </w:pPr>
      <w:r>
        <w:rPr>
          <w:color w:val="auto"/>
          <w:lang w:val="en-US" w:eastAsia="zh-CN"/>
        </w:rPr>
        <w:t>[1</w:t>
      </w:r>
      <w:r>
        <w:rPr>
          <w:rFonts w:hint="eastAsia"/>
          <w:color w:val="auto"/>
          <w:lang w:val="en-US" w:eastAsia="zh-CN"/>
        </w:rPr>
        <w:t>3</w:t>
      </w:r>
      <w:r>
        <w:rPr>
          <w:color w:val="auto"/>
          <w:lang w:val="en-US" w:eastAsia="zh-CN"/>
        </w:rPr>
        <w:t>]</w:t>
      </w:r>
      <w:r>
        <w:rPr>
          <w:color w:val="auto"/>
          <w:lang w:val="en-US" w:eastAsia="zh-CN"/>
        </w:rPr>
        <w:tab/>
      </w:r>
      <w:r>
        <w:rPr>
          <w:color w:val="auto"/>
          <w:lang w:val="en-US" w:eastAsia="zh-CN"/>
        </w:rPr>
        <w:t>RAJKOMAR A，DEAN J，KOHANE I. Machine Learning in Medicine[J/OL]. The New England Journal of Medicine，2019，380（14）：1347-1358. DOI:10.1056/NEJMra1814259.</w:t>
      </w:r>
    </w:p>
    <w:p w14:paraId="75D4E654">
      <w:pPr>
        <w:pStyle w:val="47"/>
        <w:bidi w:val="0"/>
        <w:rPr>
          <w:rFonts w:hint="eastAsia"/>
          <w:color w:val="auto"/>
          <w:lang w:val="en-US" w:eastAsia="zh-CN"/>
        </w:rPr>
      </w:pPr>
      <w:r>
        <w:rPr>
          <w:color w:val="auto"/>
          <w:lang w:val="en-US" w:eastAsia="zh-CN"/>
        </w:rPr>
        <w:fldChar w:fldCharType="begin"/>
      </w:r>
      <w:r>
        <w:rPr>
          <w:color w:val="auto"/>
          <w:lang w:val="en-US" w:eastAsia="zh-CN"/>
        </w:rPr>
        <w:instrText xml:space="preserve"> ADDIN ZOTERO_BIBL {"uncited":[],"omitted":[],"custom":[]} CSL_BIBLIOGRAPHY </w:instrText>
      </w:r>
      <w:r>
        <w:rPr>
          <w:color w:val="auto"/>
          <w:lang w:val="en-US" w:eastAsia="zh-CN"/>
        </w:rPr>
        <w:fldChar w:fldCharType="separate"/>
      </w:r>
      <w:r>
        <w:rPr>
          <w:color w:val="auto"/>
          <w:lang w:val="en-US" w:eastAsia="zh-CN"/>
        </w:rPr>
        <w:t>[14]</w:t>
      </w:r>
      <w:r>
        <w:rPr>
          <w:color w:val="auto"/>
          <w:lang w:val="en-US" w:eastAsia="zh-CN"/>
        </w:rPr>
        <w:tab/>
      </w:r>
      <w:r>
        <w:rPr>
          <w:color w:val="auto"/>
          <w:lang w:val="en-US" w:eastAsia="zh-CN"/>
        </w:rPr>
        <w:t>中华人民共和国国家卫生健康委员会医政医管局. 食管癌诊疗指南（2022 年版）[J]. 中华消化外科杂志，2022，21（21）：1247-1268.</w:t>
      </w:r>
    </w:p>
    <w:p w14:paraId="03950D7F">
      <w:pPr>
        <w:pStyle w:val="47"/>
        <w:bidi w:val="0"/>
        <w:rPr>
          <w:rFonts w:hint="eastAsia"/>
          <w:color w:val="auto"/>
          <w:lang w:val="en-US" w:eastAsia="zh-CN"/>
        </w:rPr>
      </w:pPr>
      <w:r>
        <w:rPr>
          <w:color w:val="auto"/>
          <w:lang w:val="en-US" w:eastAsia="zh-CN"/>
        </w:rPr>
        <w:t>[15]</w:t>
      </w:r>
      <w:r>
        <w:rPr>
          <w:color w:val="auto"/>
          <w:lang w:val="en-US" w:eastAsia="zh-CN"/>
        </w:rPr>
        <w:tab/>
      </w:r>
      <w:r>
        <w:rPr>
          <w:color w:val="auto"/>
          <w:lang w:val="en-US" w:eastAsia="zh-CN"/>
        </w:rPr>
        <w:t>中华人民共和国卫生部. 医院感染诊断标准（试行）：5[S]. 中华医学杂志，2001.</w:t>
      </w:r>
    </w:p>
    <w:p w14:paraId="083360AF">
      <w:pPr>
        <w:pStyle w:val="47"/>
        <w:bidi w:val="0"/>
        <w:rPr>
          <w:rFonts w:hint="eastAsia"/>
          <w:color w:val="auto"/>
          <w:lang w:val="en-US" w:eastAsia="zh-CN"/>
        </w:rPr>
      </w:pPr>
      <w:r>
        <w:rPr>
          <w:color w:val="auto"/>
          <w:lang w:val="en-US" w:eastAsia="zh-CN"/>
        </w:rPr>
        <w:t>[16]</w:t>
      </w:r>
      <w:r>
        <w:rPr>
          <w:color w:val="auto"/>
          <w:lang w:val="en-US" w:eastAsia="zh-CN"/>
        </w:rPr>
        <w:tab/>
      </w:r>
      <w:r>
        <w:rPr>
          <w:color w:val="auto"/>
          <w:lang w:val="en-US" w:eastAsia="zh-CN"/>
        </w:rPr>
        <w:t>中华人民共和国卫生部. 肺炎诊断：WS 382-2012[S].</w:t>
      </w:r>
    </w:p>
    <w:p w14:paraId="3610DF1C">
      <w:pPr>
        <w:pStyle w:val="47"/>
        <w:bidi w:val="0"/>
        <w:rPr>
          <w:rFonts w:hint="eastAsia"/>
          <w:color w:val="auto"/>
          <w:lang w:val="en-US" w:eastAsia="zh-CN"/>
        </w:rPr>
      </w:pPr>
      <w:r>
        <w:rPr>
          <w:color w:val="auto"/>
          <w:lang w:val="en-US" w:eastAsia="zh-CN"/>
        </w:rPr>
        <w:t>[17]</w:t>
      </w:r>
      <w:r>
        <w:rPr>
          <w:color w:val="auto"/>
          <w:lang w:val="en-US" w:eastAsia="zh-CN"/>
        </w:rPr>
        <w:tab/>
      </w:r>
      <w:r>
        <w:rPr>
          <w:color w:val="auto"/>
          <w:lang w:val="en-US" w:eastAsia="zh-CN"/>
        </w:rPr>
        <w:t>刘欣悦，姜改英，王晓娟，等. 机器学习在腹膜透析并发症风险预测模型中的研究进展[J/OL]. 中国血液净化，2025，24（10）. https://kns.cnki.net/KCMS/detail/detail.aspx?dbcode=CJFQ&amp;dbname=CJFDLAST2025&amp;filename=ZGJH202510009.</w:t>
      </w:r>
    </w:p>
    <w:p w14:paraId="404BFE3A">
      <w:pPr>
        <w:pStyle w:val="47"/>
        <w:bidi w:val="0"/>
        <w:rPr>
          <w:rFonts w:hint="eastAsia"/>
          <w:color w:val="auto"/>
          <w:lang w:val="en-US" w:eastAsia="zh-CN"/>
        </w:rPr>
      </w:pPr>
      <w:r>
        <w:rPr>
          <w:color w:val="auto"/>
          <w:lang w:val="en-US" w:eastAsia="zh-CN"/>
        </w:rPr>
        <w:t>[18]</w:t>
      </w:r>
      <w:r>
        <w:rPr>
          <w:color w:val="auto"/>
          <w:lang w:val="en-US" w:eastAsia="zh-CN"/>
        </w:rPr>
        <w:tab/>
      </w:r>
      <w:r>
        <w:rPr>
          <w:color w:val="auto"/>
          <w:lang w:val="en-US" w:eastAsia="zh-CN"/>
        </w:rPr>
        <w:t>李旭然，丁晓红. 机器学习的五大类别及其主要算法综述[J/OL]. 软件导刊，2019，18（7）. https://kns.cnki.net/KCMS/detail/detail.aspx?dbcode=CJFQ&amp;dbname=CJFDLAST2019&amp;filename=RJDK201907003.</w:t>
      </w:r>
    </w:p>
    <w:p w14:paraId="3E64D4BB">
      <w:pPr>
        <w:pStyle w:val="47"/>
        <w:bidi w:val="0"/>
        <w:rPr>
          <w:rFonts w:hint="eastAsia"/>
          <w:color w:val="auto"/>
          <w:lang w:val="en-US" w:eastAsia="zh-CN"/>
        </w:rPr>
      </w:pPr>
      <w:r>
        <w:rPr>
          <w:color w:val="auto"/>
          <w:lang w:val="en-US" w:eastAsia="zh-CN"/>
        </w:rPr>
        <w:t>[19]</w:t>
      </w:r>
      <w:r>
        <w:rPr>
          <w:color w:val="auto"/>
          <w:lang w:val="en-US" w:eastAsia="zh-CN"/>
        </w:rPr>
        <w:tab/>
      </w:r>
      <w:r>
        <w:rPr>
          <w:color w:val="auto"/>
          <w:lang w:val="en-US" w:eastAsia="zh-CN"/>
        </w:rPr>
        <w:t>HU B，CHEN X，CHEN T，等. Multimodal machine learning-based marker enables the link between obesity-related indices and future stroke: a prospective cohort study[J/OL]. eClinicalMedicine，2025，85：103331. DOI:10.1016/j.eclinm.2025.103331.</w:t>
      </w:r>
    </w:p>
    <w:p w14:paraId="3D41E5B9">
      <w:pPr>
        <w:pStyle w:val="47"/>
        <w:bidi w:val="0"/>
        <w:rPr>
          <w:rFonts w:hint="eastAsia"/>
          <w:color w:val="auto"/>
          <w:lang w:val="en-US" w:eastAsia="zh-CN"/>
        </w:rPr>
      </w:pPr>
      <w:r>
        <w:rPr>
          <w:color w:val="auto"/>
          <w:lang w:val="en-US" w:eastAsia="zh-CN"/>
        </w:rPr>
        <w:t>[20]</w:t>
      </w:r>
      <w:r>
        <w:rPr>
          <w:color w:val="auto"/>
          <w:lang w:val="en-US" w:eastAsia="zh-CN"/>
        </w:rPr>
        <w:tab/>
      </w:r>
      <w:r>
        <w:rPr>
          <w:color w:val="auto"/>
          <w:lang w:val="en-US" w:eastAsia="zh-CN"/>
        </w:rPr>
        <w:t>LI K，LU S，LI C，等. Sex-based analysis of clinical outcomes in elderly patients with esophageal squamous cell carcinoma post-esophagectomy: a propensity score matching analysis[J/OL]. Frontiers in Oncology，2025，15：1549123. DOI:10.3389/fonc.2025.1549123.</w:t>
      </w:r>
    </w:p>
    <w:p w14:paraId="2416B13E">
      <w:pPr>
        <w:pStyle w:val="47"/>
        <w:bidi w:val="0"/>
        <w:rPr>
          <w:rFonts w:hint="eastAsia"/>
          <w:color w:val="auto"/>
          <w:lang w:val="en-US" w:eastAsia="zh-CN"/>
        </w:rPr>
      </w:pPr>
      <w:r>
        <w:rPr>
          <w:color w:val="auto"/>
          <w:lang w:val="en-US" w:eastAsia="zh-CN"/>
        </w:rPr>
        <w:t>[21]</w:t>
      </w:r>
      <w:r>
        <w:rPr>
          <w:color w:val="auto"/>
          <w:lang w:val="en-US" w:eastAsia="zh-CN"/>
        </w:rPr>
        <w:tab/>
      </w:r>
      <w:r>
        <w:rPr>
          <w:color w:val="auto"/>
          <w:lang w:val="en-US" w:eastAsia="zh-CN"/>
        </w:rPr>
        <w:t>RUZZENENTE A，ALAIMO L，CAPUTO M，等. Infectious complications after surgery for perihilar cholangiocarcinoma: A single Western center experience[J/OL]. Surgery，2022，172（3）：813-820. DOI:10.1016/j.surg.2022.04.028.</w:t>
      </w:r>
    </w:p>
    <w:p w14:paraId="159A527F">
      <w:pPr>
        <w:pStyle w:val="47"/>
        <w:bidi w:val="0"/>
        <w:rPr>
          <w:rFonts w:hint="eastAsia"/>
          <w:color w:val="auto"/>
          <w:lang w:val="en-US" w:eastAsia="zh-CN"/>
        </w:rPr>
      </w:pPr>
      <w:r>
        <w:rPr>
          <w:color w:val="auto"/>
          <w:lang w:val="en-US" w:eastAsia="zh-CN"/>
        </w:rPr>
        <w:t>[22]</w:t>
      </w:r>
      <w:r>
        <w:rPr>
          <w:color w:val="auto"/>
          <w:lang w:val="en-US" w:eastAsia="zh-CN"/>
        </w:rPr>
        <w:tab/>
      </w:r>
      <w:r>
        <w:rPr>
          <w:color w:val="auto"/>
          <w:lang w:val="en-US" w:eastAsia="zh-CN"/>
        </w:rPr>
        <w:t>CHENG H，CHEN B P H，SOLEAS I M，等. Prolonged Operative Duration Increases Risk of Surgical Site Infections: A Systematic Review[J/OL]. Surgical Infections，2017，18（6）：722-735. DOI:10.1089/sur.2017.089.</w:t>
      </w:r>
    </w:p>
    <w:p w14:paraId="5C5B83BD">
      <w:pPr>
        <w:pStyle w:val="47"/>
        <w:bidi w:val="0"/>
        <w:rPr>
          <w:rFonts w:hint="eastAsia"/>
          <w:color w:val="auto"/>
          <w:lang w:val="en-US" w:eastAsia="zh-CN"/>
        </w:rPr>
      </w:pPr>
      <w:r>
        <w:rPr>
          <w:color w:val="auto"/>
          <w:lang w:val="en-US" w:eastAsia="zh-CN"/>
        </w:rPr>
        <w:t>[23]</w:t>
      </w:r>
      <w:r>
        <w:rPr>
          <w:color w:val="auto"/>
          <w:lang w:val="en-US" w:eastAsia="zh-CN"/>
        </w:rPr>
        <w:tab/>
      </w:r>
      <w:r>
        <w:rPr>
          <w:color w:val="auto"/>
          <w:lang w:val="en-US" w:eastAsia="zh-CN"/>
        </w:rPr>
        <w:t>COOK D J，WALTER S D，COOK R J，等. Incidence of and risk factors for ventilator-associated pneumonia in critically ill patients[J/OL]. Annals of Internal Medicine，1998，129（6）：433-440. DOI:10.7326/0003-4819-129-6-199809150-00002.</w:t>
      </w:r>
    </w:p>
    <w:p w14:paraId="3DD9CCF1">
      <w:pPr>
        <w:pStyle w:val="47"/>
        <w:bidi w:val="0"/>
        <w:rPr>
          <w:rFonts w:hint="eastAsia"/>
          <w:color w:val="auto"/>
          <w:lang w:val="en-US" w:eastAsia="zh-CN"/>
        </w:rPr>
      </w:pPr>
      <w:r>
        <w:rPr>
          <w:color w:val="auto"/>
          <w:lang w:val="en-US" w:eastAsia="zh-CN"/>
        </w:rPr>
        <w:t>[24]</w:t>
      </w:r>
      <w:r>
        <w:rPr>
          <w:color w:val="auto"/>
          <w:lang w:val="en-US" w:eastAsia="zh-CN"/>
        </w:rPr>
        <w:tab/>
      </w:r>
      <w:r>
        <w:rPr>
          <w:color w:val="auto"/>
          <w:lang w:val="en-US" w:eastAsia="zh-CN"/>
        </w:rPr>
        <w:t>MIYAMURA T，SAKAMOTO N，KAKUGAWA T，等. Postoperative acute exacerbation of interstitial pneumonia in pulmonary and non-pulmonary surgery: a retrospective study[J/OL]. Respiratory Research，2019，20（1）：154. DOI:10.1186/s12931-019-1128-5.</w:t>
      </w:r>
    </w:p>
    <w:p w14:paraId="679806E0">
      <w:pPr>
        <w:pStyle w:val="47"/>
        <w:bidi w:val="0"/>
        <w:rPr>
          <w:rFonts w:hint="eastAsia"/>
          <w:color w:val="auto"/>
          <w:lang w:val="en-US" w:eastAsia="zh-CN"/>
        </w:rPr>
      </w:pPr>
      <w:r>
        <w:rPr>
          <w:color w:val="auto"/>
          <w:lang w:val="en-US" w:eastAsia="zh-CN"/>
        </w:rPr>
        <w:t>[25]</w:t>
      </w:r>
      <w:r>
        <w:rPr>
          <w:color w:val="auto"/>
          <w:lang w:val="en-US" w:eastAsia="zh-CN"/>
        </w:rPr>
        <w:tab/>
      </w:r>
      <w:r>
        <w:rPr>
          <w:color w:val="auto"/>
          <w:lang w:val="en-US" w:eastAsia="zh-CN"/>
        </w:rPr>
        <w:t>KANO K，AOYAMA T，NAKAJIMA T，等. Prediction of postoperative inflammatory complications after esophageal cancer surgery based on early changes in the C-reactive protein level in patients who received perioperative steroid therapy and enhanced recovery after surgery care: a retrospective analysis[J/OL]. BMC cancer，2017，17（1）：812. DOI:10.1186/s12885-017-3831-2.</w:t>
      </w:r>
    </w:p>
    <w:p w14:paraId="4E4CAA99">
      <w:pPr>
        <w:pStyle w:val="47"/>
        <w:bidi w:val="0"/>
        <w:rPr>
          <w:rFonts w:hint="eastAsia"/>
          <w:color w:val="auto"/>
          <w:lang w:val="en-US" w:eastAsia="zh-CN"/>
        </w:rPr>
      </w:pPr>
      <w:r>
        <w:rPr>
          <w:color w:val="auto"/>
          <w:lang w:val="en-US" w:eastAsia="zh-CN"/>
        </w:rPr>
        <w:t>[26]</w:t>
      </w:r>
      <w:r>
        <w:rPr>
          <w:color w:val="auto"/>
          <w:lang w:val="en-US" w:eastAsia="zh-CN"/>
        </w:rPr>
        <w:tab/>
      </w:r>
      <w:r>
        <w:rPr>
          <w:color w:val="auto"/>
          <w:lang w:val="en-US" w:eastAsia="zh-CN"/>
        </w:rPr>
        <w:t>贾辰，高岩，解夕黎，等. 基于5种机器学习算法构建ICU患者耐碳青霉烯类鲍曼不动杆菌感染风险预测模型[J]. 中华医院感染学杂志，2025（17）：2586-2591.</w:t>
      </w:r>
    </w:p>
    <w:p w14:paraId="63CACAAB">
      <w:pPr>
        <w:pStyle w:val="47"/>
        <w:bidi w:val="0"/>
        <w:ind w:left="0" w:leftChars="0" w:firstLine="0" w:firstLineChars="0"/>
        <w:rPr>
          <w:rFonts w:ascii="Times New Roman" w:hAnsi="Times New Roman" w:cs="Times New Roman"/>
          <w:color w:val="auto"/>
          <w:kern w:val="0"/>
          <w:sz w:val="24"/>
          <w:szCs w:val="24"/>
        </w:rPr>
      </w:pPr>
      <w:r>
        <w:rPr>
          <w:color w:val="auto"/>
          <w:lang w:val="en-US" w:eastAsia="zh-CN"/>
        </w:rPr>
        <w:fldChar w:fldCharType="end"/>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p>
  </w:endnote>
  <w:endnote w:type="continuationSeparator" w:id="1">
    <w:p>
      <w:pPr>
        <w:spacing w:line="240" w:lineRule="auto"/>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onospace">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3376814"/>
      <w:docPartObj>
        <w:docPartGallery w:val="autotext"/>
      </w:docPartObj>
    </w:sdtPr>
    <w:sdtContent>
      <w:p w14:paraId="4529A2B8">
        <w:pPr>
          <w:pStyle w:val="15"/>
          <w:ind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69544DA6">
    <w:pPr>
      <w:pStyle w:val="15"/>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B7DA2">
    <w:pPr>
      <w:pStyle w:val="1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0A9F7">
    <w:pPr>
      <w:pStyle w:val="15"/>
      <w:ind w:firstLine="360"/>
      <w:rPr>
        <w:rFonts w:hint="eastAsia"/>
      </w:rPr>
    </w:pPr>
    <w:r>
      <w:rPr>
        <w:rFonts w:hint="eastAsia"/>
        <w:vertAlign w:val="superscript"/>
      </w:rPr>
      <w:t>*</w:t>
    </w:r>
    <w:r>
      <w:rPr>
        <w:rFonts w:hint="eastAsia"/>
      </w:rPr>
      <w:t xml:space="preserve">通信作者：蒲江波， </w:t>
    </w:r>
    <w:r>
      <w:t>pujb@bme.pumc</w:t>
    </w:r>
    <w:r>
      <w:rPr>
        <w:lang w:val="it-IT"/>
      </w:rPr>
      <w:t>.edu.cn</w:t>
    </w:r>
  </w:p>
  <w:p w14:paraId="0B651731">
    <w:pPr>
      <w:pStyle w:val="15"/>
      <w:ind w:firstLine="360"/>
      <w:rPr>
        <w:rFonts w:hint="eastAsia"/>
      </w:rPr>
    </w:pPr>
    <w:r>
      <w:rPr>
        <w:rFonts w:hint="eastAsia"/>
      </w:rPr>
      <w:t>基金项目：科技创新2030“脑科学与类脑研究”重大项目“脑机交互计算融合研究平台”子课题“脑信息输入-输出接口及安全伦理标准与规范研究”（2021ZD0200406）；战略性科技创新合作专项“中美脑机接口技术与产业标准化合作”课题（2023YFE0207800）；重大协同创新项目医用机器人和生物人工器官的关键技术及应用（2021-I2M-1-058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p>
  </w:footnote>
  <w:footnote w:type="continuationSeparator" w:id="1">
    <w:p>
      <w:pPr>
        <w:spacing w:line="360" w:lineRule="auto"/>
        <w:ind w:firstLine="42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6770A">
    <w:pPr>
      <w:pStyle w:val="16"/>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B1E46">
    <w:pPr>
      <w:pStyle w:val="1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4B71B">
    <w:pPr>
      <w:pStyle w:val="1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8D7D8"/>
    <w:multiLevelType w:val="multilevel"/>
    <w:tmpl w:val="96C8D7D8"/>
    <w:lvl w:ilvl="0" w:tentative="0">
      <w:start w:val="0"/>
      <w:numFmt w:val="decimal"/>
      <w:pStyle w:val="2"/>
      <w:lvlText w:val="%1 "/>
      <w:lvlJc w:val="left"/>
      <w:pPr>
        <w:ind w:left="432" w:hanging="432"/>
      </w:pPr>
      <w:rPr>
        <w:rFonts w:hint="default" w:ascii="宋体" w:hAnsi="宋体" w:eastAsia="宋体" w:cs="宋体"/>
        <w:b/>
        <w:bCs/>
        <w:szCs w:val="28"/>
      </w:rPr>
    </w:lvl>
    <w:lvl w:ilvl="1" w:tentative="0">
      <w:start w:val="1"/>
      <w:numFmt w:val="decimal"/>
      <w:pStyle w:val="3"/>
      <w:lvlText w:val="%1.%2 "/>
      <w:lvlJc w:val="left"/>
      <w:pPr>
        <w:ind w:left="575" w:hanging="575"/>
      </w:pPr>
      <w:rPr>
        <w:rFonts w:hint="default" w:ascii="宋体" w:hAnsi="宋体" w:eastAsia="Times New Roman" w:cs="宋体"/>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2D990DF0"/>
    <w:multiLevelType w:val="multilevel"/>
    <w:tmpl w:val="2D990DF0"/>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02664D9"/>
    <w:multiLevelType w:val="multilevel"/>
    <w:tmpl w:val="302664D9"/>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attachedTemplate r:id="rId1"/>
  <w:documentProtection w:enforcement="0"/>
  <w:defaultTabStop w:val="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5ZjE2NGExMzI5MGU3NWIzZGRmM2VhMmNmMzMxNzIifQ=="/>
  </w:docVars>
  <w:rsids>
    <w:rsidRoot w:val="58CA3025"/>
    <w:rsid w:val="0000486E"/>
    <w:rsid w:val="00005502"/>
    <w:rsid w:val="0001210A"/>
    <w:rsid w:val="00013E56"/>
    <w:rsid w:val="000152FB"/>
    <w:rsid w:val="00025E25"/>
    <w:rsid w:val="00030D61"/>
    <w:rsid w:val="00051629"/>
    <w:rsid w:val="00051AB8"/>
    <w:rsid w:val="00065FF0"/>
    <w:rsid w:val="00066E5B"/>
    <w:rsid w:val="00095754"/>
    <w:rsid w:val="00096439"/>
    <w:rsid w:val="000966FD"/>
    <w:rsid w:val="00096CA7"/>
    <w:rsid w:val="000A17E6"/>
    <w:rsid w:val="000A18E9"/>
    <w:rsid w:val="000A33DA"/>
    <w:rsid w:val="000A3441"/>
    <w:rsid w:val="000B757F"/>
    <w:rsid w:val="000C7152"/>
    <w:rsid w:val="000D345C"/>
    <w:rsid w:val="000D4FC5"/>
    <w:rsid w:val="000E35BD"/>
    <w:rsid w:val="000E5CA8"/>
    <w:rsid w:val="000F11B1"/>
    <w:rsid w:val="000F47D0"/>
    <w:rsid w:val="000F5D6A"/>
    <w:rsid w:val="00103704"/>
    <w:rsid w:val="0010506E"/>
    <w:rsid w:val="001167E5"/>
    <w:rsid w:val="0012486B"/>
    <w:rsid w:val="00134FC2"/>
    <w:rsid w:val="001373C7"/>
    <w:rsid w:val="00144B30"/>
    <w:rsid w:val="001473A9"/>
    <w:rsid w:val="00154081"/>
    <w:rsid w:val="001656F6"/>
    <w:rsid w:val="00167E84"/>
    <w:rsid w:val="0017127B"/>
    <w:rsid w:val="00172FC7"/>
    <w:rsid w:val="00181248"/>
    <w:rsid w:val="00182787"/>
    <w:rsid w:val="0018445E"/>
    <w:rsid w:val="00191B0E"/>
    <w:rsid w:val="00196FAD"/>
    <w:rsid w:val="001A4AEF"/>
    <w:rsid w:val="001A528C"/>
    <w:rsid w:val="001A71DA"/>
    <w:rsid w:val="001B2C2C"/>
    <w:rsid w:val="001B3C46"/>
    <w:rsid w:val="001B6E8A"/>
    <w:rsid w:val="001C106E"/>
    <w:rsid w:val="001C2337"/>
    <w:rsid w:val="001C6DC9"/>
    <w:rsid w:val="001C7F1B"/>
    <w:rsid w:val="001D02CF"/>
    <w:rsid w:val="001D5A2A"/>
    <w:rsid w:val="001F3B02"/>
    <w:rsid w:val="00205285"/>
    <w:rsid w:val="002105C2"/>
    <w:rsid w:val="0021096B"/>
    <w:rsid w:val="00216A57"/>
    <w:rsid w:val="00225CB0"/>
    <w:rsid w:val="0023040B"/>
    <w:rsid w:val="00230FAE"/>
    <w:rsid w:val="00231193"/>
    <w:rsid w:val="0024057C"/>
    <w:rsid w:val="00244DB1"/>
    <w:rsid w:val="00250073"/>
    <w:rsid w:val="002512DC"/>
    <w:rsid w:val="00251DFA"/>
    <w:rsid w:val="00253929"/>
    <w:rsid w:val="00254B8F"/>
    <w:rsid w:val="002608D2"/>
    <w:rsid w:val="00260C5E"/>
    <w:rsid w:val="0026275D"/>
    <w:rsid w:val="00266627"/>
    <w:rsid w:val="002737AD"/>
    <w:rsid w:val="0027386C"/>
    <w:rsid w:val="00273F39"/>
    <w:rsid w:val="00277C9C"/>
    <w:rsid w:val="002808FE"/>
    <w:rsid w:val="00283169"/>
    <w:rsid w:val="0028332C"/>
    <w:rsid w:val="00297830"/>
    <w:rsid w:val="002A151B"/>
    <w:rsid w:val="002A27E0"/>
    <w:rsid w:val="002B6BE4"/>
    <w:rsid w:val="002B7B4B"/>
    <w:rsid w:val="002C17D7"/>
    <w:rsid w:val="002C1DF7"/>
    <w:rsid w:val="002D3F4F"/>
    <w:rsid w:val="002D7D93"/>
    <w:rsid w:val="002E2BF9"/>
    <w:rsid w:val="002E765B"/>
    <w:rsid w:val="002F2134"/>
    <w:rsid w:val="002F2A11"/>
    <w:rsid w:val="00305881"/>
    <w:rsid w:val="00310B61"/>
    <w:rsid w:val="00311386"/>
    <w:rsid w:val="003122CF"/>
    <w:rsid w:val="003143B4"/>
    <w:rsid w:val="00315546"/>
    <w:rsid w:val="003156AC"/>
    <w:rsid w:val="00322F59"/>
    <w:rsid w:val="003272C9"/>
    <w:rsid w:val="00337552"/>
    <w:rsid w:val="0034005B"/>
    <w:rsid w:val="00341CCD"/>
    <w:rsid w:val="0034377B"/>
    <w:rsid w:val="00344034"/>
    <w:rsid w:val="003513B7"/>
    <w:rsid w:val="00373BE5"/>
    <w:rsid w:val="00374B5B"/>
    <w:rsid w:val="00385DF7"/>
    <w:rsid w:val="00390442"/>
    <w:rsid w:val="00391D73"/>
    <w:rsid w:val="003931F1"/>
    <w:rsid w:val="003A5BB0"/>
    <w:rsid w:val="003A5F7C"/>
    <w:rsid w:val="003A77C2"/>
    <w:rsid w:val="003B1965"/>
    <w:rsid w:val="003B4F5F"/>
    <w:rsid w:val="003C1547"/>
    <w:rsid w:val="003D040D"/>
    <w:rsid w:val="003D6969"/>
    <w:rsid w:val="003E161E"/>
    <w:rsid w:val="003E1F7D"/>
    <w:rsid w:val="003E24F0"/>
    <w:rsid w:val="003E284E"/>
    <w:rsid w:val="003F7325"/>
    <w:rsid w:val="003F7558"/>
    <w:rsid w:val="0040158D"/>
    <w:rsid w:val="004074BF"/>
    <w:rsid w:val="004074E3"/>
    <w:rsid w:val="00407FBC"/>
    <w:rsid w:val="00416BB8"/>
    <w:rsid w:val="00421335"/>
    <w:rsid w:val="00423C4D"/>
    <w:rsid w:val="00442BE9"/>
    <w:rsid w:val="00450C0E"/>
    <w:rsid w:val="00455618"/>
    <w:rsid w:val="00455F04"/>
    <w:rsid w:val="004575E5"/>
    <w:rsid w:val="00474101"/>
    <w:rsid w:val="00477A70"/>
    <w:rsid w:val="004807B1"/>
    <w:rsid w:val="00480AE2"/>
    <w:rsid w:val="00483C7A"/>
    <w:rsid w:val="0048729D"/>
    <w:rsid w:val="00496777"/>
    <w:rsid w:val="004A18D2"/>
    <w:rsid w:val="004B3B59"/>
    <w:rsid w:val="004B698C"/>
    <w:rsid w:val="004B71D5"/>
    <w:rsid w:val="004C149C"/>
    <w:rsid w:val="004C3555"/>
    <w:rsid w:val="004D666B"/>
    <w:rsid w:val="004E16D9"/>
    <w:rsid w:val="004E6BA8"/>
    <w:rsid w:val="004F75C9"/>
    <w:rsid w:val="0050044A"/>
    <w:rsid w:val="00502CAB"/>
    <w:rsid w:val="00512C1B"/>
    <w:rsid w:val="00534739"/>
    <w:rsid w:val="005449A5"/>
    <w:rsid w:val="00547788"/>
    <w:rsid w:val="00556B11"/>
    <w:rsid w:val="00557CA2"/>
    <w:rsid w:val="00563AD2"/>
    <w:rsid w:val="00570D0D"/>
    <w:rsid w:val="0057152B"/>
    <w:rsid w:val="005752E6"/>
    <w:rsid w:val="00580962"/>
    <w:rsid w:val="00595B6E"/>
    <w:rsid w:val="005A3383"/>
    <w:rsid w:val="005A549E"/>
    <w:rsid w:val="005B1868"/>
    <w:rsid w:val="005B18E4"/>
    <w:rsid w:val="005C2188"/>
    <w:rsid w:val="005C21C3"/>
    <w:rsid w:val="005D0863"/>
    <w:rsid w:val="005D2502"/>
    <w:rsid w:val="005D592D"/>
    <w:rsid w:val="005D7BC4"/>
    <w:rsid w:val="005E03F9"/>
    <w:rsid w:val="005E3336"/>
    <w:rsid w:val="005E4CA6"/>
    <w:rsid w:val="005E4CB7"/>
    <w:rsid w:val="005F5C93"/>
    <w:rsid w:val="005F7B30"/>
    <w:rsid w:val="00610F38"/>
    <w:rsid w:val="006129BE"/>
    <w:rsid w:val="00613BEB"/>
    <w:rsid w:val="00615605"/>
    <w:rsid w:val="00615BE5"/>
    <w:rsid w:val="006236B5"/>
    <w:rsid w:val="00624183"/>
    <w:rsid w:val="00633AA7"/>
    <w:rsid w:val="00637ED4"/>
    <w:rsid w:val="00642C29"/>
    <w:rsid w:val="00642EDE"/>
    <w:rsid w:val="0064315E"/>
    <w:rsid w:val="006519D5"/>
    <w:rsid w:val="0065293A"/>
    <w:rsid w:val="00662A23"/>
    <w:rsid w:val="0066529E"/>
    <w:rsid w:val="00665A5A"/>
    <w:rsid w:val="00673B20"/>
    <w:rsid w:val="00675C74"/>
    <w:rsid w:val="00683528"/>
    <w:rsid w:val="006A68E3"/>
    <w:rsid w:val="006B2AC8"/>
    <w:rsid w:val="006B3A87"/>
    <w:rsid w:val="006C7B93"/>
    <w:rsid w:val="006D209A"/>
    <w:rsid w:val="006D4C3D"/>
    <w:rsid w:val="006D4E5D"/>
    <w:rsid w:val="006D6797"/>
    <w:rsid w:val="006E12AE"/>
    <w:rsid w:val="006E278D"/>
    <w:rsid w:val="006E4707"/>
    <w:rsid w:val="006F04B4"/>
    <w:rsid w:val="006F22B1"/>
    <w:rsid w:val="006F4FE4"/>
    <w:rsid w:val="007019D6"/>
    <w:rsid w:val="00704879"/>
    <w:rsid w:val="007056B4"/>
    <w:rsid w:val="00705B45"/>
    <w:rsid w:val="00712F02"/>
    <w:rsid w:val="00714475"/>
    <w:rsid w:val="00716B2C"/>
    <w:rsid w:val="00717F18"/>
    <w:rsid w:val="00727D9D"/>
    <w:rsid w:val="00731D96"/>
    <w:rsid w:val="007329C3"/>
    <w:rsid w:val="007329D3"/>
    <w:rsid w:val="00735DBB"/>
    <w:rsid w:val="00737433"/>
    <w:rsid w:val="007452DC"/>
    <w:rsid w:val="0074703B"/>
    <w:rsid w:val="00754EEB"/>
    <w:rsid w:val="00765E74"/>
    <w:rsid w:val="007661C9"/>
    <w:rsid w:val="007705E4"/>
    <w:rsid w:val="0077241D"/>
    <w:rsid w:val="00773D5E"/>
    <w:rsid w:val="00774EF2"/>
    <w:rsid w:val="00776E6C"/>
    <w:rsid w:val="00777F5C"/>
    <w:rsid w:val="007840A1"/>
    <w:rsid w:val="00791ED7"/>
    <w:rsid w:val="00792141"/>
    <w:rsid w:val="007B23DE"/>
    <w:rsid w:val="007C35E2"/>
    <w:rsid w:val="007C414F"/>
    <w:rsid w:val="007C4C7D"/>
    <w:rsid w:val="007C558E"/>
    <w:rsid w:val="007C6E07"/>
    <w:rsid w:val="007C7859"/>
    <w:rsid w:val="007D029D"/>
    <w:rsid w:val="007D3511"/>
    <w:rsid w:val="007D64C8"/>
    <w:rsid w:val="007E6F40"/>
    <w:rsid w:val="007F2572"/>
    <w:rsid w:val="007F49CF"/>
    <w:rsid w:val="007F49D7"/>
    <w:rsid w:val="00803A3D"/>
    <w:rsid w:val="00806E73"/>
    <w:rsid w:val="00815BC1"/>
    <w:rsid w:val="008208FB"/>
    <w:rsid w:val="008314A2"/>
    <w:rsid w:val="00834708"/>
    <w:rsid w:val="008414A2"/>
    <w:rsid w:val="00842F77"/>
    <w:rsid w:val="00853507"/>
    <w:rsid w:val="008548C0"/>
    <w:rsid w:val="00854B01"/>
    <w:rsid w:val="008553F3"/>
    <w:rsid w:val="00857344"/>
    <w:rsid w:val="00857762"/>
    <w:rsid w:val="00857929"/>
    <w:rsid w:val="00862645"/>
    <w:rsid w:val="00864632"/>
    <w:rsid w:val="00871232"/>
    <w:rsid w:val="00876008"/>
    <w:rsid w:val="00881437"/>
    <w:rsid w:val="00881F9C"/>
    <w:rsid w:val="00882C95"/>
    <w:rsid w:val="00887035"/>
    <w:rsid w:val="00887A0F"/>
    <w:rsid w:val="008966C5"/>
    <w:rsid w:val="008B0E5A"/>
    <w:rsid w:val="008C102A"/>
    <w:rsid w:val="008C1BCE"/>
    <w:rsid w:val="008C3373"/>
    <w:rsid w:val="008C3507"/>
    <w:rsid w:val="008C74B5"/>
    <w:rsid w:val="008D365C"/>
    <w:rsid w:val="008E3F0D"/>
    <w:rsid w:val="008E7268"/>
    <w:rsid w:val="00903AC0"/>
    <w:rsid w:val="009060EB"/>
    <w:rsid w:val="00911D06"/>
    <w:rsid w:val="00912911"/>
    <w:rsid w:val="0091307A"/>
    <w:rsid w:val="0091507D"/>
    <w:rsid w:val="009165A3"/>
    <w:rsid w:val="00917697"/>
    <w:rsid w:val="00922BFF"/>
    <w:rsid w:val="00933ED2"/>
    <w:rsid w:val="009363B0"/>
    <w:rsid w:val="009375E3"/>
    <w:rsid w:val="00937BBE"/>
    <w:rsid w:val="00951685"/>
    <w:rsid w:val="009533FF"/>
    <w:rsid w:val="0096132C"/>
    <w:rsid w:val="0096673D"/>
    <w:rsid w:val="00975653"/>
    <w:rsid w:val="0097747C"/>
    <w:rsid w:val="00980586"/>
    <w:rsid w:val="0098720B"/>
    <w:rsid w:val="0098720C"/>
    <w:rsid w:val="00997811"/>
    <w:rsid w:val="009A09F1"/>
    <w:rsid w:val="009A1C07"/>
    <w:rsid w:val="009A5BF2"/>
    <w:rsid w:val="009B09A5"/>
    <w:rsid w:val="009B3A21"/>
    <w:rsid w:val="009B68A4"/>
    <w:rsid w:val="009C00C9"/>
    <w:rsid w:val="009C6E75"/>
    <w:rsid w:val="009C7758"/>
    <w:rsid w:val="009C7D9C"/>
    <w:rsid w:val="009D5807"/>
    <w:rsid w:val="009E2614"/>
    <w:rsid w:val="009F576B"/>
    <w:rsid w:val="00A00677"/>
    <w:rsid w:val="00A021A0"/>
    <w:rsid w:val="00A05BA1"/>
    <w:rsid w:val="00A119A0"/>
    <w:rsid w:val="00A30D63"/>
    <w:rsid w:val="00A354CF"/>
    <w:rsid w:val="00A372C9"/>
    <w:rsid w:val="00A4402A"/>
    <w:rsid w:val="00A44F65"/>
    <w:rsid w:val="00A500F5"/>
    <w:rsid w:val="00A57284"/>
    <w:rsid w:val="00A6266F"/>
    <w:rsid w:val="00A65E53"/>
    <w:rsid w:val="00A70AC2"/>
    <w:rsid w:val="00A70ACB"/>
    <w:rsid w:val="00A71BEE"/>
    <w:rsid w:val="00A72377"/>
    <w:rsid w:val="00A81474"/>
    <w:rsid w:val="00A830B8"/>
    <w:rsid w:val="00A8594E"/>
    <w:rsid w:val="00A921A9"/>
    <w:rsid w:val="00A93E78"/>
    <w:rsid w:val="00AB1808"/>
    <w:rsid w:val="00AB1869"/>
    <w:rsid w:val="00AB33A1"/>
    <w:rsid w:val="00AB4C9C"/>
    <w:rsid w:val="00AB5856"/>
    <w:rsid w:val="00AB6E18"/>
    <w:rsid w:val="00AC3647"/>
    <w:rsid w:val="00AC5021"/>
    <w:rsid w:val="00AC563B"/>
    <w:rsid w:val="00AC7C7D"/>
    <w:rsid w:val="00AD1A19"/>
    <w:rsid w:val="00AD1A90"/>
    <w:rsid w:val="00AD1F6D"/>
    <w:rsid w:val="00AD2B12"/>
    <w:rsid w:val="00AD4B33"/>
    <w:rsid w:val="00AD4D15"/>
    <w:rsid w:val="00AD5451"/>
    <w:rsid w:val="00AD6338"/>
    <w:rsid w:val="00AE1953"/>
    <w:rsid w:val="00AE3E04"/>
    <w:rsid w:val="00AE43DD"/>
    <w:rsid w:val="00AF1245"/>
    <w:rsid w:val="00AF24FE"/>
    <w:rsid w:val="00AF497C"/>
    <w:rsid w:val="00B02026"/>
    <w:rsid w:val="00B0399D"/>
    <w:rsid w:val="00B05169"/>
    <w:rsid w:val="00B214A6"/>
    <w:rsid w:val="00B22C6F"/>
    <w:rsid w:val="00B27DDB"/>
    <w:rsid w:val="00B353E9"/>
    <w:rsid w:val="00B41EE9"/>
    <w:rsid w:val="00B47A34"/>
    <w:rsid w:val="00B52217"/>
    <w:rsid w:val="00B52B9B"/>
    <w:rsid w:val="00B54E6B"/>
    <w:rsid w:val="00B5563B"/>
    <w:rsid w:val="00B67539"/>
    <w:rsid w:val="00B74BE2"/>
    <w:rsid w:val="00B77323"/>
    <w:rsid w:val="00B93240"/>
    <w:rsid w:val="00B95266"/>
    <w:rsid w:val="00B95898"/>
    <w:rsid w:val="00BA1017"/>
    <w:rsid w:val="00BA185F"/>
    <w:rsid w:val="00BA324E"/>
    <w:rsid w:val="00BB6EF9"/>
    <w:rsid w:val="00BB7869"/>
    <w:rsid w:val="00BB788E"/>
    <w:rsid w:val="00BC7C4D"/>
    <w:rsid w:val="00BD3D0D"/>
    <w:rsid w:val="00BD5E73"/>
    <w:rsid w:val="00BF17ED"/>
    <w:rsid w:val="00BF54B2"/>
    <w:rsid w:val="00BF7B86"/>
    <w:rsid w:val="00C00A2D"/>
    <w:rsid w:val="00C01469"/>
    <w:rsid w:val="00C071A9"/>
    <w:rsid w:val="00C07342"/>
    <w:rsid w:val="00C07A05"/>
    <w:rsid w:val="00C147FD"/>
    <w:rsid w:val="00C217E6"/>
    <w:rsid w:val="00C218BB"/>
    <w:rsid w:val="00C22140"/>
    <w:rsid w:val="00C32780"/>
    <w:rsid w:val="00C3323D"/>
    <w:rsid w:val="00C35838"/>
    <w:rsid w:val="00C47858"/>
    <w:rsid w:val="00C501CA"/>
    <w:rsid w:val="00C50210"/>
    <w:rsid w:val="00C62D03"/>
    <w:rsid w:val="00C636A3"/>
    <w:rsid w:val="00C6514D"/>
    <w:rsid w:val="00C70840"/>
    <w:rsid w:val="00C70C86"/>
    <w:rsid w:val="00C73AEC"/>
    <w:rsid w:val="00C74FB2"/>
    <w:rsid w:val="00C77674"/>
    <w:rsid w:val="00C81385"/>
    <w:rsid w:val="00C95C34"/>
    <w:rsid w:val="00C9608B"/>
    <w:rsid w:val="00C97228"/>
    <w:rsid w:val="00CA0434"/>
    <w:rsid w:val="00CA2DB0"/>
    <w:rsid w:val="00CA4D18"/>
    <w:rsid w:val="00CA6645"/>
    <w:rsid w:val="00CB0441"/>
    <w:rsid w:val="00CC0ADD"/>
    <w:rsid w:val="00CC301D"/>
    <w:rsid w:val="00CD0D4D"/>
    <w:rsid w:val="00CD3B4C"/>
    <w:rsid w:val="00CD3D69"/>
    <w:rsid w:val="00CE0929"/>
    <w:rsid w:val="00CE190B"/>
    <w:rsid w:val="00CE3B59"/>
    <w:rsid w:val="00CE54AF"/>
    <w:rsid w:val="00CE6171"/>
    <w:rsid w:val="00CE702A"/>
    <w:rsid w:val="00CE7955"/>
    <w:rsid w:val="00CE79AB"/>
    <w:rsid w:val="00D04FF0"/>
    <w:rsid w:val="00D064C8"/>
    <w:rsid w:val="00D078B4"/>
    <w:rsid w:val="00D10DED"/>
    <w:rsid w:val="00D12496"/>
    <w:rsid w:val="00D12729"/>
    <w:rsid w:val="00D136CF"/>
    <w:rsid w:val="00D263DE"/>
    <w:rsid w:val="00D27269"/>
    <w:rsid w:val="00D30D75"/>
    <w:rsid w:val="00D30DE7"/>
    <w:rsid w:val="00D30F8C"/>
    <w:rsid w:val="00D30FA8"/>
    <w:rsid w:val="00D3444A"/>
    <w:rsid w:val="00D472C8"/>
    <w:rsid w:val="00D51F2E"/>
    <w:rsid w:val="00D530E5"/>
    <w:rsid w:val="00D53280"/>
    <w:rsid w:val="00D704CC"/>
    <w:rsid w:val="00D76004"/>
    <w:rsid w:val="00D775FC"/>
    <w:rsid w:val="00D81ED0"/>
    <w:rsid w:val="00D8287E"/>
    <w:rsid w:val="00D841E9"/>
    <w:rsid w:val="00D8723E"/>
    <w:rsid w:val="00D938DD"/>
    <w:rsid w:val="00D972B8"/>
    <w:rsid w:val="00D974D2"/>
    <w:rsid w:val="00D97C5B"/>
    <w:rsid w:val="00DA1EA0"/>
    <w:rsid w:val="00DB01AD"/>
    <w:rsid w:val="00DB3C5C"/>
    <w:rsid w:val="00DB3F2B"/>
    <w:rsid w:val="00DB55A1"/>
    <w:rsid w:val="00DB6009"/>
    <w:rsid w:val="00DB7D1B"/>
    <w:rsid w:val="00DC1D36"/>
    <w:rsid w:val="00DC3113"/>
    <w:rsid w:val="00DC4C04"/>
    <w:rsid w:val="00DE19B7"/>
    <w:rsid w:val="00DE3D6B"/>
    <w:rsid w:val="00DE4942"/>
    <w:rsid w:val="00DE5D83"/>
    <w:rsid w:val="00DF153F"/>
    <w:rsid w:val="00E058DD"/>
    <w:rsid w:val="00E05AAC"/>
    <w:rsid w:val="00E12BBB"/>
    <w:rsid w:val="00E219B2"/>
    <w:rsid w:val="00E22576"/>
    <w:rsid w:val="00E2439C"/>
    <w:rsid w:val="00E24808"/>
    <w:rsid w:val="00E33555"/>
    <w:rsid w:val="00E36CCF"/>
    <w:rsid w:val="00E42177"/>
    <w:rsid w:val="00E44CD0"/>
    <w:rsid w:val="00E452E2"/>
    <w:rsid w:val="00E5077D"/>
    <w:rsid w:val="00E51A54"/>
    <w:rsid w:val="00E51C83"/>
    <w:rsid w:val="00E5487B"/>
    <w:rsid w:val="00E5714A"/>
    <w:rsid w:val="00E626AB"/>
    <w:rsid w:val="00E67FEA"/>
    <w:rsid w:val="00E81038"/>
    <w:rsid w:val="00E869E9"/>
    <w:rsid w:val="00E87159"/>
    <w:rsid w:val="00E96A93"/>
    <w:rsid w:val="00EA06D5"/>
    <w:rsid w:val="00EB63A5"/>
    <w:rsid w:val="00EC287F"/>
    <w:rsid w:val="00EC7B5A"/>
    <w:rsid w:val="00ED08E5"/>
    <w:rsid w:val="00ED1550"/>
    <w:rsid w:val="00ED1FBC"/>
    <w:rsid w:val="00ED547E"/>
    <w:rsid w:val="00ED7C8B"/>
    <w:rsid w:val="00EF71D1"/>
    <w:rsid w:val="00F119BA"/>
    <w:rsid w:val="00F13BBF"/>
    <w:rsid w:val="00F140E1"/>
    <w:rsid w:val="00F17BB8"/>
    <w:rsid w:val="00F24BE0"/>
    <w:rsid w:val="00F3002D"/>
    <w:rsid w:val="00F30A45"/>
    <w:rsid w:val="00F318AA"/>
    <w:rsid w:val="00F31DA6"/>
    <w:rsid w:val="00F34E89"/>
    <w:rsid w:val="00F3734F"/>
    <w:rsid w:val="00F43D80"/>
    <w:rsid w:val="00F50160"/>
    <w:rsid w:val="00F5521F"/>
    <w:rsid w:val="00F614A3"/>
    <w:rsid w:val="00F65059"/>
    <w:rsid w:val="00F667EB"/>
    <w:rsid w:val="00F73AAC"/>
    <w:rsid w:val="00F75168"/>
    <w:rsid w:val="00F76407"/>
    <w:rsid w:val="00F80DED"/>
    <w:rsid w:val="00F82980"/>
    <w:rsid w:val="00F849ED"/>
    <w:rsid w:val="00F95657"/>
    <w:rsid w:val="00F968B4"/>
    <w:rsid w:val="00FA2A53"/>
    <w:rsid w:val="00FB01E5"/>
    <w:rsid w:val="00FB3F11"/>
    <w:rsid w:val="00FB56E1"/>
    <w:rsid w:val="00FC31A8"/>
    <w:rsid w:val="00FD25A9"/>
    <w:rsid w:val="00FE09BF"/>
    <w:rsid w:val="00FE208C"/>
    <w:rsid w:val="00FE708B"/>
    <w:rsid w:val="00FE7AED"/>
    <w:rsid w:val="00FF400D"/>
    <w:rsid w:val="00FF7DBF"/>
    <w:rsid w:val="026F7335"/>
    <w:rsid w:val="038F1EB8"/>
    <w:rsid w:val="03AC5ACB"/>
    <w:rsid w:val="05276BDC"/>
    <w:rsid w:val="08A1633B"/>
    <w:rsid w:val="0A2102E5"/>
    <w:rsid w:val="0AFB3396"/>
    <w:rsid w:val="0D397632"/>
    <w:rsid w:val="0DBB0B8B"/>
    <w:rsid w:val="0FDF5830"/>
    <w:rsid w:val="10610E55"/>
    <w:rsid w:val="114A472F"/>
    <w:rsid w:val="12450F86"/>
    <w:rsid w:val="1357799D"/>
    <w:rsid w:val="1505553D"/>
    <w:rsid w:val="15774A3C"/>
    <w:rsid w:val="15A71992"/>
    <w:rsid w:val="167504C9"/>
    <w:rsid w:val="169C3EA6"/>
    <w:rsid w:val="17BD4C61"/>
    <w:rsid w:val="17C53BF7"/>
    <w:rsid w:val="17FD55CD"/>
    <w:rsid w:val="18EF453A"/>
    <w:rsid w:val="19235F91"/>
    <w:rsid w:val="1B194FAD"/>
    <w:rsid w:val="1D713F49"/>
    <w:rsid w:val="1DE20EAA"/>
    <w:rsid w:val="1ED4263C"/>
    <w:rsid w:val="26720558"/>
    <w:rsid w:val="26E96EB6"/>
    <w:rsid w:val="28AF339E"/>
    <w:rsid w:val="29B44321"/>
    <w:rsid w:val="2C04518B"/>
    <w:rsid w:val="2C6B0E08"/>
    <w:rsid w:val="2D2B029F"/>
    <w:rsid w:val="2DB73E57"/>
    <w:rsid w:val="301536F0"/>
    <w:rsid w:val="314C3110"/>
    <w:rsid w:val="32821B23"/>
    <w:rsid w:val="32B610DA"/>
    <w:rsid w:val="36685EBD"/>
    <w:rsid w:val="37D47CF7"/>
    <w:rsid w:val="38A15470"/>
    <w:rsid w:val="3AA420B5"/>
    <w:rsid w:val="3C9A69B3"/>
    <w:rsid w:val="3DD0505D"/>
    <w:rsid w:val="41D51381"/>
    <w:rsid w:val="43452384"/>
    <w:rsid w:val="43515B2F"/>
    <w:rsid w:val="436038F5"/>
    <w:rsid w:val="446A2417"/>
    <w:rsid w:val="447119F7"/>
    <w:rsid w:val="47050B6E"/>
    <w:rsid w:val="47B37B67"/>
    <w:rsid w:val="47C06ACE"/>
    <w:rsid w:val="47DF167E"/>
    <w:rsid w:val="488806F8"/>
    <w:rsid w:val="497574A1"/>
    <w:rsid w:val="4AFD6B01"/>
    <w:rsid w:val="4D7E52CA"/>
    <w:rsid w:val="4D883292"/>
    <w:rsid w:val="4F293856"/>
    <w:rsid w:val="4F506750"/>
    <w:rsid w:val="559F4151"/>
    <w:rsid w:val="568A57DF"/>
    <w:rsid w:val="575435C3"/>
    <w:rsid w:val="578E5C76"/>
    <w:rsid w:val="57CB2891"/>
    <w:rsid w:val="58156E12"/>
    <w:rsid w:val="581F2122"/>
    <w:rsid w:val="58CA3025"/>
    <w:rsid w:val="58CD37B6"/>
    <w:rsid w:val="592102F4"/>
    <w:rsid w:val="5A7636CA"/>
    <w:rsid w:val="5A913ED9"/>
    <w:rsid w:val="5B0D3AF1"/>
    <w:rsid w:val="608149DC"/>
    <w:rsid w:val="61281AA0"/>
    <w:rsid w:val="61B90307"/>
    <w:rsid w:val="61C06520"/>
    <w:rsid w:val="6411475E"/>
    <w:rsid w:val="6415482C"/>
    <w:rsid w:val="647E7AED"/>
    <w:rsid w:val="651442FC"/>
    <w:rsid w:val="65774B59"/>
    <w:rsid w:val="657E576C"/>
    <w:rsid w:val="660E0537"/>
    <w:rsid w:val="66D55668"/>
    <w:rsid w:val="69295C37"/>
    <w:rsid w:val="6AB32780"/>
    <w:rsid w:val="6C14193E"/>
    <w:rsid w:val="6C3A278E"/>
    <w:rsid w:val="6C4F0192"/>
    <w:rsid w:val="6D4E70EB"/>
    <w:rsid w:val="6DBE71AC"/>
    <w:rsid w:val="70392147"/>
    <w:rsid w:val="716F27D7"/>
    <w:rsid w:val="74BE681F"/>
    <w:rsid w:val="761E187D"/>
    <w:rsid w:val="767E572A"/>
    <w:rsid w:val="77B94B74"/>
    <w:rsid w:val="787F2521"/>
    <w:rsid w:val="7D575211"/>
    <w:rsid w:val="7E46742A"/>
    <w:rsid w:val="7E71568C"/>
    <w:rsid w:val="7EEE01DA"/>
    <w:rsid w:val="7F2244DC"/>
    <w:rsid w:val="7F264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0" w:firstLineChars="200"/>
      <w:jc w:val="both"/>
    </w:pPr>
    <w:rPr>
      <w:rFonts w:eastAsia="宋体" w:asciiTheme="minorHAnsi" w:hAnsiTheme="minorHAnsi" w:cstheme="minorBidi"/>
      <w:kern w:val="2"/>
      <w:sz w:val="21"/>
      <w:szCs w:val="22"/>
      <w:lang w:val="en-US" w:eastAsia="zh-CN" w:bidi="ar-SA"/>
    </w:rPr>
  </w:style>
  <w:style w:type="paragraph" w:styleId="2">
    <w:name w:val="heading 1"/>
    <w:next w:val="1"/>
    <w:link w:val="29"/>
    <w:qFormat/>
    <w:uiPriority w:val="9"/>
    <w:pPr>
      <w:keepNext/>
      <w:keepLines/>
      <w:numPr>
        <w:ilvl w:val="0"/>
        <w:numId w:val="1"/>
      </w:numPr>
      <w:pBdr>
        <w:top w:val="none" w:color="auto" w:sz="0" w:space="1"/>
        <w:left w:val="none" w:color="auto" w:sz="0" w:space="4"/>
        <w:bottom w:val="none" w:color="D9E2F3" w:themeColor="accent1" w:themeTint="33" w:sz="0" w:space="0"/>
        <w:right w:val="none" w:color="auto" w:sz="0" w:space="4"/>
      </w:pBdr>
      <w:spacing w:before="50" w:beforeLines="50" w:after="50" w:afterLines="50"/>
      <w:ind w:left="0" w:firstLine="0"/>
      <w:outlineLvl w:val="0"/>
    </w:pPr>
    <w:rPr>
      <w:rFonts w:eastAsia="黑体" w:asciiTheme="majorHAnsi" w:hAnsiTheme="majorHAnsi" w:cstheme="majorBidi"/>
      <w:b/>
      <w:color w:val="000000" w:themeColor="text1"/>
      <w:sz w:val="24"/>
      <w:szCs w:val="36"/>
      <w:lang w:val="en-US" w:eastAsia="ja-JP" w:bidi="ar-SA"/>
      <w14:textFill>
        <w14:solidFill>
          <w14:schemeClr w14:val="tx1"/>
        </w14:solidFill>
      </w14:textFill>
    </w:rPr>
  </w:style>
  <w:style w:type="paragraph" w:styleId="3">
    <w:name w:val="heading 2"/>
    <w:next w:val="4"/>
    <w:link w:val="30"/>
    <w:unhideWhenUsed/>
    <w:qFormat/>
    <w:uiPriority w:val="9"/>
    <w:pPr>
      <w:keepNext/>
      <w:keepLines/>
      <w:numPr>
        <w:ilvl w:val="1"/>
        <w:numId w:val="1"/>
      </w:numPr>
      <w:spacing w:before="50" w:beforeLines="50" w:after="50" w:afterLines="50"/>
      <w:ind w:left="0" w:firstLine="0"/>
      <w:outlineLvl w:val="1"/>
    </w:pPr>
    <w:rPr>
      <w:rFonts w:eastAsia="黑体" w:asciiTheme="minorHAnsi" w:hAnsiTheme="minorHAnsi" w:cstheme="minorBidi"/>
      <w:b/>
      <w:bCs/>
      <w:color w:val="000000" w:themeColor="text1"/>
      <w:sz w:val="21"/>
      <w:szCs w:val="26"/>
      <w:lang w:val="en-US" w:eastAsia="ja-JP" w:bidi="ar-SA"/>
      <w14:textFill>
        <w14:solidFill>
          <w14:schemeClr w14:val="tx1"/>
        </w14:solidFill>
      </w14:textFill>
    </w:rPr>
  </w:style>
  <w:style w:type="paragraph" w:styleId="5">
    <w:name w:val="heading 3"/>
    <w:basedOn w:val="1"/>
    <w:next w:val="1"/>
    <w:link w:val="34"/>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1"/>
    <w:link w:val="35"/>
    <w:unhideWhenUsed/>
    <w:qFormat/>
    <w:uiPriority w:val="9"/>
    <w:pPr>
      <w:keepNext/>
      <w:keepLines/>
      <w:numPr>
        <w:ilvl w:val="3"/>
        <w:numId w:val="1"/>
      </w:numPr>
      <w:spacing w:before="280" w:after="290" w:line="377" w:lineRule="auto"/>
      <w:outlineLvl w:val="3"/>
    </w:pPr>
    <w:rPr>
      <w:rFonts w:eastAsia="黑体" w:asciiTheme="majorHAnsi" w:hAnsiTheme="majorHAnsi" w:cstheme="majorBidi"/>
      <w:b/>
      <w:bCs/>
      <w:sz w:val="24"/>
      <w:szCs w:val="28"/>
    </w:rPr>
  </w:style>
  <w:style w:type="paragraph" w:styleId="7">
    <w:name w:val="heading 5"/>
    <w:basedOn w:val="1"/>
    <w:next w:val="1"/>
    <w:semiHidden/>
    <w:unhideWhenUsed/>
    <w:qFormat/>
    <w:uiPriority w:val="9"/>
    <w:pPr>
      <w:keepNext/>
      <w:keepLines/>
      <w:numPr>
        <w:ilvl w:val="4"/>
        <w:numId w:val="1"/>
      </w:numPr>
      <w:spacing w:before="280" w:after="290" w:line="372" w:lineRule="auto"/>
      <w:outlineLvl w:val="4"/>
    </w:pPr>
    <w:rPr>
      <w:b/>
      <w:sz w:val="28"/>
    </w:rPr>
  </w:style>
  <w:style w:type="paragraph" w:styleId="8">
    <w:name w:val="heading 6"/>
    <w:basedOn w:val="1"/>
    <w:next w:val="1"/>
    <w:semiHidden/>
    <w:unhideWhenUsed/>
    <w:qFormat/>
    <w:uiPriority w:val="9"/>
    <w:pPr>
      <w:keepNext/>
      <w:keepLines/>
      <w:numPr>
        <w:ilvl w:val="5"/>
        <w:numId w:val="1"/>
      </w:numPr>
      <w:spacing w:before="240" w:after="64" w:line="317" w:lineRule="auto"/>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after="64" w:line="317" w:lineRule="auto"/>
      <w:outlineLvl w:val="6"/>
    </w:pPr>
    <w:rPr>
      <w:b/>
      <w:sz w:val="24"/>
    </w:rPr>
  </w:style>
  <w:style w:type="paragraph" w:styleId="10">
    <w:name w:val="heading 8"/>
    <w:basedOn w:val="1"/>
    <w:next w:val="1"/>
    <w:semiHidden/>
    <w:unhideWhenUsed/>
    <w:qFormat/>
    <w:uiPriority w:val="9"/>
    <w:pPr>
      <w:keepNext/>
      <w:keepLines/>
      <w:numPr>
        <w:ilvl w:val="7"/>
        <w:numId w:val="1"/>
      </w:numPr>
      <w:spacing w:before="240" w:after="64" w:line="317" w:lineRule="auto"/>
      <w:outlineLvl w:val="7"/>
    </w:pPr>
    <w:rPr>
      <w:rFonts w:ascii="Arial" w:hAnsi="Arial" w:eastAsia="黑体"/>
      <w:sz w:val="24"/>
    </w:rPr>
  </w:style>
  <w:style w:type="paragraph" w:styleId="11">
    <w:name w:val="heading 9"/>
    <w:basedOn w:val="1"/>
    <w:next w:val="1"/>
    <w:semiHidden/>
    <w:unhideWhenUsed/>
    <w:qFormat/>
    <w:uiPriority w:val="9"/>
    <w:pPr>
      <w:keepNext/>
      <w:keepLines/>
      <w:numPr>
        <w:ilvl w:val="8"/>
        <w:numId w:val="1"/>
      </w:numPr>
      <w:spacing w:before="240" w:after="64" w:line="317" w:lineRule="auto"/>
      <w:outlineLvl w:val="8"/>
    </w:pPr>
    <w:rPr>
      <w:rFonts w:ascii="Arial" w:hAnsi="Arial" w:eastAsia="黑体"/>
    </w:rPr>
  </w:style>
  <w:style w:type="character" w:default="1" w:styleId="23">
    <w:name w:val="Default Paragraph Font"/>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4">
    <w:name w:val="Plain Text"/>
    <w:basedOn w:val="1"/>
    <w:semiHidden/>
    <w:unhideWhenUsed/>
    <w:qFormat/>
    <w:uiPriority w:val="99"/>
    <w:rPr>
      <w:rFonts w:ascii="宋体" w:hAnsi="Courier New"/>
    </w:rPr>
  </w:style>
  <w:style w:type="paragraph" w:styleId="12">
    <w:name w:val="caption"/>
    <w:basedOn w:val="1"/>
    <w:next w:val="1"/>
    <w:unhideWhenUsed/>
    <w:qFormat/>
    <w:uiPriority w:val="35"/>
    <w:rPr>
      <w:rFonts w:ascii="Arial" w:hAnsi="Arial" w:eastAsia="黑体"/>
      <w:sz w:val="20"/>
    </w:rPr>
  </w:style>
  <w:style w:type="paragraph" w:styleId="13">
    <w:name w:val="annotation text"/>
    <w:basedOn w:val="1"/>
    <w:link w:val="37"/>
    <w:unhideWhenUsed/>
    <w:qFormat/>
    <w:uiPriority w:val="99"/>
    <w:pPr>
      <w:jc w:val="left"/>
    </w:pPr>
  </w:style>
  <w:style w:type="paragraph" w:styleId="14">
    <w:name w:val="Balloon Text"/>
    <w:basedOn w:val="1"/>
    <w:link w:val="39"/>
    <w:semiHidden/>
    <w:unhideWhenUsed/>
    <w:qFormat/>
    <w:uiPriority w:val="99"/>
    <w:rPr>
      <w:sz w:val="18"/>
      <w:szCs w:val="18"/>
    </w:rPr>
  </w:style>
  <w:style w:type="paragraph" w:styleId="15">
    <w:name w:val="footer"/>
    <w:basedOn w:val="1"/>
    <w:link w:val="32"/>
    <w:unhideWhenUsed/>
    <w:qFormat/>
    <w:uiPriority w:val="99"/>
    <w:pPr>
      <w:tabs>
        <w:tab w:val="center" w:pos="4153"/>
        <w:tab w:val="right" w:pos="8306"/>
      </w:tabs>
      <w:snapToGrid w:val="0"/>
      <w:jc w:val="left"/>
    </w:pPr>
    <w:rPr>
      <w:sz w:val="18"/>
      <w:szCs w:val="18"/>
    </w:rPr>
  </w:style>
  <w:style w:type="paragraph" w:styleId="16">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footnote text"/>
    <w:basedOn w:val="1"/>
    <w:semiHidden/>
    <w:unhideWhenUsed/>
    <w:qFormat/>
    <w:uiPriority w:val="99"/>
    <w:pPr>
      <w:snapToGrid w:val="0"/>
      <w:jc w:val="left"/>
    </w:pPr>
    <w:rPr>
      <w:sz w:val="18"/>
    </w:rPr>
  </w:style>
  <w:style w:type="paragraph" w:styleId="1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0">
    <w:name w:val="annotation subject"/>
    <w:basedOn w:val="13"/>
    <w:next w:val="13"/>
    <w:link w:val="38"/>
    <w:semiHidden/>
    <w:unhideWhenUsed/>
    <w:qFormat/>
    <w:uiPriority w:val="99"/>
    <w:rPr>
      <w:b/>
      <w:bCs/>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Emphasis"/>
    <w:basedOn w:val="23"/>
    <w:qFormat/>
    <w:uiPriority w:val="20"/>
    <w:rPr>
      <w:i/>
      <w:iCs/>
    </w:rPr>
  </w:style>
  <w:style w:type="character" w:styleId="26">
    <w:name w:val="Hyperlink"/>
    <w:basedOn w:val="23"/>
    <w:unhideWhenUsed/>
    <w:qFormat/>
    <w:uiPriority w:val="99"/>
    <w:rPr>
      <w:color w:val="0000FF"/>
      <w:u w:val="single"/>
    </w:rPr>
  </w:style>
  <w:style w:type="character" w:styleId="27">
    <w:name w:val="annotation reference"/>
    <w:basedOn w:val="23"/>
    <w:semiHidden/>
    <w:unhideWhenUsed/>
    <w:qFormat/>
    <w:uiPriority w:val="99"/>
    <w:rPr>
      <w:sz w:val="21"/>
      <w:szCs w:val="21"/>
    </w:rPr>
  </w:style>
  <w:style w:type="character" w:styleId="28">
    <w:name w:val="footnote reference"/>
    <w:basedOn w:val="23"/>
    <w:semiHidden/>
    <w:unhideWhenUsed/>
    <w:qFormat/>
    <w:uiPriority w:val="99"/>
    <w:rPr>
      <w:vertAlign w:val="superscript"/>
    </w:rPr>
  </w:style>
  <w:style w:type="character" w:customStyle="1" w:styleId="29">
    <w:name w:val="标题 1 字符"/>
    <w:basedOn w:val="23"/>
    <w:link w:val="2"/>
    <w:qFormat/>
    <w:uiPriority w:val="9"/>
    <w:rPr>
      <w:rFonts w:eastAsia="黑体" w:asciiTheme="majorHAnsi" w:hAnsiTheme="majorHAnsi" w:cstheme="majorBidi"/>
      <w:b/>
      <w:color w:val="000000" w:themeColor="text1"/>
      <w:sz w:val="24"/>
      <w:szCs w:val="36"/>
      <w:lang w:eastAsia="ja-JP"/>
      <w14:textFill>
        <w14:solidFill>
          <w14:schemeClr w14:val="tx1"/>
        </w14:solidFill>
      </w14:textFill>
    </w:rPr>
  </w:style>
  <w:style w:type="character" w:customStyle="1" w:styleId="30">
    <w:name w:val="标题 2 字符"/>
    <w:basedOn w:val="23"/>
    <w:link w:val="3"/>
    <w:qFormat/>
    <w:uiPriority w:val="9"/>
    <w:rPr>
      <w:rFonts w:eastAsia="黑体" w:asciiTheme="minorHAnsi" w:hAnsiTheme="minorHAnsi" w:cstheme="minorBidi"/>
      <w:b/>
      <w:bCs/>
      <w:color w:val="000000" w:themeColor="text1"/>
      <w:sz w:val="21"/>
      <w:szCs w:val="26"/>
      <w:lang w:eastAsia="ja-JP"/>
      <w14:textFill>
        <w14:solidFill>
          <w14:schemeClr w14:val="tx1"/>
        </w14:solidFill>
      </w14:textFill>
    </w:rPr>
  </w:style>
  <w:style w:type="character" w:customStyle="1" w:styleId="31">
    <w:name w:val="页眉 字符"/>
    <w:basedOn w:val="23"/>
    <w:link w:val="16"/>
    <w:qFormat/>
    <w:uiPriority w:val="99"/>
    <w:rPr>
      <w:sz w:val="18"/>
      <w:szCs w:val="18"/>
    </w:rPr>
  </w:style>
  <w:style w:type="character" w:customStyle="1" w:styleId="32">
    <w:name w:val="页脚 字符"/>
    <w:basedOn w:val="23"/>
    <w:link w:val="15"/>
    <w:qFormat/>
    <w:uiPriority w:val="99"/>
    <w:rPr>
      <w:sz w:val="18"/>
      <w:szCs w:val="18"/>
    </w:rPr>
  </w:style>
  <w:style w:type="character" w:customStyle="1" w:styleId="33">
    <w:name w:val="未处理的提及1"/>
    <w:basedOn w:val="23"/>
    <w:semiHidden/>
    <w:unhideWhenUsed/>
    <w:qFormat/>
    <w:uiPriority w:val="99"/>
    <w:rPr>
      <w:color w:val="605E5C"/>
      <w:shd w:val="clear" w:color="auto" w:fill="E1DFDD"/>
    </w:rPr>
  </w:style>
  <w:style w:type="character" w:customStyle="1" w:styleId="34">
    <w:name w:val="标题 3 字符"/>
    <w:basedOn w:val="23"/>
    <w:link w:val="5"/>
    <w:qFormat/>
    <w:uiPriority w:val="9"/>
    <w:rPr>
      <w:b/>
      <w:bCs/>
      <w:sz w:val="32"/>
      <w:szCs w:val="32"/>
    </w:rPr>
  </w:style>
  <w:style w:type="character" w:customStyle="1" w:styleId="35">
    <w:name w:val="标题 4 字符"/>
    <w:basedOn w:val="23"/>
    <w:link w:val="6"/>
    <w:qFormat/>
    <w:uiPriority w:val="9"/>
    <w:rPr>
      <w:rFonts w:eastAsia="黑体" w:asciiTheme="majorHAnsi" w:hAnsiTheme="majorHAnsi" w:cstheme="majorBidi"/>
      <w:b/>
      <w:bCs/>
      <w:sz w:val="24"/>
      <w:szCs w:val="28"/>
    </w:rPr>
  </w:style>
  <w:style w:type="paragraph" w:customStyle="1" w:styleId="36">
    <w:name w:val="修订1"/>
    <w:hidden/>
    <w:semiHidden/>
    <w:qFormat/>
    <w:uiPriority w:val="99"/>
    <w:rPr>
      <w:rFonts w:eastAsia="宋体" w:asciiTheme="minorHAnsi" w:hAnsiTheme="minorHAnsi" w:cstheme="minorBidi"/>
      <w:kern w:val="2"/>
      <w:sz w:val="21"/>
      <w:szCs w:val="22"/>
      <w:lang w:val="en-US" w:eastAsia="zh-CN" w:bidi="ar-SA"/>
    </w:rPr>
  </w:style>
  <w:style w:type="character" w:customStyle="1" w:styleId="37">
    <w:name w:val="批注文字 字符"/>
    <w:basedOn w:val="23"/>
    <w:link w:val="13"/>
    <w:qFormat/>
    <w:uiPriority w:val="99"/>
    <w:rPr>
      <w:rFonts w:asciiTheme="minorHAnsi" w:hAnsiTheme="minorHAnsi" w:cstheme="minorBidi"/>
      <w:kern w:val="2"/>
      <w:sz w:val="21"/>
      <w:szCs w:val="22"/>
    </w:rPr>
  </w:style>
  <w:style w:type="character" w:customStyle="1" w:styleId="38">
    <w:name w:val="批注主题 字符"/>
    <w:basedOn w:val="37"/>
    <w:link w:val="20"/>
    <w:semiHidden/>
    <w:qFormat/>
    <w:uiPriority w:val="99"/>
    <w:rPr>
      <w:rFonts w:asciiTheme="minorHAnsi" w:hAnsiTheme="minorHAnsi" w:cstheme="minorBidi"/>
      <w:b/>
      <w:bCs/>
      <w:kern w:val="2"/>
      <w:sz w:val="21"/>
      <w:szCs w:val="22"/>
    </w:rPr>
  </w:style>
  <w:style w:type="character" w:customStyle="1" w:styleId="39">
    <w:name w:val="批注框文本 字符"/>
    <w:basedOn w:val="23"/>
    <w:link w:val="14"/>
    <w:semiHidden/>
    <w:qFormat/>
    <w:uiPriority w:val="99"/>
    <w:rPr>
      <w:rFonts w:asciiTheme="minorHAnsi" w:hAnsiTheme="minorHAnsi" w:cstheme="minorBidi"/>
      <w:kern w:val="2"/>
      <w:sz w:val="18"/>
      <w:szCs w:val="18"/>
    </w:rPr>
  </w:style>
  <w:style w:type="paragraph" w:customStyle="1" w:styleId="40">
    <w:name w:val="修订2"/>
    <w:hidden/>
    <w:unhideWhenUsed/>
    <w:qFormat/>
    <w:uiPriority w:val="99"/>
    <w:rPr>
      <w:rFonts w:eastAsia="宋体" w:asciiTheme="minorHAnsi" w:hAnsiTheme="minorHAnsi" w:cstheme="minorBidi"/>
      <w:kern w:val="2"/>
      <w:sz w:val="21"/>
      <w:szCs w:val="22"/>
      <w:lang w:val="en-US" w:eastAsia="zh-CN" w:bidi="ar-SA"/>
    </w:rPr>
  </w:style>
  <w:style w:type="paragraph" w:styleId="41">
    <w:name w:val="List Paragraph"/>
    <w:basedOn w:val="1"/>
    <w:unhideWhenUsed/>
    <w:qFormat/>
    <w:uiPriority w:val="99"/>
    <w:pPr>
      <w:ind w:firstLine="420"/>
    </w:pPr>
  </w:style>
  <w:style w:type="paragraph" w:customStyle="1" w:styleId="42">
    <w:name w:val="书目1"/>
    <w:basedOn w:val="1"/>
    <w:next w:val="1"/>
    <w:unhideWhenUsed/>
    <w:qFormat/>
    <w:uiPriority w:val="37"/>
    <w:pPr>
      <w:tabs>
        <w:tab w:val="left" w:pos="504"/>
      </w:tabs>
      <w:ind w:left="504" w:hanging="504"/>
    </w:pPr>
  </w:style>
  <w:style w:type="paragraph" w:customStyle="1" w:styleId="43">
    <w:name w:val="修订3"/>
    <w:hidden/>
    <w:unhideWhenUsed/>
    <w:qFormat/>
    <w:uiPriority w:val="99"/>
    <w:rPr>
      <w:rFonts w:eastAsia="宋体" w:asciiTheme="minorHAnsi" w:hAnsiTheme="minorHAnsi" w:cstheme="minorBidi"/>
      <w:kern w:val="2"/>
      <w:sz w:val="21"/>
      <w:szCs w:val="22"/>
      <w:lang w:val="en-US" w:eastAsia="zh-CN" w:bidi="ar-SA"/>
    </w:rPr>
  </w:style>
  <w:style w:type="paragraph" w:customStyle="1" w:styleId="44">
    <w:name w:val="Revision"/>
    <w:hidden/>
    <w:unhideWhenUsed/>
    <w:qFormat/>
    <w:uiPriority w:val="99"/>
    <w:rPr>
      <w:rFonts w:eastAsia="宋体" w:asciiTheme="minorHAnsi" w:hAnsiTheme="minorHAnsi" w:cstheme="minorBidi"/>
      <w:kern w:val="2"/>
      <w:sz w:val="21"/>
      <w:szCs w:val="22"/>
      <w:lang w:val="en-US" w:eastAsia="zh-CN" w:bidi="ar-SA"/>
    </w:rPr>
  </w:style>
  <w:style w:type="table" w:customStyle="1" w:styleId="45">
    <w:name w:val="Plain Table 4"/>
    <w:basedOn w:val="21"/>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6">
    <w:name w:val="Grid Table Light"/>
    <w:basedOn w:val="21"/>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7">
    <w:name w:val="Bibliography"/>
    <w:basedOn w:val="1"/>
    <w:next w:val="1"/>
    <w:unhideWhenUsed/>
    <w:qFormat/>
    <w:uiPriority w:val="37"/>
    <w:pPr>
      <w:ind w:firstLine="360"/>
    </w:pPr>
    <w:rPr>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AppData\Roaming\Microsoft\Templates\202309079&#21556;&#27743;&#32534;&#20462;&#36864;&#25913;&#31295;%20(&#24050;&#33258;&#21160;&#24674;&#22797;).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4086D-1B7A-4E75-8AB6-60AB3E37BBAA}">
  <ds:schemaRefs/>
</ds:datastoreItem>
</file>

<file path=docProps/app.xml><?xml version="1.0" encoding="utf-8"?>
<Properties xmlns="http://schemas.openxmlformats.org/officeDocument/2006/extended-properties" xmlns:vt="http://schemas.openxmlformats.org/officeDocument/2006/docPropsVTypes">
  <Template>202309079吴江编修退改稿 (已自动恢复)</Template>
  <Pages>17</Pages>
  <Words>4498</Words>
  <Characters>9854</Characters>
  <Lines>2546</Lines>
  <Paragraphs>2663</Paragraphs>
  <TotalTime>10</TotalTime>
  <ScaleCrop>false</ScaleCrop>
  <LinksUpToDate>false</LinksUpToDate>
  <CharactersWithSpaces>10584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2026-03-12T12:17:00Z</dcterms:created>
  <dc:creator>王瑜</dc:creator>
  <cp:lastModifiedBy>王一鸣</cp:lastModifiedBy>
  <cp:lastPrinted>2026-03-11T12:35:00Z</cp:lastPrinted>
  <dcterms:modified xsi:type="dcterms:W3CDTF">2026-04-21T13:09:59Z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6BF6F7C3BF3A49FD808A52A6E1620A05_13</vt:lpwstr>
  </property>
  <property fmtid="{D5CDD505-2E9C-101B-9397-08002B2CF9AE}" pid="4" name="KSOTemplateDocerSaveRecord">
    <vt:lpwstr>eyJoZGlkIjoiNTliZDAzYzQ0ZDFiNzQ5ZjlkZjdkMTE5M2ExZjcwZDEiLCJ1c2VySWQiOiIxNzk1MzAyMzI4In0=</vt:lpwstr>
  </property>
  <property fmtid="{D5CDD505-2E9C-101B-9397-08002B2CF9AE}" pid="5" name="ZOTERO_PREF_1">
    <vt:lpwstr>&lt;data data-version="3" zotero-version="7.0.32"&gt;&lt;session id="OeC4SqK4"/&gt;&lt;style id="https://www.zotero-chinese.com/styles/GB-T-7714—2025（征求意见稿，顺序编码，双语）" hasBibliography="1" bibliographyStyleHasBeenSet="1"/&gt;&lt;prefs&gt;&lt;pref name="fieldType" value="Field"/&gt;&lt;/pref</vt:lpwstr>
  </property>
  <property fmtid="{D5CDD505-2E9C-101B-9397-08002B2CF9AE}" pid="6" name="ZOTERO_PREF_2">
    <vt:lpwstr>s&gt;&lt;/data&gt;</vt:lpwstr>
  </property>
</Properties>
</file>