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吃水果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桌上有一空盘子，最多允许存放一个水果。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假设爸爸可向盘中放一个苹果或放一个桔子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儿子专等盘中的桔子，女儿专等盘中的苹果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S＝1;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Sa＝0;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So＝0;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father();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son();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daughter();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void father()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将水果放入盘中;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if（放入的是桔子）V(So);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  V(Sa);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void son()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P(So);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从盘中取出桔子;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V(S);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吃桔子;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void daughter()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P(Sa);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从盘中取出苹果;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V(S);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吃苹果;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缓冲区读写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while（计算未完成）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得到一个计算结果；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P（Sb）；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将数送到缓冲区中；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V（Sa）；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IOP（）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while（打印工作未完成）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P（Sa）；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从缓冲区中取一数；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V（Sb）；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从打印机上输出；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2020-06-27T07:04:24Z</dcterms:created>
  <dc:creator>75781</dc:creator>
  <cp:lastModifiedBy>Molly.K</cp:lastModifiedBy>
  <dcterms:modified xsi:type="dcterms:W3CDTF">2020-06-27T07:12:04Z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