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030A69" w14:textId="77777777" w:rsidR="001045F6" w:rsidRPr="001045F6" w:rsidRDefault="001045F6" w:rsidP="00CE4BC3">
      <w:pPr>
        <w:spacing w:after="240" w:line="288" w:lineRule="auto"/>
        <w:rPr>
          <w:rFonts w:eastAsia="MS Gothic"/>
          <w:b/>
          <w:bCs w:val="0"/>
          <w:i/>
          <w:color w:val="000000" w:themeColor="text1"/>
          <w:sz w:val="28"/>
          <w:szCs w:val="26"/>
          <w:lang w:val="en-GB"/>
        </w:rPr>
      </w:pPr>
      <w:r w:rsidRPr="001045F6">
        <w:rPr>
          <w:rFonts w:eastAsia="MS Gothic"/>
          <w:b/>
          <w:i/>
          <w:color w:val="000000" w:themeColor="text1"/>
          <w:sz w:val="28"/>
          <w:szCs w:val="26"/>
          <w:lang w:val="en-GB"/>
        </w:rPr>
        <w:t>Methodological notes</w:t>
      </w:r>
    </w:p>
    <w:p w14:paraId="73B33D60" w14:textId="48BCC8A9" w:rsidR="001045F6" w:rsidRPr="00CE4BC3" w:rsidRDefault="001045F6" w:rsidP="00CE4BC3">
      <w:pPr>
        <w:spacing w:after="240" w:line="288" w:lineRule="auto"/>
        <w:rPr>
          <w:rFonts w:cs="Arial"/>
          <w:i/>
          <w:sz w:val="20"/>
          <w:szCs w:val="20"/>
          <w:lang w:val="en-GB"/>
        </w:rPr>
      </w:pPr>
      <w:r w:rsidRPr="00CE4BC3">
        <w:rPr>
          <w:rFonts w:cs="Arial"/>
          <w:i/>
          <w:sz w:val="20"/>
          <w:szCs w:val="20"/>
          <w:lang w:val="en-GB"/>
        </w:rPr>
        <w:t>All data refer to citizens of the Czech Republic and foreigners with permanent residence in the Czech Republic, third-country nationals with temporary residence in</w:t>
      </w:r>
      <w:r w:rsidRPr="00CE4BC3">
        <w:rPr>
          <w:i/>
          <w:sz w:val="20"/>
          <w:szCs w:val="20"/>
          <w:lang w:val="en-GB"/>
        </w:rPr>
        <w:t xml:space="preserve"> </w:t>
      </w:r>
      <w:r w:rsidRPr="00CE4BC3">
        <w:rPr>
          <w:rFonts w:cs="Arial"/>
          <w:i/>
          <w:sz w:val="20"/>
          <w:szCs w:val="20"/>
          <w:lang w:val="en-GB"/>
        </w:rPr>
        <w:t>the territory of the Czech Republic based on</w:t>
      </w:r>
      <w:r w:rsidR="00FA0371">
        <w:rPr>
          <w:rFonts w:cs="Arial"/>
          <w:i/>
          <w:sz w:val="20"/>
          <w:szCs w:val="20"/>
          <w:lang w:val="en-GB"/>
        </w:rPr>
        <w:t> </w:t>
      </w:r>
      <w:r w:rsidRPr="00CE4BC3">
        <w:rPr>
          <w:rFonts w:cs="Arial"/>
          <w:i/>
          <w:sz w:val="20"/>
          <w:szCs w:val="20"/>
          <w:lang w:val="en-GB"/>
        </w:rPr>
        <w:t>a</w:t>
      </w:r>
      <w:r w:rsidR="00FA0371">
        <w:rPr>
          <w:rFonts w:cs="Arial"/>
          <w:i/>
          <w:sz w:val="20"/>
          <w:szCs w:val="20"/>
          <w:lang w:val="en-GB"/>
        </w:rPr>
        <w:t> </w:t>
      </w:r>
      <w:r w:rsidRPr="00CE4BC3">
        <w:rPr>
          <w:rFonts w:cs="Arial"/>
          <w:i/>
          <w:sz w:val="20"/>
          <w:szCs w:val="20"/>
          <w:lang w:val="en-GB"/>
        </w:rPr>
        <w:t>long-term visa (over 90 days), nationals of th</w:t>
      </w:r>
      <w:bookmarkStart w:id="0" w:name="_GoBack"/>
      <w:bookmarkEnd w:id="0"/>
      <w:r w:rsidRPr="00CE4BC3">
        <w:rPr>
          <w:rFonts w:cs="Arial"/>
          <w:i/>
          <w:sz w:val="20"/>
          <w:szCs w:val="20"/>
          <w:lang w:val="en-GB"/>
        </w:rPr>
        <w:t>e EU Member States, Norway, Switzerland, Iceland, Liechtenstein and their family members with notified temporary residence in the territory of the Czech Republic and foreigners with valid asylum status in the Czech</w:t>
      </w:r>
      <w:r w:rsidR="0098174C">
        <w:rPr>
          <w:rFonts w:cs="Arial"/>
          <w:i/>
          <w:sz w:val="20"/>
          <w:szCs w:val="20"/>
          <w:lang w:val="en-GB"/>
        </w:rPr>
        <w:t xml:space="preserve"> </w:t>
      </w:r>
      <w:r w:rsidRPr="00CE4BC3">
        <w:rPr>
          <w:rFonts w:cs="Arial"/>
          <w:i/>
          <w:sz w:val="20"/>
          <w:szCs w:val="20"/>
          <w:lang w:val="en-GB"/>
        </w:rPr>
        <w:t>Republic.</w:t>
      </w:r>
      <w:r w:rsidR="007F25E1">
        <w:rPr>
          <w:rFonts w:cs="Arial"/>
          <w:i/>
          <w:sz w:val="20"/>
          <w:szCs w:val="20"/>
          <w:lang w:val="en-GB"/>
        </w:rPr>
        <w:t xml:space="preserve"> </w:t>
      </w:r>
      <w:r w:rsidR="007F25E1" w:rsidRPr="007F25E1">
        <w:rPr>
          <w:rFonts w:cs="Arial"/>
          <w:i/>
          <w:sz w:val="20"/>
          <w:szCs w:val="20"/>
          <w:lang w:val="en-GB"/>
        </w:rPr>
        <w:t>For more detailed information see</w:t>
      </w:r>
      <w:r w:rsidR="007F25E1">
        <w:rPr>
          <w:rFonts w:cs="Arial"/>
          <w:i/>
          <w:sz w:val="20"/>
          <w:szCs w:val="20"/>
          <w:lang w:val="en-GB"/>
        </w:rPr>
        <w:t xml:space="preserve"> </w:t>
      </w:r>
      <w:hyperlink r:id="rId7" w:history="1">
        <w:proofErr w:type="spellStart"/>
        <w:r w:rsidR="007F25E1" w:rsidRPr="007F25E1">
          <w:rPr>
            <w:rStyle w:val="Hypertextovodkaz"/>
            <w:rFonts w:cs="Arial"/>
            <w:i/>
            <w:sz w:val="20"/>
            <w:szCs w:val="20"/>
          </w:rPr>
          <w:t>Population</w:t>
        </w:r>
        <w:proofErr w:type="spellEnd"/>
        <w:r w:rsidR="007F25E1" w:rsidRPr="007F25E1">
          <w:rPr>
            <w:rStyle w:val="Hypertextovodkaz"/>
            <w:rFonts w:cs="Arial"/>
            <w:i/>
            <w:sz w:val="20"/>
            <w:szCs w:val="20"/>
          </w:rPr>
          <w:t xml:space="preserve"> - </w:t>
        </w:r>
        <w:proofErr w:type="spellStart"/>
        <w:r w:rsidR="007F25E1" w:rsidRPr="007F25E1">
          <w:rPr>
            <w:rStyle w:val="Hypertextovodkaz"/>
            <w:rFonts w:cs="Arial"/>
            <w:i/>
            <w:sz w:val="20"/>
            <w:szCs w:val="20"/>
          </w:rPr>
          <w:t>Methodology</w:t>
        </w:r>
        <w:proofErr w:type="spellEnd"/>
        <w:r w:rsidR="007F25E1" w:rsidRPr="007F25E1">
          <w:rPr>
            <w:rStyle w:val="Hypertextovodkaz"/>
            <w:rFonts w:cs="Arial"/>
            <w:i/>
            <w:sz w:val="20"/>
            <w:szCs w:val="20"/>
          </w:rPr>
          <w:t xml:space="preserve"> | CZSO</w:t>
        </w:r>
      </w:hyperlink>
    </w:p>
    <w:p w14:paraId="32B25603" w14:textId="6871EC92" w:rsidR="001045F6" w:rsidRPr="00CE4BC3" w:rsidRDefault="007F25E1" w:rsidP="00CE4BC3">
      <w:pPr>
        <w:spacing w:after="240" w:line="288" w:lineRule="auto"/>
        <w:rPr>
          <w:rFonts w:cs="Arial"/>
          <w:i/>
          <w:sz w:val="20"/>
          <w:szCs w:val="20"/>
          <w:lang w:val="en-GB"/>
        </w:rPr>
      </w:pPr>
      <w:r>
        <w:rPr>
          <w:rFonts w:cs="Arial"/>
          <w:i/>
          <w:sz w:val="20"/>
          <w:szCs w:val="20"/>
          <w:lang w:val="en-GB"/>
        </w:rPr>
        <w:t xml:space="preserve">For data sources for vital statistics, </w:t>
      </w:r>
      <w:r w:rsidR="001045F6" w:rsidRPr="00CE4BC3">
        <w:rPr>
          <w:rFonts w:cs="Arial"/>
          <w:i/>
          <w:sz w:val="20"/>
          <w:szCs w:val="20"/>
          <w:lang w:val="en-GB"/>
        </w:rPr>
        <w:t>definitions of demographic events and the most commonly used demographic indicators see</w:t>
      </w:r>
      <w:r w:rsidR="001045F6" w:rsidRPr="00CE4BC3">
        <w:rPr>
          <w:i/>
          <w:sz w:val="20"/>
          <w:szCs w:val="20"/>
          <w:lang w:val="en-GB"/>
        </w:rPr>
        <w:t xml:space="preserve"> </w:t>
      </w:r>
      <w:hyperlink r:id="rId8" w:history="1">
        <w:proofErr w:type="spellStart"/>
        <w:r w:rsidR="00AF78FE" w:rsidRPr="00AF78FE">
          <w:rPr>
            <w:rStyle w:val="Hypertextovodkaz"/>
            <w:rFonts w:cs="Arial"/>
            <w:i/>
            <w:sz w:val="20"/>
            <w:szCs w:val="20"/>
          </w:rPr>
          <w:t>Population</w:t>
        </w:r>
        <w:proofErr w:type="spellEnd"/>
        <w:r w:rsidR="00AF78FE" w:rsidRPr="00AF78FE">
          <w:rPr>
            <w:rStyle w:val="Hypertextovodkaz"/>
            <w:rFonts w:cs="Arial"/>
            <w:i/>
            <w:sz w:val="20"/>
            <w:szCs w:val="20"/>
          </w:rPr>
          <w:t xml:space="preserve"> </w:t>
        </w:r>
        <w:proofErr w:type="spellStart"/>
        <w:r w:rsidR="00AF78FE" w:rsidRPr="00AF78FE">
          <w:rPr>
            <w:rStyle w:val="Hypertextovodkaz"/>
            <w:rFonts w:cs="Arial"/>
            <w:i/>
            <w:sz w:val="20"/>
            <w:szCs w:val="20"/>
          </w:rPr>
          <w:t>change</w:t>
        </w:r>
        <w:proofErr w:type="spellEnd"/>
        <w:r w:rsidR="00AF78FE" w:rsidRPr="00AF78FE">
          <w:rPr>
            <w:rStyle w:val="Hypertextovodkaz"/>
            <w:rFonts w:cs="Arial"/>
            <w:i/>
            <w:sz w:val="20"/>
            <w:szCs w:val="20"/>
          </w:rPr>
          <w:t xml:space="preserve"> - </w:t>
        </w:r>
        <w:proofErr w:type="spellStart"/>
        <w:r w:rsidR="00AF78FE" w:rsidRPr="00AF78FE">
          <w:rPr>
            <w:rStyle w:val="Hypertextovodkaz"/>
            <w:rFonts w:cs="Arial"/>
            <w:i/>
            <w:sz w:val="20"/>
            <w:szCs w:val="20"/>
          </w:rPr>
          <w:t>Methodology</w:t>
        </w:r>
        <w:proofErr w:type="spellEnd"/>
        <w:r w:rsidR="00AF78FE" w:rsidRPr="00AF78FE">
          <w:rPr>
            <w:rStyle w:val="Hypertextovodkaz"/>
            <w:rFonts w:cs="Arial"/>
            <w:i/>
            <w:sz w:val="20"/>
            <w:szCs w:val="20"/>
          </w:rPr>
          <w:t xml:space="preserve"> | CZSO</w:t>
        </w:r>
      </w:hyperlink>
    </w:p>
    <w:p w14:paraId="7E9A81DC" w14:textId="77777777" w:rsidR="001045F6" w:rsidRPr="00CE4BC3" w:rsidRDefault="001045F6" w:rsidP="00CE4BC3">
      <w:pPr>
        <w:spacing w:after="240" w:line="288" w:lineRule="auto"/>
        <w:rPr>
          <w:rFonts w:cs="Arial"/>
          <w:i/>
          <w:sz w:val="20"/>
          <w:szCs w:val="20"/>
          <w:lang w:val="en-GB"/>
        </w:rPr>
      </w:pPr>
      <w:r w:rsidRPr="00CE4BC3">
        <w:rPr>
          <w:rFonts w:cs="Arial"/>
          <w:i/>
          <w:sz w:val="20"/>
          <w:szCs w:val="20"/>
          <w:lang w:val="en-GB"/>
        </w:rPr>
        <w:t xml:space="preserve">Age (in years, days) means completed age. </w:t>
      </w:r>
    </w:p>
    <w:p w14:paraId="0874CDC9" w14:textId="1B7AA590" w:rsidR="001045F6" w:rsidRPr="00CE4BC3" w:rsidRDefault="001045F6" w:rsidP="00CE4BC3">
      <w:pPr>
        <w:spacing w:after="240" w:line="288" w:lineRule="auto"/>
        <w:rPr>
          <w:rFonts w:cs="Arial"/>
          <w:i/>
          <w:sz w:val="20"/>
          <w:szCs w:val="20"/>
          <w:lang w:val="en-GB"/>
        </w:rPr>
      </w:pPr>
      <w:r w:rsidRPr="00CE4BC3">
        <w:rPr>
          <w:rStyle w:val="jlqj4b"/>
          <w:rFonts w:eastAsia="MS Gothic"/>
          <w:i/>
          <w:sz w:val="20"/>
          <w:szCs w:val="20"/>
          <w:lang w:val="en-GB"/>
        </w:rPr>
        <w:t xml:space="preserve">From 2021, the </w:t>
      </w:r>
      <w:r w:rsidRPr="00CE4BC3">
        <w:rPr>
          <w:rStyle w:val="jlqj4b"/>
          <w:rFonts w:eastAsia="MS Gothic"/>
          <w:b/>
          <w:i/>
          <w:sz w:val="20"/>
          <w:szCs w:val="20"/>
          <w:lang w:val="en-GB"/>
        </w:rPr>
        <w:t>territory of regions</w:t>
      </w:r>
      <w:r w:rsidRPr="00CE4BC3">
        <w:rPr>
          <w:rStyle w:val="jlqj4b"/>
          <w:rFonts w:eastAsia="MS Gothic"/>
          <w:i/>
          <w:sz w:val="20"/>
          <w:szCs w:val="20"/>
          <w:lang w:val="en-GB"/>
        </w:rPr>
        <w:t xml:space="preserve"> (NUTS 3) is defined by the Act No 51/2020 Sb, on the Territorial Administrative Division of the State.</w:t>
      </w:r>
      <w:r w:rsidRPr="00CE4BC3">
        <w:rPr>
          <w:rStyle w:val="viiyi"/>
          <w:rFonts w:eastAsia="MS Gothic"/>
          <w:i/>
          <w:sz w:val="20"/>
          <w:szCs w:val="20"/>
          <w:lang w:val="en-GB"/>
        </w:rPr>
        <w:t xml:space="preserve"> </w:t>
      </w:r>
      <w:r w:rsidRPr="00CE4BC3">
        <w:rPr>
          <w:rStyle w:val="jlqj4b"/>
          <w:rFonts w:eastAsia="MS Gothic"/>
          <w:i/>
          <w:sz w:val="20"/>
          <w:szCs w:val="20"/>
          <w:lang w:val="en-GB"/>
        </w:rPr>
        <w:t xml:space="preserve">Regions </w:t>
      </w:r>
      <w:proofErr w:type="gramStart"/>
      <w:r w:rsidRPr="00CE4BC3">
        <w:rPr>
          <w:rStyle w:val="jlqj4b"/>
          <w:rFonts w:eastAsia="MS Gothic"/>
          <w:i/>
          <w:sz w:val="20"/>
          <w:szCs w:val="20"/>
          <w:lang w:val="en-GB"/>
        </w:rPr>
        <w:t>are defined</w:t>
      </w:r>
      <w:proofErr w:type="gramEnd"/>
      <w:r w:rsidRPr="00CE4BC3">
        <w:rPr>
          <w:rStyle w:val="jlqj4b"/>
          <w:rFonts w:eastAsia="MS Gothic"/>
          <w:i/>
          <w:sz w:val="20"/>
          <w:szCs w:val="20"/>
          <w:lang w:val="en-GB"/>
        </w:rPr>
        <w:t xml:space="preserve"> by the Administrative Districts of Municipalities with</w:t>
      </w:r>
      <w:r w:rsidR="00FA0371">
        <w:rPr>
          <w:rStyle w:val="jlqj4b"/>
          <w:rFonts w:eastAsia="MS Gothic"/>
          <w:i/>
          <w:sz w:val="20"/>
          <w:szCs w:val="20"/>
          <w:lang w:val="en-GB"/>
        </w:rPr>
        <w:t> </w:t>
      </w:r>
      <w:r w:rsidRPr="00CE4BC3">
        <w:rPr>
          <w:rStyle w:val="jlqj4b"/>
          <w:rFonts w:eastAsia="MS Gothic"/>
          <w:i/>
          <w:sz w:val="20"/>
          <w:szCs w:val="20"/>
          <w:lang w:val="en-GB"/>
        </w:rPr>
        <w:t>Extended Powers (see Decree No 346/2020 Sb, on the determination of administrative districts of</w:t>
      </w:r>
      <w:r w:rsidR="00FA0371">
        <w:rPr>
          <w:rStyle w:val="jlqj4b"/>
          <w:rFonts w:eastAsia="MS Gothic"/>
          <w:i/>
          <w:sz w:val="20"/>
          <w:szCs w:val="20"/>
          <w:lang w:val="en-GB"/>
        </w:rPr>
        <w:t> </w:t>
      </w:r>
      <w:r w:rsidRPr="00CE4BC3">
        <w:rPr>
          <w:rStyle w:val="jlqj4b"/>
          <w:rFonts w:eastAsia="MS Gothic"/>
          <w:i/>
          <w:sz w:val="20"/>
          <w:szCs w:val="20"/>
          <w:lang w:val="en-GB"/>
        </w:rPr>
        <w:t>municipalities with extended powers, the territory of districts of the capital city of Prague and the inclusion of</w:t>
      </w:r>
      <w:r w:rsidR="00FA0371">
        <w:rPr>
          <w:rStyle w:val="jlqj4b"/>
          <w:rFonts w:eastAsia="MS Gothic"/>
          <w:i/>
          <w:sz w:val="20"/>
          <w:szCs w:val="20"/>
          <w:lang w:val="en-GB"/>
        </w:rPr>
        <w:t> </w:t>
      </w:r>
      <w:r w:rsidRPr="00CE4BC3">
        <w:rPr>
          <w:rStyle w:val="jlqj4b"/>
          <w:rFonts w:eastAsia="MS Gothic"/>
          <w:i/>
          <w:sz w:val="20"/>
          <w:szCs w:val="20"/>
          <w:lang w:val="en-GB"/>
        </w:rPr>
        <w:t>certain municipalities to another district).</w:t>
      </w:r>
    </w:p>
    <w:p w14:paraId="04074B0D" w14:textId="4B2E5868" w:rsidR="001045F6" w:rsidRPr="00CE4BC3" w:rsidRDefault="001045F6" w:rsidP="00CE4BC3">
      <w:pPr>
        <w:spacing w:after="240" w:line="288" w:lineRule="auto"/>
        <w:rPr>
          <w:rFonts w:cs="Arial"/>
          <w:i/>
          <w:sz w:val="20"/>
          <w:szCs w:val="20"/>
          <w:lang w:val="en-GB"/>
        </w:rPr>
      </w:pPr>
      <w:r w:rsidRPr="00CE4BC3">
        <w:rPr>
          <w:rFonts w:cs="Arial"/>
          <w:i/>
          <w:sz w:val="20"/>
          <w:szCs w:val="20"/>
          <w:lang w:val="en-GB"/>
        </w:rPr>
        <w:t>The publication contains data on the population and population change of the individual regions (and the Czech Republic) in the ten-year time series 2011</w:t>
      </w:r>
      <w:r w:rsidR="00FA0371">
        <w:rPr>
          <w:rFonts w:cs="Arial"/>
          <w:i/>
          <w:sz w:val="20"/>
          <w:szCs w:val="20"/>
          <w:lang w:val="en-GB"/>
        </w:rPr>
        <w:t>—</w:t>
      </w:r>
      <w:r w:rsidRPr="00CE4BC3">
        <w:rPr>
          <w:rFonts w:cs="Arial"/>
          <w:i/>
          <w:sz w:val="20"/>
          <w:szCs w:val="20"/>
          <w:lang w:val="en-GB"/>
        </w:rPr>
        <w:t>202</w:t>
      </w:r>
      <w:r w:rsidR="00AF78FE">
        <w:rPr>
          <w:rFonts w:cs="Arial"/>
          <w:i/>
          <w:sz w:val="20"/>
          <w:szCs w:val="20"/>
          <w:lang w:val="en-GB"/>
        </w:rPr>
        <w:t>1</w:t>
      </w:r>
      <w:r w:rsidRPr="00CE4BC3">
        <w:rPr>
          <w:i/>
          <w:sz w:val="20"/>
          <w:szCs w:val="20"/>
          <w:lang w:val="en-GB"/>
        </w:rPr>
        <w:t xml:space="preserve"> </w:t>
      </w:r>
      <w:r w:rsidRPr="00CE4BC3">
        <w:rPr>
          <w:rFonts w:cs="Arial"/>
          <w:i/>
          <w:sz w:val="20"/>
          <w:szCs w:val="20"/>
          <w:lang w:val="en-GB"/>
        </w:rPr>
        <w:t xml:space="preserve">with all data referring to the </w:t>
      </w:r>
      <w:r w:rsidRPr="00CE4BC3">
        <w:rPr>
          <w:rFonts w:cs="Arial"/>
          <w:b/>
          <w:i/>
          <w:sz w:val="20"/>
          <w:szCs w:val="20"/>
          <w:lang w:val="en-GB"/>
        </w:rPr>
        <w:t>territory of a given region</w:t>
      </w:r>
      <w:r w:rsidRPr="00CE4BC3">
        <w:rPr>
          <w:rFonts w:cs="Arial"/>
          <w:i/>
          <w:sz w:val="20"/>
          <w:szCs w:val="20"/>
          <w:lang w:val="en-GB"/>
        </w:rPr>
        <w:t xml:space="preserve"> valid </w:t>
      </w:r>
      <w:r w:rsidRPr="00CE4BC3">
        <w:rPr>
          <w:rFonts w:cs="Arial"/>
          <w:b/>
          <w:i/>
          <w:sz w:val="20"/>
          <w:szCs w:val="20"/>
          <w:lang w:val="en-GB"/>
        </w:rPr>
        <w:t>as of 1 January 202</w:t>
      </w:r>
      <w:r w:rsidR="00AF78FE">
        <w:rPr>
          <w:rFonts w:cs="Arial"/>
          <w:b/>
          <w:i/>
          <w:sz w:val="20"/>
          <w:szCs w:val="20"/>
          <w:lang w:val="en-GB"/>
        </w:rPr>
        <w:t>2</w:t>
      </w:r>
      <w:r w:rsidRPr="00CE4BC3">
        <w:rPr>
          <w:rFonts w:cs="Arial"/>
          <w:i/>
          <w:sz w:val="20"/>
          <w:szCs w:val="20"/>
          <w:lang w:val="en-GB"/>
        </w:rPr>
        <w:t>. The presented data for individual regions are thus fully comparable over</w:t>
      </w:r>
      <w:r w:rsidR="00FA0371">
        <w:rPr>
          <w:rFonts w:cs="Arial"/>
          <w:i/>
          <w:sz w:val="20"/>
          <w:szCs w:val="20"/>
          <w:lang w:val="en-GB"/>
        </w:rPr>
        <w:t> </w:t>
      </w:r>
      <w:r w:rsidRPr="00CE4BC3">
        <w:rPr>
          <w:rFonts w:cs="Arial"/>
          <w:i/>
          <w:sz w:val="20"/>
          <w:szCs w:val="20"/>
          <w:lang w:val="en-GB"/>
        </w:rPr>
        <w:t>time</w:t>
      </w:r>
      <w:r w:rsidRPr="00CE4BC3">
        <w:rPr>
          <w:rStyle w:val="Znakapoznpodarou"/>
          <w:rFonts w:cs="Arial"/>
          <w:i/>
          <w:sz w:val="20"/>
          <w:szCs w:val="20"/>
          <w:lang w:val="en-GB"/>
        </w:rPr>
        <w:footnoteReference w:id="1"/>
      </w:r>
      <w:r w:rsidRPr="00CE4BC3">
        <w:rPr>
          <w:rFonts w:cs="Arial"/>
          <w:i/>
          <w:sz w:val="20"/>
          <w:szCs w:val="20"/>
          <w:lang w:val="en-GB"/>
        </w:rPr>
        <w:t xml:space="preserve">. </w:t>
      </w:r>
    </w:p>
    <w:p w14:paraId="26D6D996" w14:textId="77777777" w:rsidR="001045F6" w:rsidRPr="00CE4BC3" w:rsidRDefault="001045F6" w:rsidP="00CE4BC3">
      <w:pPr>
        <w:spacing w:after="240" w:line="288" w:lineRule="auto"/>
        <w:rPr>
          <w:rFonts w:eastAsia="MS Gothic"/>
          <w:i/>
          <w:sz w:val="20"/>
          <w:szCs w:val="20"/>
          <w:lang w:val="en-GB"/>
        </w:rPr>
      </w:pPr>
      <w:r w:rsidRPr="00CE4BC3">
        <w:rPr>
          <w:rStyle w:val="jlqj4b"/>
          <w:rFonts w:eastAsia="MS Gothic"/>
          <w:i/>
          <w:sz w:val="20"/>
          <w:szCs w:val="20"/>
          <w:lang w:val="en-GB"/>
        </w:rPr>
        <w:t xml:space="preserve">In this period, the territorial change of regions took place only once, by Act No 15/2015 Sb, effective from 1 January 2016, which abolished the </w:t>
      </w:r>
      <w:r w:rsidRPr="00CE4BC3">
        <w:rPr>
          <w:rStyle w:val="jlqj4b"/>
          <w:rFonts w:eastAsia="MS Gothic"/>
          <w:i/>
          <w:color w:val="000000" w:themeColor="text1"/>
          <w:sz w:val="20"/>
          <w:szCs w:val="20"/>
          <w:lang w:val="en-GB"/>
        </w:rPr>
        <w:t xml:space="preserve">Brdy Military Area </w:t>
      </w:r>
      <w:r w:rsidRPr="00CE4BC3">
        <w:rPr>
          <w:rStyle w:val="jlqj4b"/>
          <w:rFonts w:eastAsia="MS Gothic"/>
          <w:i/>
          <w:sz w:val="20"/>
          <w:szCs w:val="20"/>
          <w:lang w:val="en-GB"/>
        </w:rPr>
        <w:t xml:space="preserve">in the Central Bohemian Region (Středočeský kraj) and set up new boundaries for other </w:t>
      </w:r>
      <w:r w:rsidRPr="00CE4BC3">
        <w:rPr>
          <w:rStyle w:val="jlqj4b"/>
          <w:rFonts w:eastAsia="MS Gothic"/>
          <w:i/>
          <w:color w:val="000000" w:themeColor="text1"/>
          <w:sz w:val="20"/>
          <w:szCs w:val="20"/>
          <w:lang w:val="en-GB"/>
        </w:rPr>
        <w:t>Military Areas.</w:t>
      </w:r>
      <w:r w:rsidRPr="00CE4BC3">
        <w:rPr>
          <w:rStyle w:val="viiyi"/>
          <w:rFonts w:eastAsia="MS Gothic"/>
          <w:i/>
          <w:color w:val="000000" w:themeColor="text1"/>
          <w:sz w:val="20"/>
          <w:szCs w:val="20"/>
          <w:lang w:val="en-GB"/>
        </w:rPr>
        <w:t xml:space="preserve"> </w:t>
      </w:r>
      <w:r w:rsidRPr="00CE4BC3">
        <w:rPr>
          <w:rStyle w:val="jlqj4b"/>
          <w:rFonts w:eastAsia="MS Gothic"/>
          <w:i/>
          <w:color w:val="000000" w:themeColor="text1"/>
          <w:sz w:val="20"/>
          <w:szCs w:val="20"/>
          <w:lang w:val="en-GB"/>
        </w:rPr>
        <w:t xml:space="preserve">In </w:t>
      </w:r>
      <w:r w:rsidRPr="00CE4BC3">
        <w:rPr>
          <w:rStyle w:val="jlqj4b"/>
          <w:rFonts w:eastAsia="MS Gothic"/>
          <w:i/>
          <w:sz w:val="20"/>
          <w:szCs w:val="20"/>
          <w:lang w:val="en-GB"/>
        </w:rPr>
        <w:t>accordance with the change in the territorial determination of the cadastral areas concerned, the borders and population size of the Central Bohemian Region, the Plzeň Region (Plzeňský kraj), the Karlovy Vary Region (Karlovarský kraj), the Ústí nad Labem Region (Ústecký kraj), the South Moravian Region (Jihomoravský kraj) and the Olomouc Region (Olomoucký kraj) were changed.</w:t>
      </w:r>
      <w:r w:rsidRPr="00CE4BC3">
        <w:rPr>
          <w:rStyle w:val="viiyi"/>
          <w:rFonts w:eastAsia="MS Gothic"/>
          <w:i/>
          <w:sz w:val="20"/>
          <w:szCs w:val="20"/>
          <w:lang w:val="en-GB"/>
        </w:rPr>
        <w:t xml:space="preserve"> P</w:t>
      </w:r>
      <w:r w:rsidRPr="00CE4BC3">
        <w:rPr>
          <w:rStyle w:val="jlqj4b"/>
          <w:rFonts w:eastAsia="MS Gothic"/>
          <w:i/>
          <w:color w:val="000000" w:themeColor="text1"/>
          <w:sz w:val="20"/>
          <w:szCs w:val="20"/>
          <w:lang w:val="en-GB"/>
        </w:rPr>
        <w:t xml:space="preserve">art of the population from the abolished Brdy Military Area </w:t>
      </w:r>
      <w:r w:rsidRPr="00CE4BC3">
        <w:rPr>
          <w:rStyle w:val="jlqj4b"/>
          <w:rFonts w:eastAsia="MS Gothic"/>
          <w:i/>
          <w:sz w:val="20"/>
          <w:szCs w:val="20"/>
          <w:lang w:val="en-GB"/>
        </w:rPr>
        <w:t xml:space="preserve">(inhabitants living in the cadastral area of the municipality of Skořice) </w:t>
      </w:r>
      <w:r w:rsidRPr="00CE4BC3">
        <w:rPr>
          <w:rStyle w:val="jlqj4b"/>
          <w:rFonts w:eastAsia="MS Gothic"/>
          <w:i/>
          <w:color w:val="000000" w:themeColor="text1"/>
          <w:sz w:val="20"/>
          <w:szCs w:val="20"/>
          <w:lang w:val="en-GB"/>
        </w:rPr>
        <w:t>in the Central Bohemian Region was newly</w:t>
      </w:r>
      <w:r w:rsidRPr="00CE4BC3">
        <w:rPr>
          <w:rStyle w:val="jlqj4b"/>
          <w:rFonts w:eastAsia="MS Gothic"/>
          <w:i/>
          <w:sz w:val="20"/>
          <w:szCs w:val="20"/>
          <w:lang w:val="en-GB"/>
        </w:rPr>
        <w:t xml:space="preserve"> integrated into the Plzeň Region.</w:t>
      </w:r>
      <w:r w:rsidRPr="00CE4BC3">
        <w:rPr>
          <w:rStyle w:val="viiyi"/>
          <w:rFonts w:eastAsia="MS Gothic"/>
          <w:i/>
          <w:sz w:val="20"/>
          <w:szCs w:val="20"/>
          <w:lang w:val="en-GB"/>
        </w:rPr>
        <w:t xml:space="preserve"> </w:t>
      </w:r>
      <w:r w:rsidRPr="00CE4BC3">
        <w:rPr>
          <w:rStyle w:val="jlqj4b"/>
          <w:rFonts w:eastAsia="MS Gothic"/>
          <w:i/>
          <w:color w:val="000000" w:themeColor="text1"/>
          <w:sz w:val="20"/>
          <w:szCs w:val="20"/>
          <w:lang w:val="en-GB"/>
        </w:rPr>
        <w:t>Part of the population of the Hradiště Military Area in the Karlovy Vary Region was integrated into the Ústí nad Labem</w:t>
      </w:r>
      <w:r w:rsidRPr="00CE4BC3">
        <w:rPr>
          <w:rStyle w:val="jlqj4b"/>
          <w:rFonts w:eastAsia="MS Gothic"/>
          <w:i/>
          <w:sz w:val="20"/>
          <w:szCs w:val="20"/>
          <w:lang w:val="en-GB"/>
        </w:rPr>
        <w:t xml:space="preserve"> Region (inhabitants living in the cadastral areas of the municipalities of Podbořanský Rohozec and Radonice).</w:t>
      </w:r>
      <w:r w:rsidRPr="00CE4BC3">
        <w:rPr>
          <w:rStyle w:val="viiyi"/>
          <w:rFonts w:eastAsia="MS Gothic"/>
          <w:i/>
          <w:sz w:val="20"/>
          <w:szCs w:val="20"/>
          <w:lang w:val="en-GB"/>
        </w:rPr>
        <w:t xml:space="preserve"> </w:t>
      </w:r>
      <w:r w:rsidRPr="00CE4BC3">
        <w:rPr>
          <w:rStyle w:val="jlqj4b"/>
          <w:rFonts w:eastAsia="MS Gothic"/>
          <w:i/>
          <w:color w:val="000000" w:themeColor="text1"/>
          <w:sz w:val="20"/>
          <w:szCs w:val="20"/>
          <w:lang w:val="en-GB"/>
        </w:rPr>
        <w:t>The population of the Březina Military Area in th</w:t>
      </w:r>
      <w:r w:rsidRPr="00CE4BC3">
        <w:rPr>
          <w:rStyle w:val="jlqj4b"/>
          <w:rFonts w:eastAsia="MS Gothic"/>
          <w:i/>
          <w:sz w:val="20"/>
          <w:szCs w:val="20"/>
          <w:lang w:val="en-GB"/>
        </w:rPr>
        <w:t>e South Moravian Region was newly integrated into the population of the Olomouc Region (into the municipalities of Krumsín and Otaslavice).</w:t>
      </w:r>
    </w:p>
    <w:p w14:paraId="4943FE2B" w14:textId="4C02787B" w:rsidR="001045F6" w:rsidRPr="00CE4BC3" w:rsidRDefault="001045F6" w:rsidP="00CE4BC3">
      <w:pPr>
        <w:spacing w:after="240" w:line="288" w:lineRule="auto"/>
        <w:rPr>
          <w:rFonts w:cs="Arial"/>
          <w:i/>
          <w:sz w:val="20"/>
          <w:szCs w:val="20"/>
          <w:lang w:val="en-GB"/>
        </w:rPr>
      </w:pPr>
      <w:r w:rsidRPr="00CE4BC3">
        <w:rPr>
          <w:rFonts w:cs="Arial"/>
          <w:i/>
          <w:sz w:val="20"/>
          <w:szCs w:val="20"/>
          <w:lang w:val="en-GB"/>
        </w:rPr>
        <w:t xml:space="preserve">Marriages are territorially classified according to the groom's place of residence (unless otherwise stated).  The average age of the groom/bride at marriage </w:t>
      </w:r>
      <w:proofErr w:type="gramStart"/>
      <w:r w:rsidRPr="00CE4BC3">
        <w:rPr>
          <w:rFonts w:cs="Arial"/>
          <w:i/>
          <w:sz w:val="20"/>
          <w:szCs w:val="20"/>
          <w:lang w:val="en-GB"/>
        </w:rPr>
        <w:t>is based</w:t>
      </w:r>
      <w:proofErr w:type="gramEnd"/>
      <w:r w:rsidRPr="00CE4BC3">
        <w:rPr>
          <w:rFonts w:cs="Arial"/>
          <w:i/>
          <w:sz w:val="20"/>
          <w:szCs w:val="20"/>
          <w:lang w:val="en-GB"/>
        </w:rPr>
        <w:t xml:space="preserve"> on the distribution of the number of marriages by</w:t>
      </w:r>
      <w:r w:rsidR="00FA0371">
        <w:rPr>
          <w:rFonts w:cs="Arial"/>
          <w:i/>
          <w:sz w:val="20"/>
          <w:szCs w:val="20"/>
          <w:lang w:val="en-GB"/>
        </w:rPr>
        <w:t> </w:t>
      </w:r>
      <w:r w:rsidRPr="00CE4BC3">
        <w:rPr>
          <w:rFonts w:cs="Arial"/>
          <w:i/>
          <w:sz w:val="20"/>
          <w:szCs w:val="20"/>
          <w:lang w:val="en-GB"/>
        </w:rPr>
        <w:t xml:space="preserve">age of groom/bride. </w:t>
      </w:r>
    </w:p>
    <w:p w14:paraId="507A8C24" w14:textId="20BC5D1D" w:rsidR="001045F6" w:rsidRPr="00CE4BC3" w:rsidRDefault="001045F6" w:rsidP="00CE4BC3">
      <w:pPr>
        <w:spacing w:after="240" w:line="288" w:lineRule="auto"/>
        <w:rPr>
          <w:rFonts w:cs="Arial"/>
          <w:i/>
          <w:sz w:val="20"/>
          <w:szCs w:val="20"/>
          <w:lang w:val="en-GB"/>
        </w:rPr>
      </w:pPr>
      <w:r w:rsidRPr="00CE4BC3">
        <w:rPr>
          <w:rFonts w:cs="Arial"/>
          <w:i/>
          <w:sz w:val="20"/>
          <w:szCs w:val="20"/>
          <w:lang w:val="en-GB"/>
        </w:rPr>
        <w:t>Divorces are territorially classified according to the last common residence of the married couple. The</w:t>
      </w:r>
      <w:r w:rsidR="00FA0371">
        <w:rPr>
          <w:rFonts w:cs="Arial"/>
          <w:i/>
          <w:sz w:val="20"/>
          <w:szCs w:val="20"/>
          <w:lang w:val="en-GB"/>
        </w:rPr>
        <w:t> </w:t>
      </w:r>
      <w:r w:rsidRPr="00CE4BC3">
        <w:rPr>
          <w:rFonts w:cs="Arial"/>
          <w:i/>
          <w:sz w:val="20"/>
          <w:szCs w:val="20"/>
          <w:lang w:val="en-GB"/>
        </w:rPr>
        <w:t xml:space="preserve">duration of the marriage </w:t>
      </w:r>
      <w:proofErr w:type="gramStart"/>
      <w:r w:rsidRPr="00CE4BC3">
        <w:rPr>
          <w:rFonts w:cs="Arial"/>
          <w:i/>
          <w:sz w:val="20"/>
          <w:szCs w:val="20"/>
          <w:lang w:val="en-GB"/>
        </w:rPr>
        <w:t>is based</w:t>
      </w:r>
      <w:proofErr w:type="gramEnd"/>
      <w:r w:rsidRPr="00CE4BC3">
        <w:rPr>
          <w:rFonts w:cs="Arial"/>
          <w:i/>
          <w:sz w:val="20"/>
          <w:szCs w:val="20"/>
          <w:lang w:val="en-GB"/>
        </w:rPr>
        <w:t xml:space="preserve"> on the date of the marriage and the date when divorce became legally effective. The average age of the man/woman at divorce </w:t>
      </w:r>
      <w:proofErr w:type="gramStart"/>
      <w:r w:rsidRPr="00CE4BC3">
        <w:rPr>
          <w:rFonts w:cs="Arial"/>
          <w:i/>
          <w:sz w:val="20"/>
          <w:szCs w:val="20"/>
          <w:lang w:val="en-GB"/>
        </w:rPr>
        <w:t>is based</w:t>
      </w:r>
      <w:proofErr w:type="gramEnd"/>
      <w:r w:rsidRPr="00CE4BC3">
        <w:rPr>
          <w:rFonts w:cs="Arial"/>
          <w:i/>
          <w:sz w:val="20"/>
          <w:szCs w:val="20"/>
          <w:lang w:val="en-GB"/>
        </w:rPr>
        <w:t xml:space="preserve"> on the distribution of the number of</w:t>
      </w:r>
      <w:r w:rsidR="00FA0371">
        <w:rPr>
          <w:rFonts w:cs="Arial"/>
          <w:i/>
          <w:sz w:val="20"/>
          <w:szCs w:val="20"/>
          <w:lang w:val="en-GB"/>
        </w:rPr>
        <w:t> </w:t>
      </w:r>
      <w:r w:rsidRPr="00CE4BC3">
        <w:rPr>
          <w:rFonts w:cs="Arial"/>
          <w:i/>
          <w:sz w:val="20"/>
          <w:szCs w:val="20"/>
          <w:lang w:val="en-GB"/>
        </w:rPr>
        <w:t xml:space="preserve">divorces by age of man/woman. </w:t>
      </w:r>
    </w:p>
    <w:p w14:paraId="085F16BA" w14:textId="754CF753" w:rsidR="001045F6" w:rsidRPr="00CE4BC3" w:rsidRDefault="001045F6" w:rsidP="00CE4BC3">
      <w:pPr>
        <w:spacing w:after="240" w:line="288" w:lineRule="auto"/>
        <w:rPr>
          <w:rFonts w:cs="Arial"/>
          <w:i/>
          <w:sz w:val="20"/>
          <w:szCs w:val="20"/>
          <w:lang w:val="en-GB"/>
        </w:rPr>
      </w:pPr>
      <w:r w:rsidRPr="00CE4BC3">
        <w:rPr>
          <w:rFonts w:cs="Arial"/>
          <w:i/>
          <w:sz w:val="20"/>
          <w:szCs w:val="20"/>
          <w:lang w:val="en-GB"/>
        </w:rPr>
        <w:lastRenderedPageBreak/>
        <w:t>The births are territorially classified according to the mother's place of residence at the time of birth. Until 2013, the birth order of the child took all children born to the woman into account (i.e. including stillbirths), from 2014, the birth order is collected only for live births and from live births. The average age of mother at</w:t>
      </w:r>
      <w:r w:rsidR="00FA0371">
        <w:rPr>
          <w:rFonts w:cs="Arial"/>
          <w:i/>
          <w:sz w:val="20"/>
          <w:szCs w:val="20"/>
          <w:lang w:val="en-GB"/>
        </w:rPr>
        <w:t> </w:t>
      </w:r>
      <w:r w:rsidRPr="00CE4BC3">
        <w:rPr>
          <w:rFonts w:cs="Arial"/>
          <w:i/>
          <w:sz w:val="20"/>
          <w:szCs w:val="20"/>
          <w:lang w:val="en-GB"/>
        </w:rPr>
        <w:t xml:space="preserve">childbirth </w:t>
      </w:r>
      <w:proofErr w:type="gramStart"/>
      <w:r w:rsidRPr="00CE4BC3">
        <w:rPr>
          <w:rFonts w:cs="Arial"/>
          <w:i/>
          <w:sz w:val="20"/>
          <w:szCs w:val="20"/>
          <w:lang w:val="en-GB"/>
        </w:rPr>
        <w:t>is based</w:t>
      </w:r>
      <w:proofErr w:type="gramEnd"/>
      <w:r w:rsidRPr="00CE4BC3">
        <w:rPr>
          <w:rFonts w:cs="Arial"/>
          <w:i/>
          <w:sz w:val="20"/>
          <w:szCs w:val="20"/>
          <w:lang w:val="en-GB"/>
        </w:rPr>
        <w:t xml:space="preserve"> on the distribution of the number of live births by age of mother.</w:t>
      </w:r>
    </w:p>
    <w:p w14:paraId="480FCED6" w14:textId="259608A7" w:rsidR="001045F6" w:rsidRPr="00CE4BC3" w:rsidRDefault="001045F6" w:rsidP="00CE4BC3">
      <w:pPr>
        <w:spacing w:after="240" w:line="288" w:lineRule="auto"/>
        <w:rPr>
          <w:rFonts w:cs="Arial"/>
          <w:i/>
          <w:sz w:val="20"/>
          <w:szCs w:val="20"/>
          <w:lang w:val="en-GB"/>
        </w:rPr>
      </w:pPr>
      <w:r w:rsidRPr="00CE4BC3">
        <w:rPr>
          <w:rFonts w:cs="Arial"/>
          <w:i/>
          <w:sz w:val="20"/>
          <w:szCs w:val="20"/>
          <w:lang w:val="en-GB"/>
        </w:rPr>
        <w:t>Territorially, abortions are classified according to the woman's place of residence at the time of the abortion.</w:t>
      </w:r>
    </w:p>
    <w:p w14:paraId="101E13FE" w14:textId="1C09FFA7" w:rsidR="001045F6" w:rsidRPr="00CE4BC3" w:rsidRDefault="001045F6" w:rsidP="00CE4BC3">
      <w:pPr>
        <w:spacing w:after="240" w:line="288" w:lineRule="auto"/>
        <w:rPr>
          <w:rFonts w:cs="Arial"/>
          <w:i/>
          <w:sz w:val="20"/>
          <w:szCs w:val="20"/>
          <w:lang w:val="en-GB"/>
        </w:rPr>
      </w:pPr>
      <w:r w:rsidRPr="00CE4BC3">
        <w:rPr>
          <w:rFonts w:cs="Arial"/>
          <w:i/>
          <w:sz w:val="20"/>
          <w:szCs w:val="20"/>
          <w:lang w:val="en-GB"/>
        </w:rPr>
        <w:t>Life expectancy is an indicator of life tables, which the Czech Statistical Office computes for individual regions for two-year calendar periods to exclude random fluctuations. The figure for 202</w:t>
      </w:r>
      <w:r w:rsidR="00AF78FE">
        <w:rPr>
          <w:rFonts w:cs="Arial"/>
          <w:i/>
          <w:sz w:val="20"/>
          <w:szCs w:val="20"/>
          <w:lang w:val="en-GB"/>
        </w:rPr>
        <w:t>1</w:t>
      </w:r>
      <w:r w:rsidRPr="00CE4BC3">
        <w:rPr>
          <w:rFonts w:cs="Arial"/>
          <w:i/>
          <w:sz w:val="20"/>
          <w:szCs w:val="20"/>
          <w:lang w:val="en-GB"/>
        </w:rPr>
        <w:t xml:space="preserve"> relates to the life table for the period 20</w:t>
      </w:r>
      <w:r w:rsidR="00AF78FE">
        <w:rPr>
          <w:rFonts w:cs="Arial"/>
          <w:i/>
          <w:sz w:val="20"/>
          <w:szCs w:val="20"/>
          <w:lang w:val="en-GB"/>
        </w:rPr>
        <w:t>20</w:t>
      </w:r>
      <w:r w:rsidR="00FA0371">
        <w:rPr>
          <w:rFonts w:cs="Arial"/>
          <w:i/>
          <w:sz w:val="20"/>
          <w:szCs w:val="20"/>
          <w:lang w:val="en-GB"/>
        </w:rPr>
        <w:t>—</w:t>
      </w:r>
      <w:r w:rsidRPr="00CE4BC3">
        <w:rPr>
          <w:rFonts w:cs="Arial"/>
          <w:i/>
          <w:sz w:val="20"/>
          <w:szCs w:val="20"/>
          <w:lang w:val="en-GB"/>
        </w:rPr>
        <w:t>202</w:t>
      </w:r>
      <w:r w:rsidR="00AF78FE">
        <w:rPr>
          <w:rFonts w:cs="Arial"/>
          <w:i/>
          <w:sz w:val="20"/>
          <w:szCs w:val="20"/>
          <w:lang w:val="en-GB"/>
        </w:rPr>
        <w:t>1</w:t>
      </w:r>
      <w:r w:rsidRPr="00CE4BC3">
        <w:rPr>
          <w:rFonts w:cs="Arial"/>
          <w:i/>
          <w:sz w:val="20"/>
          <w:szCs w:val="20"/>
          <w:lang w:val="en-GB"/>
        </w:rPr>
        <w:t>, etc. For the Czech Republic, life expectancies ​​are based on one-year life tables.</w:t>
      </w:r>
    </w:p>
    <w:p w14:paraId="0FCE46CD" w14:textId="77777777" w:rsidR="001045F6" w:rsidRPr="00CE4BC3" w:rsidRDefault="001045F6" w:rsidP="00CE4BC3">
      <w:pPr>
        <w:spacing w:after="240" w:line="288" w:lineRule="auto"/>
        <w:contextualSpacing/>
        <w:rPr>
          <w:rFonts w:cs="Arial"/>
          <w:i/>
          <w:sz w:val="20"/>
          <w:szCs w:val="20"/>
          <w:lang w:val="en-GB"/>
        </w:rPr>
      </w:pPr>
      <w:r w:rsidRPr="00CE4BC3">
        <w:rPr>
          <w:rFonts w:cs="Arial"/>
          <w:i/>
          <w:sz w:val="20"/>
          <w:szCs w:val="20"/>
          <w:lang w:val="en-GB"/>
        </w:rPr>
        <w:t>Symbols used in the tables:</w:t>
      </w:r>
    </w:p>
    <w:p w14:paraId="777EEE07" w14:textId="77777777" w:rsidR="001045F6" w:rsidRPr="00CE4BC3" w:rsidRDefault="001045F6" w:rsidP="001045F6">
      <w:pPr>
        <w:ind w:left="357"/>
        <w:contextualSpacing/>
        <w:rPr>
          <w:i/>
          <w:sz w:val="20"/>
          <w:szCs w:val="20"/>
          <w:lang w:val="en-GB"/>
        </w:rPr>
      </w:pPr>
    </w:p>
    <w:p w14:paraId="5B7E6E4A" w14:textId="77777777" w:rsidR="001045F6" w:rsidRPr="00CE4BC3" w:rsidRDefault="001045F6" w:rsidP="001045F6">
      <w:pPr>
        <w:contextualSpacing/>
        <w:rPr>
          <w:i/>
          <w:sz w:val="20"/>
          <w:szCs w:val="20"/>
          <w:lang w:val="en-GB"/>
        </w:rPr>
      </w:pPr>
      <w:r w:rsidRPr="00CE4BC3">
        <w:rPr>
          <w:i/>
          <w:sz w:val="20"/>
          <w:szCs w:val="20"/>
          <w:lang w:val="en-GB"/>
        </w:rPr>
        <w:t xml:space="preserve">Hyphen (-) </w:t>
      </w:r>
      <w:r w:rsidRPr="00CE4BC3">
        <w:rPr>
          <w:i/>
          <w:sz w:val="20"/>
          <w:szCs w:val="20"/>
          <w:lang w:val="en-GB"/>
        </w:rPr>
        <w:tab/>
        <w:t>in place of the number indicates that the phenomenon did not occur</w:t>
      </w:r>
    </w:p>
    <w:p w14:paraId="1C59EE84" w14:textId="77777777" w:rsidR="001045F6" w:rsidRPr="00CE4BC3" w:rsidRDefault="001045F6" w:rsidP="001045F6">
      <w:pPr>
        <w:contextualSpacing/>
        <w:rPr>
          <w:i/>
          <w:sz w:val="20"/>
          <w:szCs w:val="20"/>
          <w:lang w:val="en-GB"/>
        </w:rPr>
      </w:pPr>
      <w:r w:rsidRPr="00CE4BC3">
        <w:rPr>
          <w:i/>
          <w:sz w:val="20"/>
          <w:szCs w:val="20"/>
          <w:lang w:val="en-GB"/>
        </w:rPr>
        <w:t>Dot (.)</w:t>
      </w:r>
      <w:r w:rsidRPr="00CE4BC3">
        <w:rPr>
          <w:i/>
          <w:sz w:val="20"/>
          <w:szCs w:val="20"/>
          <w:lang w:val="en-GB"/>
        </w:rPr>
        <w:tab/>
      </w:r>
      <w:r w:rsidRPr="00CE4BC3">
        <w:rPr>
          <w:i/>
          <w:sz w:val="20"/>
          <w:szCs w:val="20"/>
          <w:lang w:val="en-GB"/>
        </w:rPr>
        <w:tab/>
        <w:t>in place of the number indicates that the data is not available or is unreliable</w:t>
      </w:r>
    </w:p>
    <w:p w14:paraId="5F92434B" w14:textId="55676CBF" w:rsidR="00206735" w:rsidRPr="00CE4BC3" w:rsidRDefault="001045F6" w:rsidP="00CE4BC3">
      <w:pPr>
        <w:ind w:left="1418" w:hanging="1418"/>
        <w:contextualSpacing/>
        <w:rPr>
          <w:i/>
          <w:sz w:val="20"/>
          <w:szCs w:val="20"/>
          <w:lang w:val="en-GB"/>
        </w:rPr>
      </w:pPr>
      <w:r w:rsidRPr="00CE4BC3">
        <w:rPr>
          <w:i/>
          <w:sz w:val="20"/>
          <w:szCs w:val="20"/>
          <w:lang w:val="en-GB"/>
        </w:rPr>
        <w:t>Letter (x)</w:t>
      </w:r>
      <w:r w:rsidRPr="00CE4BC3">
        <w:rPr>
          <w:i/>
          <w:sz w:val="20"/>
          <w:szCs w:val="20"/>
          <w:lang w:val="en-GB"/>
        </w:rPr>
        <w:tab/>
        <w:t>a horizontal cross in place of the number indicates that record is not possible for logical reasons</w:t>
      </w:r>
    </w:p>
    <w:sectPr w:rsidR="00206735" w:rsidRPr="00CE4BC3" w:rsidSect="00437D90">
      <w:headerReference w:type="even" r:id="rId9"/>
      <w:headerReference w:type="default" r:id="rId10"/>
      <w:footerReference w:type="even" r:id="rId11"/>
      <w:footerReference w:type="default" r:id="rId12"/>
      <w:type w:val="continuous"/>
      <w:pgSz w:w="11907" w:h="16840" w:code="9"/>
      <w:pgMar w:top="1134" w:right="1134" w:bottom="1418" w:left="1134" w:header="510" w:footer="680" w:gutter="0"/>
      <w:pgNumType w:start="5"/>
      <w:cols w:space="708"/>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4304B" w14:textId="77777777" w:rsidR="004F5CA0" w:rsidRDefault="004F5CA0" w:rsidP="00152720">
      <w:r>
        <w:separator/>
      </w:r>
    </w:p>
  </w:endnote>
  <w:endnote w:type="continuationSeparator" w:id="0">
    <w:p w14:paraId="14CE13CE" w14:textId="77777777" w:rsidR="004F5CA0" w:rsidRDefault="004F5CA0" w:rsidP="00152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Italic">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CF9CE" w14:textId="2BA1E010" w:rsidR="00F37084" w:rsidRDefault="00437D90" w:rsidP="00437D90">
    <w:pPr>
      <w:pStyle w:val="Zpat"/>
      <w:tabs>
        <w:tab w:val="left" w:pos="255"/>
        <w:tab w:val="center" w:pos="4819"/>
      </w:tabs>
    </w:pPr>
    <w:r>
      <w:fldChar w:fldCharType="begin"/>
    </w:r>
    <w:r>
      <w:instrText>PAGE   \* MERGEFORMAT</w:instrText>
    </w:r>
    <w:r>
      <w:fldChar w:fldCharType="separate"/>
    </w:r>
    <w:r w:rsidR="00FA0371">
      <w:rPr>
        <w:noProof/>
      </w:rPr>
      <w:t>6</w:t>
    </w:r>
    <w:r>
      <w:fldChar w:fldCharType="end"/>
    </w:r>
    <w:r>
      <w:tab/>
    </w:r>
    <w:r>
      <w:tab/>
    </w:r>
    <w:r w:rsidR="00F37084">
      <w:rPr>
        <w:noProof/>
      </w:rPr>
      <w:drawing>
        <wp:anchor distT="0" distB="0" distL="114300" distR="114300" simplePos="0" relativeHeight="251659264" behindDoc="0" locked="0" layoutInCell="1" allowOverlap="1" wp14:anchorId="69776187" wp14:editId="23E57480">
          <wp:simplePos x="719138" y="10053638"/>
          <wp:positionH relativeFrom="column">
            <wp:align>right</wp:align>
          </wp:positionH>
          <wp:positionV relativeFrom="paragraph">
            <wp:posOffset>-64770</wp:posOffset>
          </wp:positionV>
          <wp:extent cx="428400" cy="201600"/>
          <wp:effectExtent l="0" t="0" r="0" b="8255"/>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uhy do zápatí.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8400" cy="201600"/>
                  </a:xfrm>
                  <a:prstGeom prst="rect">
                    <a:avLst/>
                  </a:prstGeom>
                </pic:spPr>
              </pic:pic>
            </a:graphicData>
          </a:graphic>
          <wp14:sizeRelH relativeFrom="margin">
            <wp14:pctWidth>0</wp14:pctWidth>
          </wp14:sizeRelH>
          <wp14:sizeRelV relativeFrom="margin">
            <wp14:pctHeight>0</wp14:pctHeight>
          </wp14:sizeRelV>
        </wp:anchor>
      </w:drawing>
    </w:r>
    <w:r w:rsidR="005779C7">
      <w:t>2012</w:t>
    </w:r>
    <w:r w:rsidR="00FA0371">
      <w:t>—</w:t>
    </w:r>
    <w:r w:rsidR="00F37084">
      <w:t>202</w:t>
    </w:r>
    <w:r w:rsidR="005779C7">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26FC2" w14:textId="1363BA4D" w:rsidR="00F37084" w:rsidRDefault="00437D90" w:rsidP="00437D90">
    <w:pPr>
      <w:pStyle w:val="Zpat"/>
      <w:tabs>
        <w:tab w:val="center" w:pos="4819"/>
        <w:tab w:val="right" w:pos="9639"/>
      </w:tabs>
    </w:pPr>
    <w:r>
      <w:fldChar w:fldCharType="begin"/>
    </w:r>
    <w:r>
      <w:instrText>PAGE   \* MERGEFORMAT</w:instrText>
    </w:r>
    <w:r>
      <w:fldChar w:fldCharType="separate"/>
    </w:r>
    <w:r w:rsidR="00FA0371">
      <w:rPr>
        <w:noProof/>
      </w:rPr>
      <w:t>5</w:t>
    </w:r>
    <w:r>
      <w:fldChar w:fldCharType="end"/>
    </w:r>
    <w:r>
      <w:tab/>
    </w:r>
    <w:r w:rsidR="00F37084">
      <w:rPr>
        <w:noProof/>
      </w:rPr>
      <w:drawing>
        <wp:anchor distT="0" distB="0" distL="114300" distR="114300" simplePos="0" relativeHeight="251658240" behindDoc="0" locked="0" layoutInCell="1" allowOverlap="1" wp14:anchorId="34B32107" wp14:editId="5706CACE">
          <wp:simplePos x="719138" y="9991725"/>
          <wp:positionH relativeFrom="column">
            <wp:align>left</wp:align>
          </wp:positionH>
          <wp:positionV relativeFrom="paragraph">
            <wp:posOffset>-122555</wp:posOffset>
          </wp:positionV>
          <wp:extent cx="511200" cy="270000"/>
          <wp:effectExtent l="0" t="0" r="3175"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ČSÚ logo do zápatí.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270000"/>
                  </a:xfrm>
                  <a:prstGeom prst="rect">
                    <a:avLst/>
                  </a:prstGeom>
                </pic:spPr>
              </pic:pic>
            </a:graphicData>
          </a:graphic>
          <wp14:sizeRelH relativeFrom="margin">
            <wp14:pctWidth>0</wp14:pctWidth>
          </wp14:sizeRelH>
          <wp14:sizeRelV relativeFrom="margin">
            <wp14:pctHeight>0</wp14:pctHeight>
          </wp14:sizeRelV>
        </wp:anchor>
      </w:drawing>
    </w:r>
    <w:r w:rsidR="00490B5F">
      <w:t>2012</w:t>
    </w:r>
    <w:r w:rsidR="00FA0371">
      <w:t>—</w:t>
    </w:r>
    <w:r w:rsidR="00F37084">
      <w:t>202</w:t>
    </w:r>
    <w:r w:rsidR="00490B5F">
      <w:t>1</w:t>
    </w:r>
    <w:r>
      <w:tab/>
    </w:r>
    <w:r>
      <w:tab/>
    </w:r>
    <w:r>
      <w:fldChar w:fldCharType="begin"/>
    </w:r>
    <w:r>
      <w:instrText>PAGE   \* MERGEFORMAT</w:instrText>
    </w:r>
    <w:r>
      <w:fldChar w:fldCharType="separate"/>
    </w:r>
    <w:r w:rsidR="00FA0371">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AB54C" w14:textId="77777777" w:rsidR="004F5CA0" w:rsidRDefault="004F5CA0" w:rsidP="00152720">
      <w:r>
        <w:separator/>
      </w:r>
    </w:p>
  </w:footnote>
  <w:footnote w:type="continuationSeparator" w:id="0">
    <w:p w14:paraId="07BF7AD3" w14:textId="77777777" w:rsidR="004F5CA0" w:rsidRDefault="004F5CA0" w:rsidP="00152720">
      <w:r>
        <w:continuationSeparator/>
      </w:r>
    </w:p>
  </w:footnote>
  <w:footnote w:id="1">
    <w:p w14:paraId="05634DC3" w14:textId="77777777" w:rsidR="001045F6" w:rsidRPr="00E75754" w:rsidRDefault="001045F6" w:rsidP="001045F6">
      <w:pPr>
        <w:rPr>
          <w:rFonts w:cs="Arial"/>
          <w:i/>
          <w:sz w:val="18"/>
          <w:szCs w:val="18"/>
        </w:rPr>
      </w:pPr>
      <w:r w:rsidRPr="00E75754">
        <w:rPr>
          <w:rStyle w:val="Znakapoznpodarou"/>
          <w:i/>
          <w:sz w:val="18"/>
          <w:szCs w:val="18"/>
        </w:rPr>
        <w:footnoteRef/>
      </w:r>
      <w:r w:rsidRPr="00E75754">
        <w:rPr>
          <w:i/>
          <w:sz w:val="18"/>
          <w:szCs w:val="18"/>
        </w:rPr>
        <w:t xml:space="preserve"> </w:t>
      </w:r>
      <w:r w:rsidRPr="00E75754">
        <w:rPr>
          <w:i/>
          <w:sz w:val="18"/>
          <w:szCs w:val="18"/>
          <w:lang w:val="en-GB"/>
        </w:rPr>
        <w:t xml:space="preserve">In the case of a change in the territorial </w:t>
      </w:r>
      <w:r>
        <w:rPr>
          <w:i/>
          <w:sz w:val="18"/>
          <w:szCs w:val="18"/>
          <w:lang w:val="en-GB"/>
        </w:rPr>
        <w:t>determination</w:t>
      </w:r>
      <w:r w:rsidRPr="00E75754">
        <w:rPr>
          <w:i/>
          <w:sz w:val="18"/>
          <w:szCs w:val="18"/>
          <w:lang w:val="en-GB"/>
        </w:rPr>
        <w:t xml:space="preserve"> of a region in a given time series, the data presented here </w:t>
      </w:r>
      <w:r>
        <w:rPr>
          <w:i/>
          <w:sz w:val="18"/>
          <w:szCs w:val="18"/>
          <w:lang w:val="en-GB"/>
        </w:rPr>
        <w:t>for</w:t>
      </w:r>
      <w:r w:rsidRPr="00E75754">
        <w:rPr>
          <w:i/>
          <w:sz w:val="18"/>
          <w:szCs w:val="18"/>
          <w:lang w:val="en-GB"/>
        </w:rPr>
        <w:t xml:space="preserve"> the years </w:t>
      </w:r>
      <w:r>
        <w:rPr>
          <w:i/>
          <w:sz w:val="18"/>
          <w:szCs w:val="18"/>
          <w:lang w:val="en-GB"/>
        </w:rPr>
        <w:t>prior to</w:t>
      </w:r>
      <w:r w:rsidRPr="00E75754">
        <w:rPr>
          <w:i/>
          <w:sz w:val="18"/>
          <w:szCs w:val="18"/>
          <w:lang w:val="en-GB"/>
        </w:rPr>
        <w:t xml:space="preserve"> this change differ from the data presented in other outputs of demographic statistics </w:t>
      </w:r>
      <w:r>
        <w:rPr>
          <w:i/>
          <w:sz w:val="18"/>
          <w:szCs w:val="18"/>
          <w:lang w:val="en-GB"/>
        </w:rPr>
        <w:t xml:space="preserve">of the Czech Statistical Office </w:t>
      </w:r>
      <w:r w:rsidRPr="00E75754">
        <w:rPr>
          <w:i/>
          <w:sz w:val="18"/>
          <w:szCs w:val="18"/>
          <w:lang w:val="en-GB"/>
        </w:rPr>
        <w:t xml:space="preserve">and </w:t>
      </w:r>
      <w:r>
        <w:rPr>
          <w:i/>
          <w:sz w:val="18"/>
          <w:szCs w:val="18"/>
          <w:lang w:val="en-GB"/>
        </w:rPr>
        <w:t xml:space="preserve">in </w:t>
      </w:r>
      <w:r w:rsidRPr="00E75754">
        <w:rPr>
          <w:i/>
          <w:sz w:val="18"/>
          <w:szCs w:val="18"/>
          <w:lang w:val="en-GB"/>
        </w:rPr>
        <w:t xml:space="preserve">the </w:t>
      </w:r>
      <w:r>
        <w:rPr>
          <w:i/>
          <w:sz w:val="18"/>
          <w:szCs w:val="18"/>
          <w:lang w:val="en-GB"/>
        </w:rPr>
        <w:t>P</w:t>
      </w:r>
      <w:r w:rsidRPr="00E75754">
        <w:rPr>
          <w:i/>
          <w:sz w:val="18"/>
          <w:szCs w:val="18"/>
          <w:lang w:val="en-GB"/>
        </w:rPr>
        <w:t xml:space="preserve">ublic database for </w:t>
      </w:r>
      <w:r>
        <w:rPr>
          <w:i/>
          <w:sz w:val="18"/>
          <w:szCs w:val="18"/>
          <w:lang w:val="en-GB"/>
        </w:rPr>
        <w:t>a</w:t>
      </w:r>
      <w:r w:rsidRPr="00E75754">
        <w:rPr>
          <w:i/>
          <w:sz w:val="18"/>
          <w:szCs w:val="18"/>
          <w:lang w:val="en-GB"/>
        </w:rPr>
        <w:t xml:space="preserve"> given region and year.</w:t>
      </w:r>
      <w:r w:rsidRPr="00E75754">
        <w:rPr>
          <w:i/>
          <w:sz w:val="18"/>
          <w:szCs w:val="18"/>
        </w:rPr>
        <w:t xml:space="preserve"> </w:t>
      </w:r>
    </w:p>
    <w:p w14:paraId="4DAADA4D" w14:textId="77777777" w:rsidR="001045F6" w:rsidRDefault="001045F6" w:rsidP="001045F6">
      <w:pPr>
        <w:pStyle w:val="Textpoznpodarou"/>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74431" w14:textId="77777777" w:rsidR="00F37084" w:rsidRDefault="00F37084" w:rsidP="00152720">
    <w:pPr>
      <w:autoSpaceDE w:val="0"/>
      <w:autoSpaceDN w:val="0"/>
      <w:adjustRightInd w:val="0"/>
      <w:rPr>
        <w:rFonts w:cs="Arial"/>
        <w:szCs w:val="16"/>
      </w:rPr>
    </w:pPr>
    <w:r>
      <w:rPr>
        <w:rFonts w:cs="Arial"/>
        <w:szCs w:val="16"/>
      </w:rPr>
      <w:t>Demografická ročenka České republiky, Metodické poznámky</w:t>
    </w:r>
  </w:p>
  <w:p w14:paraId="718FE1D1" w14:textId="77777777" w:rsidR="00F37084" w:rsidRDefault="00F37084" w:rsidP="00152720">
    <w:pPr>
      <w:pStyle w:val="Zhlav"/>
    </w:pPr>
    <w:r w:rsidRPr="00981885">
      <w:rPr>
        <w:rFonts w:ascii="Arial,Italic" w:hAnsi="Arial,Italic" w:cs="Arial,Italic"/>
        <w:i/>
        <w:iCs/>
        <w:szCs w:val="16"/>
        <w:lang w:val="en-GB"/>
      </w:rPr>
      <w:t xml:space="preserve">Demographic Yearbook of the Czech Republic, </w:t>
    </w:r>
    <w:r>
      <w:rPr>
        <w:rFonts w:ascii="Arial,Italic" w:hAnsi="Arial,Italic" w:cs="Arial,Italic"/>
        <w:i/>
        <w:iCs/>
        <w:szCs w:val="16"/>
        <w:lang w:val="en-GB"/>
      </w:rPr>
      <w:t>Methodological notes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D3468" w14:textId="77777777" w:rsidR="00CA5127" w:rsidRDefault="00CA5127" w:rsidP="00CA5127">
    <w:pPr>
      <w:pStyle w:val="Zhlav"/>
    </w:pPr>
    <w:r w:rsidRPr="00E97C22">
      <w:t>Demografická ročenka krajů</w:t>
    </w:r>
  </w:p>
  <w:p w14:paraId="22903E91" w14:textId="77777777" w:rsidR="00CA5127" w:rsidRPr="003C31BE" w:rsidRDefault="00CA5127" w:rsidP="00CA5127">
    <w:pPr>
      <w:pStyle w:val="Zhlav"/>
      <w:rPr>
        <w:i/>
        <w:lang w:val="en-US"/>
      </w:rPr>
    </w:pPr>
    <w:r w:rsidRPr="003C31BE">
      <w:rPr>
        <w:i/>
        <w:lang w:val="en-US"/>
      </w:rPr>
      <w:t>Demographic Yearbook of the Regions of the Czech Republic</w:t>
    </w:r>
  </w:p>
  <w:p w14:paraId="475FBD55" w14:textId="5138F935" w:rsidR="00F37084" w:rsidRPr="00CA5127" w:rsidRDefault="00F37084" w:rsidP="00CA5127">
    <w:pPr>
      <w:pStyle w:val="Zhlav"/>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C458C"/>
    <w:multiLevelType w:val="hybridMultilevel"/>
    <w:tmpl w:val="EB7CAF24"/>
    <w:lvl w:ilvl="0" w:tplc="E2A2F63C">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1F4C57E6"/>
    <w:multiLevelType w:val="hybridMultilevel"/>
    <w:tmpl w:val="A2BEEBDE"/>
    <w:lvl w:ilvl="0" w:tplc="38E6427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C75"/>
    <w:rsid w:val="0000233A"/>
    <w:rsid w:val="000141E4"/>
    <w:rsid w:val="00023455"/>
    <w:rsid w:val="00045DE7"/>
    <w:rsid w:val="00063818"/>
    <w:rsid w:val="00070148"/>
    <w:rsid w:val="00087006"/>
    <w:rsid w:val="000A6604"/>
    <w:rsid w:val="000C5743"/>
    <w:rsid w:val="000F4355"/>
    <w:rsid w:val="00102254"/>
    <w:rsid w:val="001045F6"/>
    <w:rsid w:val="00104A48"/>
    <w:rsid w:val="001057EE"/>
    <w:rsid w:val="001132DD"/>
    <w:rsid w:val="0014058E"/>
    <w:rsid w:val="00140FEA"/>
    <w:rsid w:val="00152720"/>
    <w:rsid w:val="00155509"/>
    <w:rsid w:val="00163D39"/>
    <w:rsid w:val="00185C4C"/>
    <w:rsid w:val="00187E16"/>
    <w:rsid w:val="0019371A"/>
    <w:rsid w:val="001C09C5"/>
    <w:rsid w:val="001C5912"/>
    <w:rsid w:val="001C6FB8"/>
    <w:rsid w:val="001D09C2"/>
    <w:rsid w:val="001D15E1"/>
    <w:rsid w:val="001E732F"/>
    <w:rsid w:val="00206735"/>
    <w:rsid w:val="002337FE"/>
    <w:rsid w:val="00234749"/>
    <w:rsid w:val="00241985"/>
    <w:rsid w:val="00243B6E"/>
    <w:rsid w:val="002455A1"/>
    <w:rsid w:val="00247E09"/>
    <w:rsid w:val="00254D2D"/>
    <w:rsid w:val="002A15AC"/>
    <w:rsid w:val="002A18C0"/>
    <w:rsid w:val="002C1B9C"/>
    <w:rsid w:val="002D73B7"/>
    <w:rsid w:val="003013C4"/>
    <w:rsid w:val="00313832"/>
    <w:rsid w:val="00324DF2"/>
    <w:rsid w:val="00330E79"/>
    <w:rsid w:val="00336315"/>
    <w:rsid w:val="00342C82"/>
    <w:rsid w:val="00350953"/>
    <w:rsid w:val="003537F4"/>
    <w:rsid w:val="00362011"/>
    <w:rsid w:val="003931A3"/>
    <w:rsid w:val="003955AD"/>
    <w:rsid w:val="00395752"/>
    <w:rsid w:val="003D7850"/>
    <w:rsid w:val="003E12C3"/>
    <w:rsid w:val="003E19A7"/>
    <w:rsid w:val="003F6FC3"/>
    <w:rsid w:val="004054E1"/>
    <w:rsid w:val="00412F87"/>
    <w:rsid w:val="00415088"/>
    <w:rsid w:val="00422C96"/>
    <w:rsid w:val="00432F86"/>
    <w:rsid w:val="00435C8C"/>
    <w:rsid w:val="00437D90"/>
    <w:rsid w:val="00441B7B"/>
    <w:rsid w:val="00451B79"/>
    <w:rsid w:val="00475B9D"/>
    <w:rsid w:val="004831C9"/>
    <w:rsid w:val="00485D4D"/>
    <w:rsid w:val="00490B5F"/>
    <w:rsid w:val="00495566"/>
    <w:rsid w:val="0049754C"/>
    <w:rsid w:val="004B1137"/>
    <w:rsid w:val="004C4E07"/>
    <w:rsid w:val="004C657F"/>
    <w:rsid w:val="004E0B9D"/>
    <w:rsid w:val="004F5CA0"/>
    <w:rsid w:val="005148D3"/>
    <w:rsid w:val="0052521E"/>
    <w:rsid w:val="00544127"/>
    <w:rsid w:val="00546A4C"/>
    <w:rsid w:val="0055314D"/>
    <w:rsid w:val="00557F83"/>
    <w:rsid w:val="00560082"/>
    <w:rsid w:val="005655DF"/>
    <w:rsid w:val="005779C7"/>
    <w:rsid w:val="00582119"/>
    <w:rsid w:val="00583213"/>
    <w:rsid w:val="005A4B57"/>
    <w:rsid w:val="005A7BDC"/>
    <w:rsid w:val="005C3AE0"/>
    <w:rsid w:val="005D6AC1"/>
    <w:rsid w:val="005D7A7E"/>
    <w:rsid w:val="005E2B7A"/>
    <w:rsid w:val="005E55BD"/>
    <w:rsid w:val="005F5DCB"/>
    <w:rsid w:val="005F63F9"/>
    <w:rsid w:val="00610D40"/>
    <w:rsid w:val="00612A9B"/>
    <w:rsid w:val="00625035"/>
    <w:rsid w:val="006325F7"/>
    <w:rsid w:val="0064207F"/>
    <w:rsid w:val="00642F14"/>
    <w:rsid w:val="0065294A"/>
    <w:rsid w:val="006738B6"/>
    <w:rsid w:val="006A0DDE"/>
    <w:rsid w:val="006C396D"/>
    <w:rsid w:val="006C4140"/>
    <w:rsid w:val="006D2E83"/>
    <w:rsid w:val="006D4F22"/>
    <w:rsid w:val="006D7769"/>
    <w:rsid w:val="006E1273"/>
    <w:rsid w:val="00702EB7"/>
    <w:rsid w:val="007039FA"/>
    <w:rsid w:val="00750E81"/>
    <w:rsid w:val="007510D3"/>
    <w:rsid w:val="007749CC"/>
    <w:rsid w:val="00792326"/>
    <w:rsid w:val="007A7622"/>
    <w:rsid w:val="007B1794"/>
    <w:rsid w:val="007C30BF"/>
    <w:rsid w:val="007C7E92"/>
    <w:rsid w:val="007D374C"/>
    <w:rsid w:val="007F08BC"/>
    <w:rsid w:val="007F25E1"/>
    <w:rsid w:val="007F4914"/>
    <w:rsid w:val="008049F0"/>
    <w:rsid w:val="00806FC3"/>
    <w:rsid w:val="00810BC8"/>
    <w:rsid w:val="00825461"/>
    <w:rsid w:val="0084530A"/>
    <w:rsid w:val="00845C4D"/>
    <w:rsid w:val="008472FC"/>
    <w:rsid w:val="00853149"/>
    <w:rsid w:val="00860F8C"/>
    <w:rsid w:val="00870DC7"/>
    <w:rsid w:val="00880991"/>
    <w:rsid w:val="008846E8"/>
    <w:rsid w:val="00884B15"/>
    <w:rsid w:val="008A289F"/>
    <w:rsid w:val="008A35DB"/>
    <w:rsid w:val="008D2195"/>
    <w:rsid w:val="008D54E4"/>
    <w:rsid w:val="008E5339"/>
    <w:rsid w:val="008F3BE5"/>
    <w:rsid w:val="008F578F"/>
    <w:rsid w:val="0090194E"/>
    <w:rsid w:val="00927B0A"/>
    <w:rsid w:val="00934B3C"/>
    <w:rsid w:val="0094460D"/>
    <w:rsid w:val="00953D15"/>
    <w:rsid w:val="0096260F"/>
    <w:rsid w:val="009631B8"/>
    <w:rsid w:val="00966497"/>
    <w:rsid w:val="00971335"/>
    <w:rsid w:val="00974F4D"/>
    <w:rsid w:val="00976FC4"/>
    <w:rsid w:val="0098174C"/>
    <w:rsid w:val="00983EA5"/>
    <w:rsid w:val="009A5D2D"/>
    <w:rsid w:val="009C2D9D"/>
    <w:rsid w:val="009D1C08"/>
    <w:rsid w:val="009D25A7"/>
    <w:rsid w:val="009D470E"/>
    <w:rsid w:val="009E6556"/>
    <w:rsid w:val="009F0157"/>
    <w:rsid w:val="009F143B"/>
    <w:rsid w:val="009F5941"/>
    <w:rsid w:val="00A23E64"/>
    <w:rsid w:val="00A30079"/>
    <w:rsid w:val="00A41A93"/>
    <w:rsid w:val="00A561C2"/>
    <w:rsid w:val="00A82B67"/>
    <w:rsid w:val="00A934C8"/>
    <w:rsid w:val="00AB3C75"/>
    <w:rsid w:val="00AF78FE"/>
    <w:rsid w:val="00B01D2E"/>
    <w:rsid w:val="00B33C18"/>
    <w:rsid w:val="00B355C2"/>
    <w:rsid w:val="00B42DAD"/>
    <w:rsid w:val="00B45607"/>
    <w:rsid w:val="00B50A77"/>
    <w:rsid w:val="00B56010"/>
    <w:rsid w:val="00B839CC"/>
    <w:rsid w:val="00B84473"/>
    <w:rsid w:val="00BA5DC2"/>
    <w:rsid w:val="00BA6589"/>
    <w:rsid w:val="00BB7924"/>
    <w:rsid w:val="00BC21F1"/>
    <w:rsid w:val="00BD6B63"/>
    <w:rsid w:val="00BD6D22"/>
    <w:rsid w:val="00C04DFA"/>
    <w:rsid w:val="00C0701D"/>
    <w:rsid w:val="00C12C67"/>
    <w:rsid w:val="00C16A64"/>
    <w:rsid w:val="00C42B69"/>
    <w:rsid w:val="00C47785"/>
    <w:rsid w:val="00C513EA"/>
    <w:rsid w:val="00C51EC4"/>
    <w:rsid w:val="00C5645C"/>
    <w:rsid w:val="00C73AEE"/>
    <w:rsid w:val="00C76A16"/>
    <w:rsid w:val="00C92999"/>
    <w:rsid w:val="00C947BB"/>
    <w:rsid w:val="00CA5127"/>
    <w:rsid w:val="00CB037A"/>
    <w:rsid w:val="00CB5162"/>
    <w:rsid w:val="00CC740A"/>
    <w:rsid w:val="00CC7B4E"/>
    <w:rsid w:val="00CE0FC8"/>
    <w:rsid w:val="00CE4BC3"/>
    <w:rsid w:val="00CF5FB2"/>
    <w:rsid w:val="00D04E4E"/>
    <w:rsid w:val="00D06BE1"/>
    <w:rsid w:val="00D327E0"/>
    <w:rsid w:val="00D354FF"/>
    <w:rsid w:val="00D45CDF"/>
    <w:rsid w:val="00D62190"/>
    <w:rsid w:val="00D733DB"/>
    <w:rsid w:val="00D918FD"/>
    <w:rsid w:val="00DA12D2"/>
    <w:rsid w:val="00DC4C5C"/>
    <w:rsid w:val="00DF2799"/>
    <w:rsid w:val="00E0740C"/>
    <w:rsid w:val="00E109C6"/>
    <w:rsid w:val="00E1599C"/>
    <w:rsid w:val="00E20BEA"/>
    <w:rsid w:val="00E27CBB"/>
    <w:rsid w:val="00E304D3"/>
    <w:rsid w:val="00E6373C"/>
    <w:rsid w:val="00E72BB2"/>
    <w:rsid w:val="00E7768A"/>
    <w:rsid w:val="00E93362"/>
    <w:rsid w:val="00E96B27"/>
    <w:rsid w:val="00EA560C"/>
    <w:rsid w:val="00EB084D"/>
    <w:rsid w:val="00ED2054"/>
    <w:rsid w:val="00F02235"/>
    <w:rsid w:val="00F066A2"/>
    <w:rsid w:val="00F21228"/>
    <w:rsid w:val="00F37084"/>
    <w:rsid w:val="00F551E6"/>
    <w:rsid w:val="00F55741"/>
    <w:rsid w:val="00F87C60"/>
    <w:rsid w:val="00F94E75"/>
    <w:rsid w:val="00FA0371"/>
    <w:rsid w:val="00FA6D0B"/>
    <w:rsid w:val="00FB11D9"/>
    <w:rsid w:val="00FB2382"/>
    <w:rsid w:val="00FC3786"/>
    <w:rsid w:val="00FC4355"/>
    <w:rsid w:val="00FC49B4"/>
    <w:rsid w:val="00FE10E6"/>
    <w:rsid w:val="00FF0820"/>
    <w:rsid w:val="00FF3DA7"/>
    <w:rsid w:val="00FF775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02C2AF"/>
  <w15:docId w15:val="{3E80D10F-9BE3-4953-A954-9F396FB3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070148"/>
    <w:rPr>
      <w:rFonts w:ascii="Arial" w:hAnsi="Arial"/>
      <w:bCs/>
      <w:sz w:val="16"/>
      <w:szCs w:val="24"/>
    </w:rPr>
  </w:style>
  <w:style w:type="paragraph" w:styleId="Nadpis1">
    <w:name w:val="heading 1"/>
    <w:basedOn w:val="Normln"/>
    <w:next w:val="Normln"/>
    <w:qFormat/>
    <w:rsid w:val="00070148"/>
    <w:pPr>
      <w:keepNext/>
      <w:outlineLvl w:val="0"/>
    </w:pPr>
    <w:rPr>
      <w:rFonts w:cs="Arial"/>
      <w:b/>
      <w:sz w:val="28"/>
    </w:rPr>
  </w:style>
  <w:style w:type="paragraph" w:styleId="Nadpis2">
    <w:name w:val="heading 2"/>
    <w:basedOn w:val="Normln"/>
    <w:next w:val="Normln"/>
    <w:qFormat/>
    <w:rsid w:val="00070148"/>
    <w:pPr>
      <w:keepNext/>
      <w:outlineLvl w:val="1"/>
    </w:pPr>
    <w:rPr>
      <w:rFonts w:cs="Arial"/>
      <w:b/>
      <w:sz w:val="20"/>
    </w:rPr>
  </w:style>
  <w:style w:type="paragraph" w:styleId="Nadpis3">
    <w:name w:val="heading 3"/>
    <w:basedOn w:val="Normln"/>
    <w:next w:val="Normln"/>
    <w:qFormat/>
    <w:rsid w:val="00070148"/>
    <w:pPr>
      <w:keepNext/>
      <w:pageBreakBefore/>
      <w:jc w:val="both"/>
      <w:outlineLvl w:val="2"/>
    </w:pPr>
    <w:rPr>
      <w:b/>
      <w:bCs w:val="0"/>
      <w:sz w:val="20"/>
      <w:szCs w:val="22"/>
    </w:rPr>
  </w:style>
  <w:style w:type="paragraph" w:styleId="Nadpis4">
    <w:name w:val="heading 4"/>
    <w:basedOn w:val="Normln"/>
    <w:next w:val="Normln"/>
    <w:qFormat/>
    <w:rsid w:val="00070148"/>
    <w:pPr>
      <w:keepNext/>
      <w:jc w:val="both"/>
      <w:outlineLvl w:val="3"/>
    </w:pPr>
    <w:rPr>
      <w:b/>
      <w:bCs w:val="0"/>
      <w:sz w:val="22"/>
      <w:szCs w:val="22"/>
    </w:rPr>
  </w:style>
  <w:style w:type="paragraph" w:styleId="Nadpis5">
    <w:name w:val="heading 5"/>
    <w:basedOn w:val="Normln"/>
    <w:next w:val="Normln"/>
    <w:qFormat/>
    <w:rsid w:val="00070148"/>
    <w:pPr>
      <w:keepNext/>
      <w:ind w:firstLine="708"/>
      <w:jc w:val="both"/>
      <w:outlineLvl w:val="4"/>
    </w:pPr>
    <w:rPr>
      <w:b/>
      <w:bCs w:val="0"/>
      <w:sz w:val="20"/>
      <w:szCs w:val="22"/>
      <w:lang w:val="en-US"/>
    </w:rPr>
  </w:style>
  <w:style w:type="paragraph" w:styleId="Nadpis6">
    <w:name w:val="heading 6"/>
    <w:basedOn w:val="Normln"/>
    <w:next w:val="Normln"/>
    <w:qFormat/>
    <w:rsid w:val="00070148"/>
    <w:pPr>
      <w:keepNext/>
      <w:jc w:val="both"/>
      <w:outlineLvl w:val="5"/>
    </w:pPr>
    <w:rPr>
      <w:color w:val="FF0000"/>
      <w:sz w:val="20"/>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semiHidden/>
    <w:rsid w:val="00070148"/>
    <w:rPr>
      <w:sz w:val="22"/>
      <w:szCs w:val="22"/>
      <w:lang w:val="en-US"/>
    </w:rPr>
  </w:style>
  <w:style w:type="paragraph" w:styleId="Zkladntext2">
    <w:name w:val="Body Text 2"/>
    <w:basedOn w:val="Normln"/>
    <w:semiHidden/>
    <w:rsid w:val="00070148"/>
    <w:pPr>
      <w:jc w:val="both"/>
    </w:pPr>
    <w:rPr>
      <w:sz w:val="22"/>
    </w:rPr>
  </w:style>
  <w:style w:type="paragraph" w:styleId="Normlnweb">
    <w:name w:val="Normal (Web)"/>
    <w:basedOn w:val="Normln"/>
    <w:semiHidden/>
    <w:rsid w:val="00070148"/>
    <w:pPr>
      <w:spacing w:before="100" w:beforeAutospacing="1" w:after="100" w:afterAutospacing="1"/>
    </w:pPr>
    <w:rPr>
      <w:rFonts w:ascii="Times New Roman" w:hAnsi="Times New Roman"/>
      <w:bCs w:val="0"/>
      <w:sz w:val="24"/>
    </w:rPr>
  </w:style>
  <w:style w:type="paragraph" w:styleId="Zkladntextodsazen">
    <w:name w:val="Body Text Indent"/>
    <w:basedOn w:val="Normln"/>
    <w:semiHidden/>
    <w:rsid w:val="00070148"/>
    <w:pPr>
      <w:ind w:firstLine="708"/>
      <w:jc w:val="both"/>
    </w:pPr>
    <w:rPr>
      <w:sz w:val="22"/>
    </w:rPr>
  </w:style>
  <w:style w:type="paragraph" w:styleId="Zkladntext3">
    <w:name w:val="Body Text 3"/>
    <w:basedOn w:val="Normln"/>
    <w:semiHidden/>
    <w:rsid w:val="00070148"/>
    <w:pPr>
      <w:jc w:val="both"/>
    </w:pPr>
    <w:rPr>
      <w:sz w:val="20"/>
      <w:szCs w:val="22"/>
    </w:rPr>
  </w:style>
  <w:style w:type="paragraph" w:styleId="Zkladntextodsazen2">
    <w:name w:val="Body Text Indent 2"/>
    <w:basedOn w:val="Normln"/>
    <w:semiHidden/>
    <w:rsid w:val="00070148"/>
    <w:pPr>
      <w:ind w:firstLine="540"/>
      <w:jc w:val="both"/>
    </w:pPr>
    <w:rPr>
      <w:bCs w:val="0"/>
      <w:sz w:val="24"/>
    </w:rPr>
  </w:style>
  <w:style w:type="paragraph" w:styleId="Zkladntextodsazen3">
    <w:name w:val="Body Text Indent 3"/>
    <w:basedOn w:val="Normln"/>
    <w:semiHidden/>
    <w:rsid w:val="00070148"/>
    <w:pPr>
      <w:ind w:firstLine="708"/>
      <w:jc w:val="both"/>
    </w:pPr>
    <w:rPr>
      <w:color w:val="3366FF"/>
      <w:sz w:val="20"/>
    </w:rPr>
  </w:style>
  <w:style w:type="character" w:styleId="Odkaznakoment">
    <w:name w:val="annotation reference"/>
    <w:semiHidden/>
    <w:rsid w:val="00070148"/>
    <w:rPr>
      <w:sz w:val="16"/>
      <w:szCs w:val="16"/>
    </w:rPr>
  </w:style>
  <w:style w:type="paragraph" w:styleId="Textkomente">
    <w:name w:val="annotation text"/>
    <w:basedOn w:val="Normln"/>
    <w:link w:val="TextkomenteChar"/>
    <w:semiHidden/>
    <w:rsid w:val="00070148"/>
    <w:rPr>
      <w:sz w:val="20"/>
      <w:szCs w:val="20"/>
    </w:rPr>
  </w:style>
  <w:style w:type="paragraph" w:styleId="Textbubliny">
    <w:name w:val="Balloon Text"/>
    <w:basedOn w:val="Normln"/>
    <w:semiHidden/>
    <w:unhideWhenUsed/>
    <w:rsid w:val="00070148"/>
    <w:rPr>
      <w:rFonts w:ascii="Tahoma" w:hAnsi="Tahoma" w:cs="Tahoma"/>
      <w:szCs w:val="16"/>
    </w:rPr>
  </w:style>
  <w:style w:type="character" w:customStyle="1" w:styleId="TextbublinyChar">
    <w:name w:val="Text bubliny Char"/>
    <w:semiHidden/>
    <w:rsid w:val="00070148"/>
    <w:rPr>
      <w:rFonts w:ascii="Tahoma" w:hAnsi="Tahoma" w:cs="Tahoma"/>
      <w:bCs/>
      <w:sz w:val="16"/>
      <w:szCs w:val="16"/>
    </w:rPr>
  </w:style>
  <w:style w:type="character" w:styleId="Zdraznn">
    <w:name w:val="Emphasis"/>
    <w:qFormat/>
    <w:rsid w:val="00070148"/>
    <w:rPr>
      <w:i/>
      <w:iCs/>
    </w:rPr>
  </w:style>
  <w:style w:type="character" w:styleId="Siln">
    <w:name w:val="Strong"/>
    <w:qFormat/>
    <w:rsid w:val="00070148"/>
    <w:rPr>
      <w:b/>
      <w:bCs/>
    </w:rPr>
  </w:style>
  <w:style w:type="paragraph" w:styleId="Pedmtkomente">
    <w:name w:val="annotation subject"/>
    <w:basedOn w:val="Textkomente"/>
    <w:next w:val="Textkomente"/>
    <w:link w:val="PedmtkomenteChar"/>
    <w:uiPriority w:val="99"/>
    <w:semiHidden/>
    <w:unhideWhenUsed/>
    <w:rsid w:val="008D2195"/>
    <w:rPr>
      <w:b/>
    </w:rPr>
  </w:style>
  <w:style w:type="character" w:customStyle="1" w:styleId="TextkomenteChar">
    <w:name w:val="Text komentáře Char"/>
    <w:link w:val="Textkomente"/>
    <w:semiHidden/>
    <w:rsid w:val="008D2195"/>
    <w:rPr>
      <w:rFonts w:ascii="Arial" w:hAnsi="Arial"/>
      <w:bCs/>
    </w:rPr>
  </w:style>
  <w:style w:type="character" w:customStyle="1" w:styleId="PedmtkomenteChar">
    <w:name w:val="Předmět komentáře Char"/>
    <w:link w:val="Pedmtkomente"/>
    <w:rsid w:val="008D2195"/>
    <w:rPr>
      <w:rFonts w:ascii="Arial" w:hAnsi="Arial"/>
      <w:bCs/>
    </w:rPr>
  </w:style>
  <w:style w:type="character" w:styleId="Hypertextovodkaz">
    <w:name w:val="Hyperlink"/>
    <w:uiPriority w:val="99"/>
    <w:unhideWhenUsed/>
    <w:rsid w:val="00495566"/>
    <w:rPr>
      <w:color w:val="0000FF"/>
      <w:u w:val="single"/>
    </w:rPr>
  </w:style>
  <w:style w:type="character" w:styleId="Zstupntext">
    <w:name w:val="Placeholder Text"/>
    <w:basedOn w:val="Standardnpsmoodstavce"/>
    <w:uiPriority w:val="99"/>
    <w:semiHidden/>
    <w:rsid w:val="00CB5162"/>
    <w:rPr>
      <w:color w:val="808080"/>
    </w:rPr>
  </w:style>
  <w:style w:type="paragraph" w:styleId="Zhlav">
    <w:name w:val="header"/>
    <w:basedOn w:val="Normln"/>
    <w:link w:val="ZhlavChar"/>
    <w:uiPriority w:val="99"/>
    <w:unhideWhenUsed/>
    <w:qFormat/>
    <w:rsid w:val="00152720"/>
    <w:pPr>
      <w:tabs>
        <w:tab w:val="center" w:pos="4536"/>
        <w:tab w:val="right" w:pos="9072"/>
      </w:tabs>
    </w:pPr>
  </w:style>
  <w:style w:type="character" w:customStyle="1" w:styleId="ZhlavChar">
    <w:name w:val="Záhlaví Char"/>
    <w:basedOn w:val="Standardnpsmoodstavce"/>
    <w:link w:val="Zhlav"/>
    <w:uiPriority w:val="99"/>
    <w:rsid w:val="00152720"/>
    <w:rPr>
      <w:rFonts w:ascii="Arial" w:hAnsi="Arial"/>
      <w:bCs/>
      <w:sz w:val="16"/>
      <w:szCs w:val="24"/>
    </w:rPr>
  </w:style>
  <w:style w:type="paragraph" w:styleId="Zpat">
    <w:name w:val="footer"/>
    <w:basedOn w:val="Normln"/>
    <w:link w:val="ZpatChar"/>
    <w:uiPriority w:val="99"/>
    <w:unhideWhenUsed/>
    <w:rsid w:val="00152720"/>
    <w:pPr>
      <w:tabs>
        <w:tab w:val="center" w:pos="4536"/>
        <w:tab w:val="right" w:pos="9072"/>
      </w:tabs>
    </w:pPr>
  </w:style>
  <w:style w:type="character" w:customStyle="1" w:styleId="ZpatChar">
    <w:name w:val="Zápatí Char"/>
    <w:basedOn w:val="Standardnpsmoodstavce"/>
    <w:link w:val="Zpat"/>
    <w:uiPriority w:val="99"/>
    <w:rsid w:val="00152720"/>
    <w:rPr>
      <w:rFonts w:ascii="Arial" w:hAnsi="Arial"/>
      <w:bCs/>
      <w:sz w:val="16"/>
      <w:szCs w:val="24"/>
    </w:rPr>
  </w:style>
  <w:style w:type="paragraph" w:styleId="Revize">
    <w:name w:val="Revision"/>
    <w:hidden/>
    <w:uiPriority w:val="99"/>
    <w:semiHidden/>
    <w:rsid w:val="00A23E64"/>
    <w:rPr>
      <w:rFonts w:ascii="Arial" w:hAnsi="Arial"/>
      <w:bCs/>
      <w:sz w:val="16"/>
      <w:szCs w:val="24"/>
    </w:rPr>
  </w:style>
  <w:style w:type="paragraph" w:styleId="Textpoznpodarou">
    <w:name w:val="footnote text"/>
    <w:basedOn w:val="Normln"/>
    <w:link w:val="TextpoznpodarouChar"/>
    <w:semiHidden/>
    <w:unhideWhenUsed/>
    <w:rsid w:val="00CA5127"/>
    <w:rPr>
      <w:bCs w:val="0"/>
      <w:sz w:val="20"/>
      <w:szCs w:val="20"/>
    </w:rPr>
  </w:style>
  <w:style w:type="character" w:customStyle="1" w:styleId="TextpoznpodarouChar">
    <w:name w:val="Text pozn. pod čarou Char"/>
    <w:basedOn w:val="Standardnpsmoodstavce"/>
    <w:link w:val="Textpoznpodarou"/>
    <w:semiHidden/>
    <w:rsid w:val="00CA5127"/>
    <w:rPr>
      <w:rFonts w:ascii="Arial" w:hAnsi="Arial"/>
    </w:rPr>
  </w:style>
  <w:style w:type="character" w:styleId="Znakapoznpodarou">
    <w:name w:val="footnote reference"/>
    <w:basedOn w:val="Standardnpsmoodstavce"/>
    <w:semiHidden/>
    <w:unhideWhenUsed/>
    <w:rsid w:val="00CA5127"/>
    <w:rPr>
      <w:vertAlign w:val="superscript"/>
    </w:rPr>
  </w:style>
  <w:style w:type="character" w:customStyle="1" w:styleId="viiyi">
    <w:name w:val="viiyi"/>
    <w:basedOn w:val="Standardnpsmoodstavce"/>
    <w:rsid w:val="001045F6"/>
  </w:style>
  <w:style w:type="character" w:customStyle="1" w:styleId="jlqj4b">
    <w:name w:val="jlqj4b"/>
    <w:basedOn w:val="Standardnpsmoodstavce"/>
    <w:rsid w:val="001045F6"/>
  </w:style>
  <w:style w:type="character" w:styleId="Sledovanodkaz">
    <w:name w:val="FollowedHyperlink"/>
    <w:basedOn w:val="Standardnpsmoodstavce"/>
    <w:uiPriority w:val="99"/>
    <w:semiHidden/>
    <w:unhideWhenUsed/>
    <w:rsid w:val="006C41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39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zso.cz/csu/czso/population-change-methodolog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zso.cz/csu/czso/population-methodolog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688</Words>
  <Characters>4063</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METODICKÉ POZNÁMKY</vt:lpstr>
    </vt:vector>
  </TitlesOfParts>
  <Company>CSU</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METODICKÉ POZNÁMKY</dc:title>
  <dc:creator>ČSÚ</dc:creator>
  <cp:lastModifiedBy>Bílík Jan</cp:lastModifiedBy>
  <cp:revision>11</cp:revision>
  <cp:lastPrinted>2021-09-19T05:18:00Z</cp:lastPrinted>
  <dcterms:created xsi:type="dcterms:W3CDTF">2022-01-05T05:55:00Z</dcterms:created>
  <dcterms:modified xsi:type="dcterms:W3CDTF">2022-08-09T06:45:00Z</dcterms:modified>
</cp:coreProperties>
</file>