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14E37" w14:textId="77777777" w:rsidR="00CA5127" w:rsidRDefault="00CA5127" w:rsidP="00CA5127">
      <w:pPr>
        <w:spacing w:after="240" w:line="288" w:lineRule="auto"/>
        <w:rPr>
          <w:rFonts w:eastAsia="MS Gothic"/>
          <w:b/>
          <w:bCs w:val="0"/>
          <w:sz w:val="28"/>
          <w:szCs w:val="26"/>
        </w:rPr>
      </w:pPr>
      <w:r w:rsidRPr="007036F2">
        <w:rPr>
          <w:rFonts w:eastAsia="MS Gothic"/>
          <w:b/>
          <w:sz w:val="28"/>
          <w:szCs w:val="26"/>
        </w:rPr>
        <w:t>Metodické poznámky</w:t>
      </w:r>
    </w:p>
    <w:p w14:paraId="308293E2" w14:textId="4E00B773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Veškeré údaje se týkají občanů České republiky a cizinců s trvalým pobytem v České republice, občanů třetích zemí s přechodným pobytem</w:t>
      </w:r>
      <w:bookmarkStart w:id="0" w:name="_GoBack"/>
      <w:bookmarkEnd w:id="0"/>
      <w:r w:rsidRPr="00CA5127">
        <w:rPr>
          <w:rFonts w:cs="Arial"/>
          <w:sz w:val="20"/>
          <w:szCs w:val="20"/>
        </w:rPr>
        <w:t xml:space="preserve"> na území České republiky na základě dlouhodobého víza (nad 90 dnů) nebo povolení k dlouhodobému pobytu, občanů zemí EU, Norska, Švýcarska, Islandu, Lichtenštejnska a jejich rodinných příslušníků s hlášeným přechodným pobytem na území České republiky a cizinců s platným azylem v České republice. </w:t>
      </w:r>
      <w:r w:rsidR="00F415A1">
        <w:rPr>
          <w:rFonts w:cs="Arial"/>
          <w:sz w:val="20"/>
          <w:szCs w:val="20"/>
        </w:rPr>
        <w:t xml:space="preserve">Podrobnější informace jsou uvedeny na </w:t>
      </w:r>
      <w:hyperlink r:id="rId7" w:history="1">
        <w:r w:rsidR="00F415A1" w:rsidRPr="00F415A1">
          <w:rPr>
            <w:rStyle w:val="Hypertextovodkaz"/>
            <w:rFonts w:cs="Arial"/>
            <w:sz w:val="20"/>
            <w:szCs w:val="20"/>
          </w:rPr>
          <w:t>Počet obyvatel - Metodika | ČSÚ (czso.cz)</w:t>
        </w:r>
      </w:hyperlink>
    </w:p>
    <w:p w14:paraId="14BBD116" w14:textId="2433D8BB" w:rsidR="00CA5127" w:rsidRPr="00CA5127" w:rsidRDefault="00DA2F09" w:rsidP="00CA5127">
      <w:pPr>
        <w:spacing w:after="24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Zdroje dat o pohybu obyvatel, d</w:t>
      </w:r>
      <w:r w:rsidR="00CA5127" w:rsidRPr="00CA5127">
        <w:rPr>
          <w:rFonts w:cs="Arial"/>
          <w:sz w:val="20"/>
          <w:szCs w:val="20"/>
        </w:rPr>
        <w:t xml:space="preserve">efinice demografických událostí a nejpoužívanějších z nich odvozených souhrnných ukazatelů jsou uvedeny na </w:t>
      </w:r>
      <w:r w:rsidR="00F415A1" w:rsidRPr="00F415A1">
        <w:t xml:space="preserve"> </w:t>
      </w:r>
      <w:hyperlink r:id="rId8" w:history="1">
        <w:r w:rsidR="00F415A1" w:rsidRPr="00F415A1">
          <w:rPr>
            <w:rStyle w:val="Hypertextovodkaz"/>
            <w:rFonts w:cs="Arial"/>
            <w:sz w:val="20"/>
            <w:szCs w:val="20"/>
          </w:rPr>
          <w:t>Pohyb obyvatelstva - Metodika | ČSÚ (czso.cz)</w:t>
        </w:r>
      </w:hyperlink>
    </w:p>
    <w:p w14:paraId="0451019A" w14:textId="77777777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 xml:space="preserve">Věkem (v letech, dnech) se rozumí dokončený věk. </w:t>
      </w:r>
    </w:p>
    <w:p w14:paraId="32B724CC" w14:textId="77777777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b/>
          <w:sz w:val="20"/>
          <w:szCs w:val="20"/>
        </w:rPr>
        <w:t>Území krajů</w:t>
      </w:r>
      <w:r w:rsidRPr="00CA5127">
        <w:rPr>
          <w:sz w:val="20"/>
          <w:szCs w:val="20"/>
        </w:rPr>
        <w:t xml:space="preserve"> vymezuje od roku 2021 zákon č. 51/2020 Sb., o územně správním členění státu. Kraje jsou vymezeny konkrétními správními obvody obcí s rozšířenou působností (viz Vyhláška č. 346/2020 Sb., o stanovení správních obvodů obcí s rozšířenou působností, území obvodů hlavního města Prahy a příslušnosti některých obcí do jiného okresu). </w:t>
      </w:r>
    </w:p>
    <w:p w14:paraId="370B7443" w14:textId="740E3DD8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Publikace obsahuje údaje o počtu a pohybu obyvatel jednotlivých krajů (a celé České republiky) v desetileté časové řadě let 2012</w:t>
      </w:r>
      <w:r w:rsidR="000E72AE">
        <w:rPr>
          <w:rFonts w:cs="Arial"/>
          <w:sz w:val="20"/>
          <w:szCs w:val="20"/>
        </w:rPr>
        <w:t>—</w:t>
      </w:r>
      <w:r w:rsidRPr="00CA5127">
        <w:rPr>
          <w:rFonts w:cs="Arial"/>
          <w:sz w:val="20"/>
          <w:szCs w:val="20"/>
        </w:rPr>
        <w:t>2021, přičemž všechny uvedené údaje se vztahují k </w:t>
      </w:r>
      <w:r w:rsidRPr="00CA5127">
        <w:rPr>
          <w:rFonts w:cs="Arial"/>
          <w:b/>
          <w:sz w:val="20"/>
          <w:szCs w:val="20"/>
        </w:rPr>
        <w:t>území daného kraje</w:t>
      </w:r>
      <w:r w:rsidRPr="00CA5127">
        <w:rPr>
          <w:rFonts w:cs="Arial"/>
          <w:sz w:val="20"/>
          <w:szCs w:val="20"/>
        </w:rPr>
        <w:t xml:space="preserve"> platnému </w:t>
      </w:r>
      <w:r w:rsidRPr="00CA5127">
        <w:rPr>
          <w:rFonts w:cs="Arial"/>
          <w:b/>
          <w:sz w:val="20"/>
          <w:szCs w:val="20"/>
        </w:rPr>
        <w:t>k 1. 1. 2022</w:t>
      </w:r>
      <w:r w:rsidRPr="00CA5127">
        <w:rPr>
          <w:rFonts w:cs="Arial"/>
          <w:sz w:val="20"/>
          <w:szCs w:val="20"/>
        </w:rPr>
        <w:t>. Údaje za jednotlivé kraje jsou tak v čase plně srovnatelné</w:t>
      </w:r>
      <w:r w:rsidRPr="00CA5127">
        <w:rPr>
          <w:rStyle w:val="Znakapoznpodarou"/>
          <w:rFonts w:cs="Arial"/>
          <w:sz w:val="20"/>
          <w:szCs w:val="20"/>
        </w:rPr>
        <w:footnoteReference w:id="1"/>
      </w:r>
      <w:r w:rsidRPr="00CA5127">
        <w:rPr>
          <w:rFonts w:cs="Arial"/>
          <w:sz w:val="20"/>
          <w:szCs w:val="20"/>
        </w:rPr>
        <w:t xml:space="preserve">. </w:t>
      </w:r>
    </w:p>
    <w:p w14:paraId="4D77F320" w14:textId="77777777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 xml:space="preserve">V uvedeném časovém období došlo k územní změně krajů pouze jednou, a to zákonem č.15/2015 Sb., s účinností od 1. 1. 2016, který zrušil vojenský újezd (VÚ) Brdy ve Středočeském kraji a stanovil nové hranice ostatních VÚ. V souladu se změnou územní příslušnosti dotčených katastrálních území došlo ke změně hranic a obyvatelstva krajů Středočeského, Plzeňského, Karlovarského, Ústeckého, Jihomoravského a Olomouckého. Ze Středočeského kraje byla část obyvatelstva zrušeného VÚ Brdy nově začleněna do kraje Plzeňského (obyvatelé v  katastru obce Skořice). Část obyvatelstva VÚ Hradiště v Karlovarském kraji byla začleněna do kraje Ústeckého (obyvatelé v katastrech připadajících k obcím Podbořanský Rohozec a Radonice). Obyvatelé VÚ Březina v Jihomoravském kraji byli nově začleněni do obyvatelstva kraje Olomouckého (do obcí Krumsín a Otaslavice). </w:t>
      </w:r>
    </w:p>
    <w:p w14:paraId="3C24B3B7" w14:textId="77777777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Sňatky jsou tříděny podle místa pobytu ženicha, pokud není uvedeno jinak. Průměrný věk ženicha/nevěsty při sňatku vychází z rozložení absolutních počtů sňatků podle věku ženicha/nevěsty.</w:t>
      </w:r>
    </w:p>
    <w:p w14:paraId="670F4B85" w14:textId="48A05E12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Rozvody jsou územně tříděny podle posledního společného bydliště manželů. Délka trvání manželství vychází z data uzavření manželství a data nabytí právní moci rozvodu. Průměrný věk muže/ženy při rozvodu vychází z rozložení absolutních počtů rozvodů podle věku muže/ženy.</w:t>
      </w:r>
    </w:p>
    <w:p w14:paraId="50D11790" w14:textId="77777777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 xml:space="preserve">Narození jsou tříděni podle místa pobytu matky v době porodu. Do roku 2013 pořadí dítěte reflektovalo všechny děti ženě narozené (včetně mrtvě narozených), od roku 2014 je pořadí zjišťováno pouze u živě narozených dětí a ze živě narozených dětí. Průměrný věk matky při narození dítěte vychází z rozložení absolutních počtů živě narozených podle věku matek. </w:t>
      </w:r>
    </w:p>
    <w:p w14:paraId="501A3BCA" w14:textId="77922611" w:rsidR="00CA5127" w:rsidRPr="00CA5127" w:rsidRDefault="00B43237" w:rsidP="00CA5127">
      <w:pPr>
        <w:spacing w:after="240" w:line="288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Potraty jsou ú</w:t>
      </w:r>
      <w:r w:rsidR="00CA5127" w:rsidRPr="00CA5127">
        <w:rPr>
          <w:rFonts w:cs="Arial"/>
          <w:sz w:val="20"/>
          <w:szCs w:val="20"/>
        </w:rPr>
        <w:t xml:space="preserve">zemně tříděny podle místa pobytu ženy v době potratu. </w:t>
      </w:r>
    </w:p>
    <w:p w14:paraId="31D2EC07" w14:textId="04087496" w:rsidR="00CA5127" w:rsidRPr="00CA5127" w:rsidRDefault="00CA5127" w:rsidP="00CA5127">
      <w:pPr>
        <w:spacing w:after="240" w:line="288" w:lineRule="auto"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Naděje dožití je výsledným ukazatelem tzv. úmrtnostních tabulek, které ČSÚ zpracovává pro jednotlivé kraje, s ohledem na eliminaci náhodných výkyvů, za dvouletá kalendářní období. Údaj u roku 202</w:t>
      </w:r>
      <w:r w:rsidR="009E2EF3">
        <w:rPr>
          <w:rFonts w:cs="Arial"/>
          <w:sz w:val="20"/>
          <w:szCs w:val="20"/>
        </w:rPr>
        <w:t>1</w:t>
      </w:r>
      <w:r w:rsidRPr="00CA5127">
        <w:rPr>
          <w:rFonts w:cs="Arial"/>
          <w:sz w:val="20"/>
          <w:szCs w:val="20"/>
        </w:rPr>
        <w:t xml:space="preserve"> přitom </w:t>
      </w:r>
      <w:r w:rsidRPr="00CA5127">
        <w:rPr>
          <w:rFonts w:cs="Arial"/>
          <w:sz w:val="20"/>
          <w:szCs w:val="20"/>
        </w:rPr>
        <w:lastRenderedPageBreak/>
        <w:t>odpovídá úmrtnostní tabulce za období 20</w:t>
      </w:r>
      <w:r w:rsidR="009E2EF3">
        <w:rPr>
          <w:rFonts w:cs="Arial"/>
          <w:sz w:val="20"/>
          <w:szCs w:val="20"/>
        </w:rPr>
        <w:t>20</w:t>
      </w:r>
      <w:r w:rsidR="000E72AE">
        <w:rPr>
          <w:rFonts w:cs="Arial"/>
          <w:sz w:val="20"/>
          <w:szCs w:val="20"/>
        </w:rPr>
        <w:t>—</w:t>
      </w:r>
      <w:r w:rsidRPr="00CA5127">
        <w:rPr>
          <w:rFonts w:cs="Arial"/>
          <w:sz w:val="20"/>
          <w:szCs w:val="20"/>
        </w:rPr>
        <w:t>202</w:t>
      </w:r>
      <w:r w:rsidR="009E2EF3">
        <w:rPr>
          <w:rFonts w:cs="Arial"/>
          <w:sz w:val="20"/>
          <w:szCs w:val="20"/>
        </w:rPr>
        <w:t>1</w:t>
      </w:r>
      <w:r w:rsidRPr="00CA5127">
        <w:rPr>
          <w:rFonts w:cs="Arial"/>
          <w:sz w:val="20"/>
          <w:szCs w:val="20"/>
        </w:rPr>
        <w:t xml:space="preserve"> apod. V tabulce za Českou republiku vychází uvedené hodnoty naděje dožití z jednoletých úmrtnostních tabulek. </w:t>
      </w:r>
    </w:p>
    <w:p w14:paraId="682F31C6" w14:textId="77777777" w:rsidR="00CA5127" w:rsidRPr="00CA5127" w:rsidRDefault="00CA5127" w:rsidP="00CA5127">
      <w:pPr>
        <w:rPr>
          <w:rFonts w:cs="Arial"/>
          <w:sz w:val="20"/>
          <w:szCs w:val="20"/>
        </w:rPr>
      </w:pPr>
    </w:p>
    <w:p w14:paraId="75956CD7" w14:textId="77777777" w:rsidR="00CA5127" w:rsidRPr="00CA5127" w:rsidRDefault="00CA5127" w:rsidP="00CA5127">
      <w:pPr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Použité značky v tabulkách:</w:t>
      </w:r>
    </w:p>
    <w:p w14:paraId="007D743D" w14:textId="77777777" w:rsidR="00CA5127" w:rsidRPr="00CA5127" w:rsidRDefault="00CA5127" w:rsidP="00CA5127">
      <w:pPr>
        <w:ind w:left="357"/>
        <w:contextualSpacing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Pomlčka (-)</w:t>
      </w:r>
      <w:r w:rsidRPr="00CA5127">
        <w:rPr>
          <w:rFonts w:cs="Arial"/>
          <w:sz w:val="20"/>
          <w:szCs w:val="20"/>
        </w:rPr>
        <w:tab/>
      </w:r>
      <w:r w:rsidRPr="00CA5127">
        <w:rPr>
          <w:rFonts w:cs="Arial"/>
          <w:sz w:val="20"/>
          <w:szCs w:val="20"/>
        </w:rPr>
        <w:tab/>
        <w:t>na místě čísla značí, že se jev nevyskytoval</w:t>
      </w:r>
    </w:p>
    <w:p w14:paraId="67E0ECA6" w14:textId="77777777" w:rsidR="00CA5127" w:rsidRPr="00CA5127" w:rsidRDefault="00CA5127" w:rsidP="00CA5127">
      <w:pPr>
        <w:ind w:left="357"/>
        <w:contextualSpacing/>
        <w:rPr>
          <w:rFonts w:cs="Arial"/>
          <w:sz w:val="20"/>
          <w:szCs w:val="20"/>
        </w:rPr>
      </w:pPr>
      <w:r w:rsidRPr="00CA5127">
        <w:rPr>
          <w:rFonts w:cs="Arial"/>
          <w:sz w:val="20"/>
          <w:szCs w:val="20"/>
        </w:rPr>
        <w:t>Tečka (.)</w:t>
      </w:r>
      <w:r w:rsidRPr="00CA5127">
        <w:rPr>
          <w:rFonts w:cs="Arial"/>
          <w:sz w:val="20"/>
          <w:szCs w:val="20"/>
        </w:rPr>
        <w:tab/>
      </w:r>
      <w:r w:rsidRPr="00CA5127">
        <w:rPr>
          <w:rFonts w:cs="Arial"/>
          <w:sz w:val="20"/>
          <w:szCs w:val="20"/>
        </w:rPr>
        <w:tab/>
        <w:t>na místě čísla značí, že údaj není k dispozici nebo je nespolehlivý</w:t>
      </w:r>
    </w:p>
    <w:p w14:paraId="3AE387C1" w14:textId="77777777" w:rsidR="00CA5127" w:rsidRPr="00CA5127" w:rsidRDefault="00CA5127" w:rsidP="00CA5127">
      <w:pPr>
        <w:ind w:left="357"/>
        <w:contextualSpacing/>
        <w:rPr>
          <w:sz w:val="20"/>
          <w:szCs w:val="20"/>
        </w:rPr>
      </w:pPr>
      <w:r w:rsidRPr="00CA5127">
        <w:rPr>
          <w:rFonts w:cs="Arial"/>
          <w:sz w:val="20"/>
          <w:szCs w:val="20"/>
        </w:rPr>
        <w:t>Písmeno (x)</w:t>
      </w:r>
      <w:r w:rsidRPr="00CA5127">
        <w:rPr>
          <w:rFonts w:cs="Arial"/>
          <w:sz w:val="20"/>
          <w:szCs w:val="20"/>
        </w:rPr>
        <w:tab/>
        <w:t>ležatý křížek na místě čísla značí, že zápis není možný z logických důvodů</w:t>
      </w:r>
    </w:p>
    <w:p w14:paraId="5F92434B" w14:textId="567ED9D1" w:rsidR="00206735" w:rsidRPr="00CA5127" w:rsidRDefault="00206735" w:rsidP="00CA5127">
      <w:pPr>
        <w:rPr>
          <w:sz w:val="20"/>
          <w:szCs w:val="20"/>
        </w:rPr>
      </w:pPr>
    </w:p>
    <w:sectPr w:rsidR="00206735" w:rsidRPr="00CA5127" w:rsidSect="007E723F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7" w:h="16840" w:code="9"/>
      <w:pgMar w:top="1134" w:right="1134" w:bottom="1418" w:left="1134" w:header="510" w:footer="680" w:gutter="0"/>
      <w:pgNumType w:start="3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61A0A" w14:textId="77777777" w:rsidR="003066EC" w:rsidRDefault="003066EC" w:rsidP="00152720">
      <w:r>
        <w:separator/>
      </w:r>
    </w:p>
  </w:endnote>
  <w:endnote w:type="continuationSeparator" w:id="0">
    <w:p w14:paraId="106C9EF9" w14:textId="77777777" w:rsidR="003066EC" w:rsidRDefault="003066EC" w:rsidP="0015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CF9CE" w14:textId="6265B126" w:rsidR="00F37084" w:rsidRDefault="007E723F" w:rsidP="007E723F">
    <w:pPr>
      <w:pStyle w:val="Zpat"/>
      <w:tabs>
        <w:tab w:val="left" w:pos="240"/>
        <w:tab w:val="center" w:pos="4819"/>
      </w:tabs>
    </w:pPr>
    <w:r>
      <w:t>4</w:t>
    </w:r>
    <w:r>
      <w:tab/>
    </w:r>
    <w:r>
      <w:tab/>
    </w:r>
    <w:r w:rsidR="00F37084">
      <w:rPr>
        <w:noProof/>
      </w:rPr>
      <w:drawing>
        <wp:anchor distT="0" distB="0" distL="114300" distR="114300" simplePos="0" relativeHeight="251659264" behindDoc="0" locked="0" layoutInCell="1" allowOverlap="1" wp14:anchorId="69776187" wp14:editId="23E57480">
          <wp:simplePos x="719138" y="10053638"/>
          <wp:positionH relativeFrom="column">
            <wp:align>right</wp:align>
          </wp:positionH>
          <wp:positionV relativeFrom="paragraph">
            <wp:posOffset>-64770</wp:posOffset>
          </wp:positionV>
          <wp:extent cx="428400" cy="201600"/>
          <wp:effectExtent l="0" t="0" r="0" b="825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uhy do zápatí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9C7">
      <w:t>2012</w:t>
    </w:r>
    <w:r w:rsidR="000E72AE">
      <w:t>—</w:t>
    </w:r>
    <w:r w:rsidR="00F37084">
      <w:t>202</w:t>
    </w:r>
    <w:r w:rsidR="005779C7"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6FC2" w14:textId="1A365382" w:rsidR="00F37084" w:rsidRDefault="007E723F" w:rsidP="007E723F">
    <w:pPr>
      <w:pStyle w:val="Zpat"/>
      <w:tabs>
        <w:tab w:val="center" w:pos="4819"/>
        <w:tab w:val="right" w:pos="9639"/>
      </w:tabs>
    </w:pPr>
    <w:r>
      <w:tab/>
    </w:r>
    <w:r w:rsidR="00F37084">
      <w:rPr>
        <w:noProof/>
      </w:rPr>
      <w:drawing>
        <wp:anchor distT="0" distB="0" distL="114300" distR="114300" simplePos="0" relativeHeight="251658240" behindDoc="0" locked="0" layoutInCell="1" allowOverlap="1" wp14:anchorId="34B32107" wp14:editId="5706CACE">
          <wp:simplePos x="719138" y="9991725"/>
          <wp:positionH relativeFrom="column">
            <wp:align>left</wp:align>
          </wp:positionH>
          <wp:positionV relativeFrom="paragraph">
            <wp:posOffset>-122555</wp:posOffset>
          </wp:positionV>
          <wp:extent cx="511200" cy="270000"/>
          <wp:effectExtent l="0" t="0" r="3175" b="0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ČSÚ logo do zápatí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B5F">
      <w:t>2012</w:t>
    </w:r>
    <w:r w:rsidR="00C513EA">
      <w:t>—</w:t>
    </w:r>
    <w:r w:rsidR="00F37084">
      <w:t>202</w:t>
    </w:r>
    <w:r w:rsidR="00490B5F">
      <w:t>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53B3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E2197" w14:textId="77777777" w:rsidR="003066EC" w:rsidRDefault="003066EC" w:rsidP="00152720">
      <w:r>
        <w:separator/>
      </w:r>
    </w:p>
  </w:footnote>
  <w:footnote w:type="continuationSeparator" w:id="0">
    <w:p w14:paraId="066515A5" w14:textId="77777777" w:rsidR="003066EC" w:rsidRDefault="003066EC" w:rsidP="00152720">
      <w:r>
        <w:continuationSeparator/>
      </w:r>
    </w:p>
  </w:footnote>
  <w:footnote w:id="1">
    <w:p w14:paraId="45DBC830" w14:textId="77777777" w:rsidR="00CA5127" w:rsidRPr="00667D84" w:rsidRDefault="00CA5127" w:rsidP="00CA5127">
      <w:pPr>
        <w:rPr>
          <w:rFonts w:cs="Arial"/>
          <w:i/>
          <w:sz w:val="18"/>
          <w:szCs w:val="18"/>
        </w:rPr>
      </w:pPr>
      <w:r w:rsidRPr="00667D84">
        <w:rPr>
          <w:rStyle w:val="Znakapoznpodarou"/>
          <w:i/>
          <w:sz w:val="18"/>
          <w:szCs w:val="18"/>
        </w:rPr>
        <w:footnoteRef/>
      </w:r>
      <w:r w:rsidRPr="00667D84">
        <w:rPr>
          <w:i/>
          <w:sz w:val="18"/>
          <w:szCs w:val="18"/>
        </w:rPr>
        <w:t xml:space="preserve"> V</w:t>
      </w:r>
      <w:r w:rsidRPr="00667D84">
        <w:rPr>
          <w:rFonts w:cs="Arial"/>
          <w:i/>
          <w:sz w:val="18"/>
          <w:szCs w:val="18"/>
        </w:rPr>
        <w:t xml:space="preserve"> případě změny územního vymezení kraje v dané časové řadě se proto zde prezentované údaje v letech před touto změnou liší od údajů uváděných v ostatních výstupech demografické statistiky </w:t>
      </w:r>
      <w:r>
        <w:rPr>
          <w:rFonts w:cs="Arial"/>
          <w:i/>
          <w:sz w:val="18"/>
          <w:szCs w:val="18"/>
        </w:rPr>
        <w:t xml:space="preserve">Českého statistického úřadu </w:t>
      </w:r>
      <w:r w:rsidRPr="00667D84">
        <w:rPr>
          <w:rFonts w:cs="Arial"/>
          <w:i/>
          <w:sz w:val="18"/>
          <w:szCs w:val="18"/>
        </w:rPr>
        <w:t>a veřejné databázi pro daný kraj a rok.</w:t>
      </w:r>
    </w:p>
    <w:p w14:paraId="1B9BA172" w14:textId="77777777" w:rsidR="00CA5127" w:rsidRDefault="00CA5127" w:rsidP="00CA5127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74431" w14:textId="77777777" w:rsidR="00F37084" w:rsidRDefault="00F37084" w:rsidP="00152720">
    <w:pPr>
      <w:autoSpaceDE w:val="0"/>
      <w:autoSpaceDN w:val="0"/>
      <w:adjustRightInd w:val="0"/>
      <w:rPr>
        <w:rFonts w:cs="Arial"/>
        <w:szCs w:val="16"/>
      </w:rPr>
    </w:pPr>
    <w:r>
      <w:rPr>
        <w:rFonts w:cs="Arial"/>
        <w:szCs w:val="16"/>
      </w:rPr>
      <w:t>Demografická ročenka České republiky, Metodické poznámky</w:t>
    </w:r>
  </w:p>
  <w:p w14:paraId="718FE1D1" w14:textId="77777777" w:rsidR="00F37084" w:rsidRDefault="00F37084" w:rsidP="00152720">
    <w:pPr>
      <w:pStyle w:val="Zhlav"/>
    </w:pPr>
    <w:r w:rsidRPr="00981885">
      <w:rPr>
        <w:rFonts w:ascii="Arial,Italic" w:hAnsi="Arial,Italic" w:cs="Arial,Italic"/>
        <w:i/>
        <w:iCs/>
        <w:szCs w:val="16"/>
        <w:lang w:val="en-GB"/>
      </w:rPr>
      <w:t xml:space="preserve">Demographic Yearbook of the Czech Republic, </w:t>
    </w:r>
    <w:r>
      <w:rPr>
        <w:rFonts w:ascii="Arial,Italic" w:hAnsi="Arial,Italic" w:cs="Arial,Italic"/>
        <w:i/>
        <w:iCs/>
        <w:szCs w:val="16"/>
        <w:lang w:val="en-GB"/>
      </w:rPr>
      <w:t>Methodological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D3468" w14:textId="77777777" w:rsidR="00CA5127" w:rsidRDefault="00CA5127" w:rsidP="00CA5127">
    <w:pPr>
      <w:pStyle w:val="Zhlav"/>
    </w:pPr>
    <w:r w:rsidRPr="00E97C22">
      <w:t>Demografická ročenka krajů</w:t>
    </w:r>
  </w:p>
  <w:p w14:paraId="22903E91" w14:textId="77777777" w:rsidR="00CA5127" w:rsidRPr="003C31BE" w:rsidRDefault="00CA5127" w:rsidP="00CA5127">
    <w:pPr>
      <w:pStyle w:val="Zhlav"/>
      <w:rPr>
        <w:i/>
        <w:lang w:val="en-US"/>
      </w:rPr>
    </w:pPr>
    <w:r w:rsidRPr="003C31BE">
      <w:rPr>
        <w:i/>
        <w:lang w:val="en-US"/>
      </w:rPr>
      <w:t>Demographic Yearbook of the Regions of the Czech Republic</w:t>
    </w:r>
  </w:p>
  <w:p w14:paraId="475FBD55" w14:textId="5138F935" w:rsidR="00F37084" w:rsidRPr="00CA5127" w:rsidRDefault="00F37084" w:rsidP="00CA5127">
    <w:pPr>
      <w:pStyle w:val="Zhlav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458C"/>
    <w:multiLevelType w:val="hybridMultilevel"/>
    <w:tmpl w:val="EB7CAF24"/>
    <w:lvl w:ilvl="0" w:tplc="E2A2F6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C57E6"/>
    <w:multiLevelType w:val="hybridMultilevel"/>
    <w:tmpl w:val="A2BEEBDE"/>
    <w:lvl w:ilvl="0" w:tplc="38E642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5"/>
    <w:rsid w:val="0000233A"/>
    <w:rsid w:val="000141E4"/>
    <w:rsid w:val="00023455"/>
    <w:rsid w:val="00045DE7"/>
    <w:rsid w:val="00063818"/>
    <w:rsid w:val="00070148"/>
    <w:rsid w:val="00087006"/>
    <w:rsid w:val="000A6604"/>
    <w:rsid w:val="000C5743"/>
    <w:rsid w:val="000E72AE"/>
    <w:rsid w:val="000F4355"/>
    <w:rsid w:val="00102254"/>
    <w:rsid w:val="00104A48"/>
    <w:rsid w:val="001057EE"/>
    <w:rsid w:val="001132DD"/>
    <w:rsid w:val="0014058E"/>
    <w:rsid w:val="00140FEA"/>
    <w:rsid w:val="00152720"/>
    <w:rsid w:val="00155509"/>
    <w:rsid w:val="00163D39"/>
    <w:rsid w:val="00185C4C"/>
    <w:rsid w:val="00187E16"/>
    <w:rsid w:val="0019371A"/>
    <w:rsid w:val="001C09C5"/>
    <w:rsid w:val="001C5912"/>
    <w:rsid w:val="001C6FB8"/>
    <w:rsid w:val="001D09C2"/>
    <w:rsid w:val="001D15E1"/>
    <w:rsid w:val="001D2059"/>
    <w:rsid w:val="001E732F"/>
    <w:rsid w:val="00206735"/>
    <w:rsid w:val="002337FE"/>
    <w:rsid w:val="00234749"/>
    <w:rsid w:val="00241985"/>
    <w:rsid w:val="00243B6E"/>
    <w:rsid w:val="002455A1"/>
    <w:rsid w:val="00247E09"/>
    <w:rsid w:val="00254D2D"/>
    <w:rsid w:val="002A15AC"/>
    <w:rsid w:val="002A18C0"/>
    <w:rsid w:val="002C1B9C"/>
    <w:rsid w:val="003013C4"/>
    <w:rsid w:val="003066EC"/>
    <w:rsid w:val="00324DF2"/>
    <w:rsid w:val="00330E79"/>
    <w:rsid w:val="00336315"/>
    <w:rsid w:val="00342C82"/>
    <w:rsid w:val="00350953"/>
    <w:rsid w:val="003537F4"/>
    <w:rsid w:val="00362011"/>
    <w:rsid w:val="003931A3"/>
    <w:rsid w:val="003955AD"/>
    <w:rsid w:val="00395752"/>
    <w:rsid w:val="003D7850"/>
    <w:rsid w:val="003E12C3"/>
    <w:rsid w:val="003E19A7"/>
    <w:rsid w:val="003F6FC3"/>
    <w:rsid w:val="004054E1"/>
    <w:rsid w:val="00412F87"/>
    <w:rsid w:val="00415088"/>
    <w:rsid w:val="00422C96"/>
    <w:rsid w:val="00432F86"/>
    <w:rsid w:val="00434EB8"/>
    <w:rsid w:val="00435C8C"/>
    <w:rsid w:val="00451B79"/>
    <w:rsid w:val="00453BAB"/>
    <w:rsid w:val="00475B9D"/>
    <w:rsid w:val="004831C9"/>
    <w:rsid w:val="00485D4D"/>
    <w:rsid w:val="00490B5F"/>
    <w:rsid w:val="00495566"/>
    <w:rsid w:val="0049754C"/>
    <w:rsid w:val="004B1137"/>
    <w:rsid w:val="004C4E07"/>
    <w:rsid w:val="004C657F"/>
    <w:rsid w:val="004E0B9D"/>
    <w:rsid w:val="005148D3"/>
    <w:rsid w:val="0052521E"/>
    <w:rsid w:val="00544127"/>
    <w:rsid w:val="00546A4C"/>
    <w:rsid w:val="0055314D"/>
    <w:rsid w:val="00557F83"/>
    <w:rsid w:val="00560082"/>
    <w:rsid w:val="005655DF"/>
    <w:rsid w:val="005779C7"/>
    <w:rsid w:val="00582119"/>
    <w:rsid w:val="00583213"/>
    <w:rsid w:val="005A4B57"/>
    <w:rsid w:val="005A7BDC"/>
    <w:rsid w:val="005C3AE0"/>
    <w:rsid w:val="005D6AC1"/>
    <w:rsid w:val="005D7A7E"/>
    <w:rsid w:val="005E2B7A"/>
    <w:rsid w:val="005E55BD"/>
    <w:rsid w:val="005F5DCB"/>
    <w:rsid w:val="005F63F9"/>
    <w:rsid w:val="00610D40"/>
    <w:rsid w:val="00612A9B"/>
    <w:rsid w:val="00625035"/>
    <w:rsid w:val="006325F7"/>
    <w:rsid w:val="0064207F"/>
    <w:rsid w:val="00642F14"/>
    <w:rsid w:val="0065294A"/>
    <w:rsid w:val="006738B6"/>
    <w:rsid w:val="006A0DDE"/>
    <w:rsid w:val="006C396D"/>
    <w:rsid w:val="006D2E83"/>
    <w:rsid w:val="006D4F22"/>
    <w:rsid w:val="006D7769"/>
    <w:rsid w:val="006E1273"/>
    <w:rsid w:val="00702EB7"/>
    <w:rsid w:val="007039FA"/>
    <w:rsid w:val="00750E81"/>
    <w:rsid w:val="007510D3"/>
    <w:rsid w:val="007749CC"/>
    <w:rsid w:val="00792326"/>
    <w:rsid w:val="007A7622"/>
    <w:rsid w:val="007B1794"/>
    <w:rsid w:val="007C30BF"/>
    <w:rsid w:val="007C7E92"/>
    <w:rsid w:val="007D374C"/>
    <w:rsid w:val="007E723F"/>
    <w:rsid w:val="007F08BC"/>
    <w:rsid w:val="007F4914"/>
    <w:rsid w:val="008049F0"/>
    <w:rsid w:val="00806FC3"/>
    <w:rsid w:val="00810BC8"/>
    <w:rsid w:val="00825461"/>
    <w:rsid w:val="0084530A"/>
    <w:rsid w:val="00845C4D"/>
    <w:rsid w:val="008472FC"/>
    <w:rsid w:val="00853149"/>
    <w:rsid w:val="00860F8C"/>
    <w:rsid w:val="00870DC7"/>
    <w:rsid w:val="00880991"/>
    <w:rsid w:val="008846E8"/>
    <w:rsid w:val="00884B15"/>
    <w:rsid w:val="008A289F"/>
    <w:rsid w:val="008A35DB"/>
    <w:rsid w:val="008D2195"/>
    <w:rsid w:val="008D54E4"/>
    <w:rsid w:val="008E5339"/>
    <w:rsid w:val="008F3BE5"/>
    <w:rsid w:val="008F578F"/>
    <w:rsid w:val="0090194E"/>
    <w:rsid w:val="00927B0A"/>
    <w:rsid w:val="00934B3C"/>
    <w:rsid w:val="0094460D"/>
    <w:rsid w:val="00953D15"/>
    <w:rsid w:val="0096260F"/>
    <w:rsid w:val="00966497"/>
    <w:rsid w:val="00971335"/>
    <w:rsid w:val="00974F4D"/>
    <w:rsid w:val="00976FC4"/>
    <w:rsid w:val="00983EA5"/>
    <w:rsid w:val="009A5D2D"/>
    <w:rsid w:val="009C2D9D"/>
    <w:rsid w:val="009D1C08"/>
    <w:rsid w:val="009D25A7"/>
    <w:rsid w:val="009D470E"/>
    <w:rsid w:val="009E2EF3"/>
    <w:rsid w:val="009E6556"/>
    <w:rsid w:val="009F0157"/>
    <w:rsid w:val="009F143B"/>
    <w:rsid w:val="00A23E64"/>
    <w:rsid w:val="00A30079"/>
    <w:rsid w:val="00A343A4"/>
    <w:rsid w:val="00A41A93"/>
    <w:rsid w:val="00A561C2"/>
    <w:rsid w:val="00A82B67"/>
    <w:rsid w:val="00A934C8"/>
    <w:rsid w:val="00AB3C75"/>
    <w:rsid w:val="00B01D2E"/>
    <w:rsid w:val="00B33C18"/>
    <w:rsid w:val="00B355C2"/>
    <w:rsid w:val="00B42DAD"/>
    <w:rsid w:val="00B43237"/>
    <w:rsid w:val="00B45607"/>
    <w:rsid w:val="00B50A77"/>
    <w:rsid w:val="00B56010"/>
    <w:rsid w:val="00B839CC"/>
    <w:rsid w:val="00B84473"/>
    <w:rsid w:val="00BA5DC2"/>
    <w:rsid w:val="00BA6589"/>
    <w:rsid w:val="00BB7924"/>
    <w:rsid w:val="00BC21F1"/>
    <w:rsid w:val="00BD6B63"/>
    <w:rsid w:val="00BD6D22"/>
    <w:rsid w:val="00BF35A4"/>
    <w:rsid w:val="00C04DFA"/>
    <w:rsid w:val="00C0701D"/>
    <w:rsid w:val="00C12C67"/>
    <w:rsid w:val="00C16A64"/>
    <w:rsid w:val="00C42B69"/>
    <w:rsid w:val="00C47785"/>
    <w:rsid w:val="00C513EA"/>
    <w:rsid w:val="00C51EC4"/>
    <w:rsid w:val="00C5645C"/>
    <w:rsid w:val="00C73AEE"/>
    <w:rsid w:val="00C92999"/>
    <w:rsid w:val="00C947BB"/>
    <w:rsid w:val="00CA5127"/>
    <w:rsid w:val="00CB037A"/>
    <w:rsid w:val="00CB5162"/>
    <w:rsid w:val="00CC740A"/>
    <w:rsid w:val="00CC7B4E"/>
    <w:rsid w:val="00CC7CA3"/>
    <w:rsid w:val="00CE0FC8"/>
    <w:rsid w:val="00CF5FB2"/>
    <w:rsid w:val="00D04E4E"/>
    <w:rsid w:val="00D06BE1"/>
    <w:rsid w:val="00D327E0"/>
    <w:rsid w:val="00D354FF"/>
    <w:rsid w:val="00D45CDF"/>
    <w:rsid w:val="00D53B3F"/>
    <w:rsid w:val="00D62190"/>
    <w:rsid w:val="00D733DB"/>
    <w:rsid w:val="00D918FD"/>
    <w:rsid w:val="00DA12D2"/>
    <w:rsid w:val="00DA2F09"/>
    <w:rsid w:val="00DC4C5C"/>
    <w:rsid w:val="00DF2799"/>
    <w:rsid w:val="00E0740C"/>
    <w:rsid w:val="00E109C6"/>
    <w:rsid w:val="00E1599C"/>
    <w:rsid w:val="00E20BEA"/>
    <w:rsid w:val="00E27CBB"/>
    <w:rsid w:val="00E304D3"/>
    <w:rsid w:val="00E6373C"/>
    <w:rsid w:val="00E72BB2"/>
    <w:rsid w:val="00E7768A"/>
    <w:rsid w:val="00E93362"/>
    <w:rsid w:val="00E96B27"/>
    <w:rsid w:val="00EA560C"/>
    <w:rsid w:val="00EB084D"/>
    <w:rsid w:val="00ED2054"/>
    <w:rsid w:val="00F02235"/>
    <w:rsid w:val="00F066A2"/>
    <w:rsid w:val="00F21228"/>
    <w:rsid w:val="00F37084"/>
    <w:rsid w:val="00F415A1"/>
    <w:rsid w:val="00F551E6"/>
    <w:rsid w:val="00F55741"/>
    <w:rsid w:val="00F73653"/>
    <w:rsid w:val="00F87C60"/>
    <w:rsid w:val="00F94E75"/>
    <w:rsid w:val="00FA6D0B"/>
    <w:rsid w:val="00FB11D9"/>
    <w:rsid w:val="00FB2382"/>
    <w:rsid w:val="00FC3786"/>
    <w:rsid w:val="00FC4355"/>
    <w:rsid w:val="00FC49B4"/>
    <w:rsid w:val="00FE10E6"/>
    <w:rsid w:val="00FF3DA7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02C2AF"/>
  <w15:docId w15:val="{3E80D10F-9BE3-4953-A954-9F396FB3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0148"/>
    <w:rPr>
      <w:rFonts w:ascii="Arial" w:hAnsi="Arial"/>
      <w:bCs/>
      <w:sz w:val="16"/>
      <w:szCs w:val="24"/>
    </w:rPr>
  </w:style>
  <w:style w:type="paragraph" w:styleId="Nadpis1">
    <w:name w:val="heading 1"/>
    <w:basedOn w:val="Normln"/>
    <w:next w:val="Normln"/>
    <w:qFormat/>
    <w:rsid w:val="00070148"/>
    <w:pPr>
      <w:keepNext/>
      <w:outlineLvl w:val="0"/>
    </w:pPr>
    <w:rPr>
      <w:rFonts w:cs="Arial"/>
      <w:b/>
      <w:sz w:val="28"/>
    </w:rPr>
  </w:style>
  <w:style w:type="paragraph" w:styleId="Nadpis2">
    <w:name w:val="heading 2"/>
    <w:basedOn w:val="Normln"/>
    <w:next w:val="Normln"/>
    <w:qFormat/>
    <w:rsid w:val="00070148"/>
    <w:pPr>
      <w:keepNext/>
      <w:outlineLvl w:val="1"/>
    </w:pPr>
    <w:rPr>
      <w:rFonts w:cs="Arial"/>
      <w:b/>
      <w:sz w:val="20"/>
    </w:rPr>
  </w:style>
  <w:style w:type="paragraph" w:styleId="Nadpis3">
    <w:name w:val="heading 3"/>
    <w:basedOn w:val="Normln"/>
    <w:next w:val="Normln"/>
    <w:qFormat/>
    <w:rsid w:val="00070148"/>
    <w:pPr>
      <w:keepNext/>
      <w:pageBreakBefore/>
      <w:jc w:val="both"/>
      <w:outlineLvl w:val="2"/>
    </w:pPr>
    <w:rPr>
      <w:b/>
      <w:bCs w:val="0"/>
      <w:sz w:val="20"/>
      <w:szCs w:val="22"/>
    </w:rPr>
  </w:style>
  <w:style w:type="paragraph" w:styleId="Nadpis4">
    <w:name w:val="heading 4"/>
    <w:basedOn w:val="Normln"/>
    <w:next w:val="Normln"/>
    <w:qFormat/>
    <w:rsid w:val="00070148"/>
    <w:pPr>
      <w:keepNext/>
      <w:jc w:val="both"/>
      <w:outlineLvl w:val="3"/>
    </w:pPr>
    <w:rPr>
      <w:b/>
      <w:bCs w:val="0"/>
      <w:sz w:val="22"/>
      <w:szCs w:val="22"/>
    </w:rPr>
  </w:style>
  <w:style w:type="paragraph" w:styleId="Nadpis5">
    <w:name w:val="heading 5"/>
    <w:basedOn w:val="Normln"/>
    <w:next w:val="Normln"/>
    <w:qFormat/>
    <w:rsid w:val="00070148"/>
    <w:pPr>
      <w:keepNext/>
      <w:ind w:firstLine="708"/>
      <w:jc w:val="both"/>
      <w:outlineLvl w:val="4"/>
    </w:pPr>
    <w:rPr>
      <w:b/>
      <w:bCs w:val="0"/>
      <w:sz w:val="20"/>
      <w:szCs w:val="22"/>
      <w:lang w:val="en-US"/>
    </w:rPr>
  </w:style>
  <w:style w:type="paragraph" w:styleId="Nadpis6">
    <w:name w:val="heading 6"/>
    <w:basedOn w:val="Normln"/>
    <w:next w:val="Normln"/>
    <w:qFormat/>
    <w:rsid w:val="00070148"/>
    <w:pPr>
      <w:keepNext/>
      <w:jc w:val="both"/>
      <w:outlineLvl w:val="5"/>
    </w:pPr>
    <w:rPr>
      <w:color w:val="FF0000"/>
      <w:sz w:val="20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70148"/>
    <w:rPr>
      <w:sz w:val="22"/>
      <w:szCs w:val="22"/>
      <w:lang w:val="en-US"/>
    </w:rPr>
  </w:style>
  <w:style w:type="paragraph" w:styleId="Zkladntext2">
    <w:name w:val="Body Text 2"/>
    <w:basedOn w:val="Normln"/>
    <w:semiHidden/>
    <w:rsid w:val="00070148"/>
    <w:pPr>
      <w:jc w:val="both"/>
    </w:pPr>
    <w:rPr>
      <w:sz w:val="22"/>
    </w:rPr>
  </w:style>
  <w:style w:type="paragraph" w:styleId="Normlnweb">
    <w:name w:val="Normal (Web)"/>
    <w:basedOn w:val="Normln"/>
    <w:semiHidden/>
    <w:rsid w:val="00070148"/>
    <w:pPr>
      <w:spacing w:before="100" w:beforeAutospacing="1" w:after="100" w:afterAutospacing="1"/>
    </w:pPr>
    <w:rPr>
      <w:rFonts w:ascii="Times New Roman" w:hAnsi="Times New Roman"/>
      <w:bCs w:val="0"/>
      <w:sz w:val="24"/>
    </w:rPr>
  </w:style>
  <w:style w:type="paragraph" w:styleId="Zkladntextodsazen">
    <w:name w:val="Body Text Indent"/>
    <w:basedOn w:val="Normln"/>
    <w:semiHidden/>
    <w:rsid w:val="00070148"/>
    <w:pPr>
      <w:ind w:firstLine="708"/>
      <w:jc w:val="both"/>
    </w:pPr>
    <w:rPr>
      <w:sz w:val="22"/>
    </w:rPr>
  </w:style>
  <w:style w:type="paragraph" w:styleId="Zkladntext3">
    <w:name w:val="Body Text 3"/>
    <w:basedOn w:val="Normln"/>
    <w:semiHidden/>
    <w:rsid w:val="00070148"/>
    <w:pPr>
      <w:jc w:val="both"/>
    </w:pPr>
    <w:rPr>
      <w:sz w:val="20"/>
      <w:szCs w:val="22"/>
    </w:rPr>
  </w:style>
  <w:style w:type="paragraph" w:styleId="Zkladntextodsazen2">
    <w:name w:val="Body Text Indent 2"/>
    <w:basedOn w:val="Normln"/>
    <w:semiHidden/>
    <w:rsid w:val="00070148"/>
    <w:pPr>
      <w:ind w:firstLine="540"/>
      <w:jc w:val="both"/>
    </w:pPr>
    <w:rPr>
      <w:bCs w:val="0"/>
      <w:sz w:val="24"/>
    </w:rPr>
  </w:style>
  <w:style w:type="paragraph" w:styleId="Zkladntextodsazen3">
    <w:name w:val="Body Text Indent 3"/>
    <w:basedOn w:val="Normln"/>
    <w:semiHidden/>
    <w:rsid w:val="00070148"/>
    <w:pPr>
      <w:ind w:firstLine="708"/>
      <w:jc w:val="both"/>
    </w:pPr>
    <w:rPr>
      <w:color w:val="3366FF"/>
      <w:sz w:val="20"/>
    </w:rPr>
  </w:style>
  <w:style w:type="character" w:styleId="Odkaznakoment">
    <w:name w:val="annotation reference"/>
    <w:semiHidden/>
    <w:rsid w:val="00070148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070148"/>
    <w:rPr>
      <w:sz w:val="20"/>
      <w:szCs w:val="20"/>
    </w:rPr>
  </w:style>
  <w:style w:type="paragraph" w:styleId="Textbubliny">
    <w:name w:val="Balloon Text"/>
    <w:basedOn w:val="Normln"/>
    <w:semiHidden/>
    <w:unhideWhenUsed/>
    <w:rsid w:val="00070148"/>
    <w:rPr>
      <w:rFonts w:ascii="Tahoma" w:hAnsi="Tahoma" w:cs="Tahoma"/>
      <w:szCs w:val="16"/>
    </w:rPr>
  </w:style>
  <w:style w:type="character" w:customStyle="1" w:styleId="TextbublinyChar">
    <w:name w:val="Text bubliny Char"/>
    <w:semiHidden/>
    <w:rsid w:val="00070148"/>
    <w:rPr>
      <w:rFonts w:ascii="Tahoma" w:hAnsi="Tahoma" w:cs="Tahoma"/>
      <w:bCs/>
      <w:sz w:val="16"/>
      <w:szCs w:val="16"/>
    </w:rPr>
  </w:style>
  <w:style w:type="character" w:styleId="Zdraznn">
    <w:name w:val="Emphasis"/>
    <w:qFormat/>
    <w:rsid w:val="00070148"/>
    <w:rPr>
      <w:i/>
      <w:iCs/>
    </w:rPr>
  </w:style>
  <w:style w:type="character" w:styleId="Siln">
    <w:name w:val="Strong"/>
    <w:qFormat/>
    <w:rsid w:val="00070148"/>
    <w:rPr>
      <w:b/>
      <w:bCs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D2195"/>
    <w:rPr>
      <w:b/>
    </w:rPr>
  </w:style>
  <w:style w:type="character" w:customStyle="1" w:styleId="TextkomenteChar">
    <w:name w:val="Text komentáře Char"/>
    <w:link w:val="Textkomente"/>
    <w:semiHidden/>
    <w:rsid w:val="008D2195"/>
    <w:rPr>
      <w:rFonts w:ascii="Arial" w:hAnsi="Arial"/>
      <w:bCs/>
    </w:rPr>
  </w:style>
  <w:style w:type="character" w:customStyle="1" w:styleId="PedmtkomenteChar">
    <w:name w:val="Předmět komentáře Char"/>
    <w:link w:val="Pedmtkomente"/>
    <w:rsid w:val="008D2195"/>
    <w:rPr>
      <w:rFonts w:ascii="Arial" w:hAnsi="Arial"/>
      <w:bCs/>
    </w:rPr>
  </w:style>
  <w:style w:type="character" w:styleId="Hypertextovodkaz">
    <w:name w:val="Hyperlink"/>
    <w:uiPriority w:val="99"/>
    <w:unhideWhenUsed/>
    <w:rsid w:val="00495566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CB5162"/>
    <w:rPr>
      <w:color w:val="808080"/>
    </w:rPr>
  </w:style>
  <w:style w:type="paragraph" w:styleId="Zhlav">
    <w:name w:val="header"/>
    <w:basedOn w:val="Normln"/>
    <w:link w:val="ZhlavChar"/>
    <w:uiPriority w:val="99"/>
    <w:unhideWhenUsed/>
    <w:qFormat/>
    <w:rsid w:val="0015272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52720"/>
    <w:rPr>
      <w:rFonts w:ascii="Arial" w:hAnsi="Arial"/>
      <w:bCs/>
      <w:sz w:val="16"/>
      <w:szCs w:val="24"/>
    </w:rPr>
  </w:style>
  <w:style w:type="paragraph" w:styleId="Zpat">
    <w:name w:val="footer"/>
    <w:basedOn w:val="Normln"/>
    <w:link w:val="ZpatChar"/>
    <w:uiPriority w:val="99"/>
    <w:unhideWhenUsed/>
    <w:rsid w:val="0015272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52720"/>
    <w:rPr>
      <w:rFonts w:ascii="Arial" w:hAnsi="Arial"/>
      <w:bCs/>
      <w:sz w:val="16"/>
      <w:szCs w:val="24"/>
    </w:rPr>
  </w:style>
  <w:style w:type="paragraph" w:styleId="Revize">
    <w:name w:val="Revision"/>
    <w:hidden/>
    <w:uiPriority w:val="99"/>
    <w:semiHidden/>
    <w:rsid w:val="00A23E64"/>
    <w:rPr>
      <w:rFonts w:ascii="Arial" w:hAnsi="Arial"/>
      <w:bCs/>
      <w:sz w:val="16"/>
      <w:szCs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A5127"/>
    <w:rPr>
      <w:bCs w:val="0"/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A5127"/>
    <w:rPr>
      <w:rFonts w:ascii="Arial" w:hAnsi="Arial"/>
    </w:rPr>
  </w:style>
  <w:style w:type="character" w:styleId="Znakapoznpodarou">
    <w:name w:val="footnote reference"/>
    <w:basedOn w:val="Standardnpsmoodstavce"/>
    <w:uiPriority w:val="99"/>
    <w:semiHidden/>
    <w:unhideWhenUsed/>
    <w:rsid w:val="00CA5127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0E72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zso.cz/csu/czso/pohyb-obyvatelstva-metodik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zso.cz/csu/czso/pocet_obyvatel_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METODICKÉ POZNÁMKY</vt:lpstr>
    </vt:vector>
  </TitlesOfParts>
  <Company>CSU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METODICKÉ POZNÁMKY</dc:title>
  <dc:creator>ČSÚ</dc:creator>
  <cp:lastModifiedBy>Bílík Jan</cp:lastModifiedBy>
  <cp:revision>13</cp:revision>
  <cp:lastPrinted>2021-09-19T05:18:00Z</cp:lastPrinted>
  <dcterms:created xsi:type="dcterms:W3CDTF">2022-01-04T13:31:00Z</dcterms:created>
  <dcterms:modified xsi:type="dcterms:W3CDTF">2022-08-09T05:43:00Z</dcterms:modified>
</cp:coreProperties>
</file>