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 w:leftChars="-1" w:firstLine="2"/>
        <w:jc w:val="center"/>
        <w:rPr>
          <w:rFonts w:hint="eastAsia"/>
          <w:b/>
          <w:bCs/>
          <w:sz w:val="32"/>
        </w:rPr>
      </w:pPr>
      <w:bookmarkStart w:id="0" w:name="_GoBack"/>
      <w:bookmarkEnd w:id="0"/>
      <w:r>
        <w:rPr>
          <w:rFonts w:hint="eastAsia"/>
          <w:b/>
          <w:bCs/>
          <w:sz w:val="32"/>
        </w:rPr>
        <w:t>南京理工大学博士学位论文修改报告表</w:t>
      </w:r>
    </w:p>
    <w:tbl>
      <w:tblPr>
        <w:tblStyle w:val="5"/>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38"/>
        <w:gridCol w:w="1160"/>
        <w:gridCol w:w="1280"/>
        <w:gridCol w:w="1260"/>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0" w:type="dxa"/>
            <w:vAlign w:val="top"/>
          </w:tcPr>
          <w:p>
            <w:pPr>
              <w:spacing w:line="360" w:lineRule="auto"/>
              <w:jc w:val="center"/>
              <w:rPr>
                <w:rFonts w:hint="eastAsia"/>
                <w:b/>
                <w:bCs/>
                <w:sz w:val="24"/>
              </w:rPr>
            </w:pPr>
            <w:r>
              <w:rPr>
                <w:rFonts w:hint="eastAsia"/>
                <w:b/>
                <w:bCs/>
                <w:sz w:val="24"/>
              </w:rPr>
              <w:t>研究生姓名</w:t>
            </w:r>
          </w:p>
        </w:tc>
        <w:tc>
          <w:tcPr>
            <w:tcW w:w="1238" w:type="dxa"/>
            <w:vAlign w:val="top"/>
          </w:tcPr>
          <w:p>
            <w:pPr>
              <w:spacing w:line="360" w:lineRule="auto"/>
              <w:jc w:val="center"/>
              <w:rPr>
                <w:rFonts w:hint="eastAsia"/>
                <w:b/>
                <w:bCs/>
                <w:sz w:val="24"/>
              </w:rPr>
            </w:pPr>
            <w:r>
              <w:rPr>
                <w:rFonts w:hint="default"/>
                <w:b/>
                <w:bCs/>
                <w:sz w:val="24"/>
              </w:rPr>
              <w:t>王冬</w:t>
            </w:r>
          </w:p>
        </w:tc>
        <w:tc>
          <w:tcPr>
            <w:tcW w:w="1160" w:type="dxa"/>
            <w:vAlign w:val="top"/>
          </w:tcPr>
          <w:p>
            <w:pPr>
              <w:spacing w:line="360" w:lineRule="auto"/>
              <w:jc w:val="center"/>
              <w:rPr>
                <w:rFonts w:hint="eastAsia"/>
                <w:b/>
                <w:bCs/>
                <w:sz w:val="24"/>
              </w:rPr>
            </w:pPr>
            <w:r>
              <w:rPr>
                <w:rFonts w:hint="eastAsia"/>
                <w:b/>
                <w:bCs/>
                <w:sz w:val="24"/>
              </w:rPr>
              <w:t>年  级</w:t>
            </w:r>
          </w:p>
        </w:tc>
        <w:tc>
          <w:tcPr>
            <w:tcW w:w="1280" w:type="dxa"/>
            <w:vAlign w:val="top"/>
          </w:tcPr>
          <w:p>
            <w:pPr>
              <w:spacing w:line="360" w:lineRule="auto"/>
              <w:jc w:val="center"/>
              <w:rPr>
                <w:rFonts w:hint="eastAsia"/>
                <w:b/>
                <w:bCs/>
                <w:sz w:val="24"/>
              </w:rPr>
            </w:pPr>
            <w:r>
              <w:rPr>
                <w:rFonts w:hint="default"/>
                <w:b/>
                <w:bCs/>
                <w:sz w:val="24"/>
              </w:rPr>
              <w:t>2011级</w:t>
            </w:r>
          </w:p>
        </w:tc>
        <w:tc>
          <w:tcPr>
            <w:tcW w:w="1260" w:type="dxa"/>
            <w:vAlign w:val="top"/>
          </w:tcPr>
          <w:p>
            <w:pPr>
              <w:spacing w:line="360" w:lineRule="auto"/>
              <w:jc w:val="center"/>
              <w:rPr>
                <w:rFonts w:hint="eastAsia"/>
                <w:b/>
                <w:bCs/>
                <w:sz w:val="24"/>
              </w:rPr>
            </w:pPr>
            <w:r>
              <w:rPr>
                <w:rFonts w:hint="eastAsia"/>
                <w:b/>
                <w:bCs/>
                <w:sz w:val="24"/>
              </w:rPr>
              <w:t>培养单位</w:t>
            </w:r>
          </w:p>
        </w:tc>
        <w:tc>
          <w:tcPr>
            <w:tcW w:w="1916" w:type="dxa"/>
            <w:vAlign w:val="top"/>
          </w:tcPr>
          <w:p>
            <w:pPr>
              <w:spacing w:line="360" w:lineRule="auto"/>
              <w:jc w:val="center"/>
              <w:rPr>
                <w:rFonts w:hint="eastAsia"/>
                <w:b/>
                <w:bCs/>
                <w:sz w:val="24"/>
              </w:rPr>
            </w:pPr>
            <w:r>
              <w:rPr>
                <w:rFonts w:hint="default"/>
                <w:b/>
                <w:bCs/>
                <w:sz w:val="24"/>
              </w:rPr>
              <w:t>南京理工大学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560" w:type="dxa"/>
            <w:vAlign w:val="top"/>
          </w:tcPr>
          <w:p>
            <w:pPr>
              <w:spacing w:line="360" w:lineRule="auto"/>
              <w:jc w:val="center"/>
              <w:rPr>
                <w:rFonts w:hint="eastAsia"/>
                <w:b/>
                <w:bCs/>
                <w:sz w:val="24"/>
              </w:rPr>
            </w:pPr>
            <w:r>
              <w:rPr>
                <w:rFonts w:hint="eastAsia"/>
                <w:b/>
                <w:bCs/>
                <w:sz w:val="24"/>
              </w:rPr>
              <w:t>学  科</w:t>
            </w:r>
          </w:p>
        </w:tc>
        <w:tc>
          <w:tcPr>
            <w:tcW w:w="6854" w:type="dxa"/>
            <w:gridSpan w:val="5"/>
            <w:vAlign w:val="top"/>
          </w:tcPr>
          <w:p>
            <w:pPr>
              <w:spacing w:line="360" w:lineRule="auto"/>
              <w:ind w:firstLine="2048" w:firstLineChars="850"/>
              <w:jc w:val="both"/>
              <w:rPr>
                <w:rFonts w:hint="eastAsia"/>
                <w:b/>
                <w:bCs/>
                <w:sz w:val="24"/>
              </w:rPr>
            </w:pPr>
            <w:r>
              <w:rPr>
                <w:rFonts w:hint="default"/>
                <w:b/>
                <w:bCs/>
                <w:sz w:val="24"/>
              </w:rPr>
              <w:t>控制科学与工程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560" w:type="dxa"/>
            <w:vAlign w:val="top"/>
          </w:tcPr>
          <w:p>
            <w:pPr>
              <w:spacing w:line="360" w:lineRule="auto"/>
              <w:jc w:val="center"/>
              <w:rPr>
                <w:rFonts w:hint="eastAsia"/>
                <w:b/>
                <w:bCs/>
                <w:sz w:val="24"/>
              </w:rPr>
            </w:pPr>
            <w:r>
              <w:rPr>
                <w:rFonts w:hint="eastAsia"/>
                <w:b/>
                <w:bCs/>
                <w:sz w:val="24"/>
              </w:rPr>
              <w:t>论文题目</w:t>
            </w:r>
          </w:p>
        </w:tc>
        <w:tc>
          <w:tcPr>
            <w:tcW w:w="6854" w:type="dxa"/>
            <w:gridSpan w:val="5"/>
            <w:vAlign w:val="top"/>
          </w:tcPr>
          <w:p>
            <w:pPr>
              <w:spacing w:line="360" w:lineRule="auto"/>
              <w:jc w:val="center"/>
              <w:rPr>
                <w:rFonts w:hint="eastAsia"/>
                <w:b/>
                <w:bCs/>
                <w:sz w:val="24"/>
              </w:rPr>
            </w:pPr>
            <w:r>
              <w:rPr>
                <w:rFonts w:hint="eastAsia"/>
                <w:b/>
                <w:bCs/>
                <w:sz w:val="24"/>
              </w:rPr>
              <w:t>基于变分和稀疏表示的定量MR图像快速重建模型和加速算法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17" w:hRule="atLeast"/>
        </w:trPr>
        <w:tc>
          <w:tcPr>
            <w:tcW w:w="8414" w:type="dxa"/>
            <w:gridSpan w:val="6"/>
            <w:tcBorders>
              <w:bottom w:val="single" w:color="auto" w:sz="4" w:space="0"/>
            </w:tcBorders>
            <w:vAlign w:val="center"/>
          </w:tcPr>
          <w:p>
            <w:pPr>
              <w:jc w:val="center"/>
              <w:rPr>
                <w:rFonts w:hint="eastAsia"/>
                <w:b/>
                <w:bCs/>
                <w:sz w:val="24"/>
              </w:rPr>
            </w:pPr>
            <w:r>
              <w:rPr>
                <w:rFonts w:hint="eastAsia"/>
                <w:b/>
                <w:bCs/>
                <w:sz w:val="24"/>
              </w:rPr>
              <w:t>论 文 修 改 情 况 报 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9" w:hRule="atLeast"/>
        </w:trPr>
        <w:tc>
          <w:tcPr>
            <w:tcW w:w="8414" w:type="dxa"/>
            <w:gridSpan w:val="6"/>
            <w:tcBorders>
              <w:bottom w:val="single" w:color="auto" w:sz="4" w:space="0"/>
            </w:tcBorders>
            <w:vAlign w:val="top"/>
          </w:tcPr>
          <w:p>
            <w:pPr>
              <w:rPr>
                <w:b/>
                <w:bCs/>
                <w:sz w:val="24"/>
              </w:rPr>
            </w:pPr>
            <w:r>
              <w:rPr>
                <w:rFonts w:hint="eastAsia"/>
                <w:b/>
                <w:bCs/>
                <w:sz w:val="24"/>
              </w:rPr>
              <w:t>学位论文修改的依据：</w:t>
            </w:r>
          </w:p>
          <w:p>
            <w:pPr>
              <w:jc w:val="left"/>
              <w:rPr>
                <w:rFonts w:ascii="SimSun" w:hAnsi="SimSun"/>
                <w:sz w:val="24"/>
              </w:rPr>
            </w:pPr>
            <w:r>
              <w:rPr>
                <w:rFonts w:hint="eastAsia"/>
                <w:sz w:val="24"/>
              </w:rPr>
              <w:t xml:space="preserve">1、返回的评审专家意见中有“修改后答辩”意见的   </w:t>
            </w:r>
            <w:r>
              <w:rPr>
                <w:rFonts w:hint="eastAsia" w:ascii="SimSun" w:hAnsi="SimSun"/>
                <w:sz w:val="24"/>
                <w:shd w:val="clear" w:color="auto" w:fill="000000"/>
              </w:rPr>
              <w:sym w:font="Wingdings 2" w:char="00A3"/>
            </w:r>
          </w:p>
          <w:p>
            <w:pPr>
              <w:jc w:val="left"/>
              <w:rPr>
                <w:rFonts w:hint="eastAsia" w:ascii="SimSun" w:hAnsi="SimSun"/>
                <w:sz w:val="24"/>
              </w:rPr>
            </w:pPr>
            <w:r>
              <w:rPr>
                <w:sz w:val="24"/>
              </w:rPr>
              <w:t>2</w:t>
            </w:r>
            <w:r>
              <w:rPr>
                <w:rFonts w:hint="eastAsia"/>
                <w:sz w:val="24"/>
              </w:rPr>
              <w:t xml:space="preserve">、返回的评审专家意见中有“修改后重评”意见的   </w:t>
            </w:r>
            <w:r>
              <w:rPr>
                <w:rFonts w:hint="eastAsia" w:ascii="SimSun" w:hAnsi="SimSu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414" w:type="dxa"/>
            <w:gridSpan w:val="6"/>
            <w:vAlign w:val="top"/>
          </w:tcPr>
          <w:p>
            <w:pPr>
              <w:spacing w:line="360" w:lineRule="auto"/>
              <w:jc w:val="left"/>
              <w:rPr>
                <w:rFonts w:hint="eastAsia"/>
                <w:b/>
                <w:bCs/>
                <w:sz w:val="24"/>
              </w:rPr>
            </w:pPr>
            <w:r>
              <w:rPr>
                <w:rFonts w:hint="eastAsia"/>
                <w:b/>
                <w:bCs/>
                <w:sz w:val="24"/>
              </w:rPr>
              <w:t>评审过程中专家提出的博士学位论文中存在的问题：</w:t>
            </w:r>
          </w:p>
          <w:p>
            <w:pPr>
              <w:spacing w:line="360" w:lineRule="auto"/>
              <w:jc w:val="left"/>
              <w:rPr>
                <w:rFonts w:hint="default"/>
              </w:rPr>
            </w:pPr>
            <w:r>
              <w:rPr>
                <w:rFonts w:hint="default"/>
              </w:rPr>
              <w:t>专家1</w:t>
            </w:r>
          </w:p>
          <w:p>
            <w:pPr>
              <w:spacing w:line="360" w:lineRule="auto"/>
              <w:jc w:val="left"/>
              <w:rPr>
                <w:rFonts w:hint="default"/>
              </w:rPr>
            </w:pPr>
            <w:r>
              <w:rPr>
                <w:rFonts w:hint="default"/>
              </w:rPr>
              <w:t>结论：符合学位论文要求，准予答辩。</w:t>
            </w:r>
          </w:p>
          <w:p>
            <w:pPr>
              <w:spacing w:line="360" w:lineRule="auto"/>
              <w:jc w:val="left"/>
              <w:rPr>
                <w:rFonts w:hint="default"/>
              </w:rPr>
            </w:pPr>
            <w:r>
              <w:rPr>
                <w:rFonts w:hint="default"/>
              </w:rPr>
              <w:t>问题：</w:t>
            </w:r>
          </w:p>
          <w:p>
            <w:pPr>
              <w:numPr>
                <w:ilvl w:val="0"/>
                <w:numId w:val="1"/>
              </w:numPr>
              <w:spacing w:line="360" w:lineRule="auto"/>
              <w:jc w:val="left"/>
              <w:rPr>
                <w:rFonts w:hint="default"/>
              </w:rPr>
            </w:pPr>
            <w:r>
              <w:rPr>
                <w:rFonts w:hint="default"/>
              </w:rPr>
              <w:t>题目MR后面应该加图像；</w:t>
            </w:r>
          </w:p>
          <w:p>
            <w:pPr>
              <w:numPr>
                <w:ilvl w:val="0"/>
                <w:numId w:val="1"/>
              </w:numPr>
              <w:spacing w:line="360" w:lineRule="auto"/>
              <w:jc w:val="left"/>
              <w:rPr>
                <w:rFonts w:hint="default"/>
              </w:rPr>
            </w:pPr>
            <w:r>
              <w:rPr>
                <w:rFonts w:hint="default"/>
              </w:rPr>
              <w:t>论文中很多地方用“我们”字样，尤其第三章3.1.3我们的模型，显然是不合适的；</w:t>
            </w:r>
          </w:p>
          <w:p>
            <w:pPr>
              <w:numPr>
                <w:ilvl w:val="0"/>
                <w:numId w:val="1"/>
              </w:numPr>
              <w:spacing w:line="360" w:lineRule="auto"/>
              <w:jc w:val="left"/>
              <w:rPr>
                <w:rFonts w:hint="default"/>
              </w:rPr>
            </w:pPr>
            <w:r>
              <w:rPr>
                <w:rFonts w:hint="default"/>
              </w:rPr>
              <w:t>摘要中FISTA首次出现没有给出英文缩写的全称；</w:t>
            </w:r>
          </w:p>
          <w:p>
            <w:pPr>
              <w:numPr>
                <w:ilvl w:val="0"/>
                <w:numId w:val="1"/>
              </w:numPr>
              <w:spacing w:line="360" w:lineRule="auto"/>
              <w:jc w:val="left"/>
              <w:rPr>
                <w:rFonts w:hint="default"/>
              </w:rPr>
            </w:pPr>
            <w:r>
              <w:rPr>
                <w:rFonts w:hint="default"/>
              </w:rPr>
              <w:t>下一步展望中没有给出本文算法改进的方向和现有算法存在的不足。</w:t>
            </w:r>
          </w:p>
          <w:p>
            <w:pPr>
              <w:spacing w:line="360" w:lineRule="auto"/>
              <w:jc w:val="left"/>
              <w:rPr>
                <w:rFonts w:hint="default"/>
              </w:rPr>
            </w:pPr>
          </w:p>
          <w:p>
            <w:pPr>
              <w:spacing w:line="360" w:lineRule="auto"/>
              <w:jc w:val="left"/>
              <w:rPr>
                <w:rFonts w:hint="default"/>
              </w:rPr>
            </w:pPr>
            <w:r>
              <w:rPr>
                <w:rFonts w:hint="default"/>
              </w:rPr>
              <w:t>专家2</w:t>
            </w:r>
          </w:p>
          <w:p>
            <w:pPr>
              <w:spacing w:line="360" w:lineRule="auto"/>
              <w:jc w:val="left"/>
              <w:rPr>
                <w:rFonts w:hint="default"/>
              </w:rPr>
            </w:pPr>
            <w:r>
              <w:rPr>
                <w:rFonts w:hint="default"/>
                <w:lang w:eastAsia="zh-CN"/>
              </w:rPr>
              <w:t>结论：</w:t>
            </w:r>
            <w:r>
              <w:rPr>
                <w:rFonts w:hint="default"/>
              </w:rPr>
              <w:t>基本符合学位论文要求，但需要对论文进行修改后答辩。</w:t>
            </w:r>
          </w:p>
          <w:p>
            <w:pPr>
              <w:spacing w:line="360" w:lineRule="auto"/>
              <w:jc w:val="left"/>
              <w:rPr>
                <w:rFonts w:hint="default"/>
              </w:rPr>
            </w:pPr>
            <w:r>
              <w:rPr>
                <w:rFonts w:hint="default"/>
              </w:rPr>
              <w:t>问题：</w:t>
            </w:r>
          </w:p>
          <w:p>
            <w:pPr>
              <w:spacing w:line="360" w:lineRule="auto"/>
              <w:jc w:val="left"/>
              <w:rPr>
                <w:rFonts w:hint="eastAsia"/>
              </w:rPr>
            </w:pPr>
            <w:r>
              <w:rPr>
                <w:rFonts w:hint="default"/>
              </w:rPr>
              <w:t>（1）应该对所提出的算法进行更详细的分析与讨论。</w:t>
            </w:r>
          </w:p>
          <w:p>
            <w:pPr>
              <w:spacing w:line="360" w:lineRule="auto"/>
              <w:jc w:val="left"/>
              <w:rPr>
                <w:rFonts w:hint="eastAsia"/>
              </w:rPr>
            </w:pPr>
          </w:p>
          <w:p>
            <w:pPr>
              <w:spacing w:line="360" w:lineRule="auto"/>
              <w:jc w:val="left"/>
              <w:rPr>
                <w:rFonts w:hint="default"/>
              </w:rPr>
            </w:pPr>
            <w:r>
              <w:rPr>
                <w:rFonts w:hint="default"/>
              </w:rPr>
              <w:t>专家3</w:t>
            </w:r>
          </w:p>
          <w:p>
            <w:pPr>
              <w:spacing w:line="360" w:lineRule="auto"/>
              <w:jc w:val="left"/>
              <w:rPr>
                <w:rFonts w:hint="default"/>
              </w:rPr>
            </w:pPr>
            <w:r>
              <w:rPr>
                <w:rFonts w:hint="default"/>
              </w:rPr>
              <w:t>结论：基本符合学位论文要求，但需要对论文进行修改后答辩。</w:t>
            </w:r>
          </w:p>
          <w:p>
            <w:pPr>
              <w:spacing w:line="360" w:lineRule="auto"/>
              <w:jc w:val="left"/>
              <w:rPr>
                <w:rFonts w:hint="default"/>
              </w:rPr>
            </w:pPr>
            <w:r>
              <w:rPr>
                <w:rFonts w:hint="default"/>
              </w:rPr>
              <w:t>问题：</w:t>
            </w:r>
          </w:p>
          <w:p>
            <w:pPr>
              <w:numPr>
                <w:ilvl w:val="0"/>
                <w:numId w:val="2"/>
              </w:numPr>
              <w:spacing w:line="360" w:lineRule="auto"/>
              <w:jc w:val="left"/>
              <w:rPr>
                <w:rFonts w:hint="default"/>
                <w:kern w:val="2"/>
                <w:sz w:val="21"/>
                <w:szCs w:val="24"/>
                <w:lang w:eastAsia="zh-CN" w:bidi="ar-SA"/>
              </w:rPr>
            </w:pPr>
            <w:r>
              <w:rPr>
                <w:rFonts w:hint="default"/>
                <w:kern w:val="2"/>
                <w:sz w:val="21"/>
                <w:szCs w:val="24"/>
                <w:lang w:val="en-US" w:eastAsia="zh-CN" w:bidi="ar-SA"/>
              </w:rPr>
              <w:t>某些定理若是作者自己提出的，则需给出详细的证明，若是引用他人的，则需标明文献出处，例如定理 1.2.2.2，定理 1.2.2.4</w:t>
            </w:r>
            <w:r>
              <w:rPr>
                <w:rFonts w:hint="default"/>
                <w:kern w:val="2"/>
                <w:sz w:val="21"/>
                <w:szCs w:val="24"/>
                <w:lang w:eastAsia="zh-CN" w:bidi="ar-SA"/>
              </w:rPr>
              <w:t>；</w:t>
            </w:r>
          </w:p>
          <w:p>
            <w:pPr>
              <w:numPr>
                <w:ilvl w:val="0"/>
                <w:numId w:val="2"/>
              </w:numPr>
              <w:spacing w:line="360" w:lineRule="auto"/>
              <w:jc w:val="left"/>
              <w:rPr>
                <w:rFonts w:hint="default"/>
                <w:kern w:val="2"/>
                <w:sz w:val="21"/>
                <w:szCs w:val="24"/>
                <w:lang w:val="en-US" w:eastAsia="zh-CN" w:bidi="ar-SA"/>
              </w:rPr>
            </w:pPr>
            <w:r>
              <w:rPr>
                <w:rFonts w:hint="default"/>
                <w:kern w:val="2"/>
                <w:sz w:val="21"/>
                <w:szCs w:val="24"/>
                <w:lang w:eastAsia="zh-CN" w:bidi="ar-SA"/>
              </w:rPr>
              <w:t>第1.5节建议增加一个全文章节安排逻辑示意图；</w:t>
            </w:r>
          </w:p>
          <w:p>
            <w:pPr>
              <w:numPr>
                <w:ilvl w:val="0"/>
                <w:numId w:val="2"/>
              </w:numPr>
              <w:spacing w:line="360" w:lineRule="auto"/>
              <w:jc w:val="left"/>
              <w:rPr>
                <w:rFonts w:hint="eastAsia"/>
              </w:rPr>
            </w:pPr>
            <w:r>
              <w:rPr>
                <w:rFonts w:hint="default"/>
                <w:kern w:val="2"/>
                <w:sz w:val="21"/>
                <w:szCs w:val="24"/>
                <w:lang w:eastAsia="zh-CN" w:bidi="ar-SA"/>
              </w:rPr>
              <w:t>图5.1作为流程图并不规范。</w:t>
            </w:r>
          </w:p>
          <w:p>
            <w:pPr>
              <w:numPr>
                <w:ilvl w:val="0"/>
                <w:numId w:val="0"/>
              </w:numPr>
              <w:spacing w:line="360" w:lineRule="auto"/>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414" w:type="dxa"/>
            <w:gridSpan w:val="6"/>
            <w:vAlign w:val="top"/>
          </w:tcPr>
          <w:p>
            <w:pPr>
              <w:spacing w:line="360" w:lineRule="auto"/>
              <w:jc w:val="left"/>
              <w:rPr>
                <w:rFonts w:hint="eastAsia"/>
                <w:b/>
                <w:bCs/>
                <w:sz w:val="24"/>
              </w:rPr>
            </w:pPr>
            <w:r>
              <w:rPr>
                <w:rFonts w:hint="eastAsia"/>
                <w:b/>
                <w:bCs/>
                <w:sz w:val="24"/>
              </w:rPr>
              <w:t>对博士学位论文修改情况的详细报告：</w:t>
            </w:r>
          </w:p>
          <w:p>
            <w:pPr>
              <w:spacing w:line="360" w:lineRule="auto"/>
              <w:jc w:val="left"/>
              <w:rPr>
                <w:rFonts w:hint="default"/>
              </w:rPr>
            </w:pPr>
            <w:r>
              <w:rPr>
                <w:rFonts w:hint="default"/>
              </w:rPr>
              <w:t>回复专家1：</w:t>
            </w:r>
          </w:p>
          <w:p>
            <w:pPr>
              <w:numPr>
                <w:ilvl w:val="0"/>
                <w:numId w:val="3"/>
              </w:numPr>
              <w:spacing w:line="360" w:lineRule="auto"/>
              <w:jc w:val="left"/>
              <w:rPr>
                <w:rFonts w:hint="default"/>
              </w:rPr>
            </w:pPr>
            <w:r>
              <w:rPr>
                <w:rFonts w:hint="default"/>
              </w:rPr>
              <w:t>我们在论文题目中加入了“图像”二字，修改后论文的题目变为“基于变分和稀疏表示的定量MR图像快速重建模型和加速算法”。我们也在相应的英文题目中加入了“image”单次。</w:t>
            </w:r>
          </w:p>
          <w:p>
            <w:pPr>
              <w:numPr>
                <w:ilvl w:val="0"/>
                <w:numId w:val="3"/>
              </w:numPr>
              <w:spacing w:line="360" w:lineRule="auto"/>
              <w:jc w:val="left"/>
              <w:rPr>
                <w:rFonts w:hint="default"/>
              </w:rPr>
            </w:pPr>
            <w:r>
              <w:rPr>
                <w:rFonts w:hint="default"/>
              </w:rPr>
              <w:t>我们第三章3.3.1的题目改为了“基于二阶时空TGV和核范数的模型”。</w:t>
            </w:r>
          </w:p>
          <w:p>
            <w:pPr>
              <w:numPr>
                <w:ilvl w:val="0"/>
                <w:numId w:val="3"/>
              </w:numPr>
              <w:spacing w:line="360" w:lineRule="auto"/>
              <w:jc w:val="left"/>
              <w:rPr>
                <w:rFonts w:hint="default"/>
              </w:rPr>
            </w:pPr>
            <w:r>
              <w:rPr>
                <w:rFonts w:hint="default"/>
              </w:rPr>
              <w:t>我们在摘要中给出了FISTA的全称“fast iterative shrinkage threshold algorithm”。</w:t>
            </w:r>
          </w:p>
          <w:p>
            <w:pPr>
              <w:numPr>
                <w:ilvl w:val="0"/>
                <w:numId w:val="3"/>
              </w:numPr>
              <w:spacing w:line="360" w:lineRule="auto"/>
              <w:jc w:val="left"/>
              <w:rPr>
                <w:rFonts w:hint="default"/>
              </w:rPr>
            </w:pPr>
            <w:r>
              <w:rPr>
                <w:rFonts w:hint="default"/>
              </w:rPr>
              <w:t>我们在下一步展望中给出了本文算法改进的方向和现有算法的不足，如下：</w:t>
            </w:r>
          </w:p>
          <w:p>
            <w:pPr>
              <w:spacing w:line="360" w:lineRule="auto"/>
              <w:ind w:firstLine="525" w:firstLineChars="250"/>
              <w:jc w:val="left"/>
              <w:rPr>
                <w:rFonts w:hint="default"/>
              </w:rPr>
            </w:pPr>
            <w:r>
              <w:rPr>
                <w:rFonts w:hint="default"/>
              </w:rPr>
              <w:t>“第三章中提出的基于二阶时空TGV和核范数的模型在动态MR图像的结果上优于已有的模型，但由于模型的复杂性，需要调节的参数较多。在数值实验中，参数是通过穷举搜索的方式进行调节的，耗费的时间较多。因此，设计自适应调节参数的算法是我们今后的重点之一。</w:t>
            </w:r>
          </w:p>
          <w:p>
            <w:pPr>
              <w:numPr>
                <w:ilvl w:val="0"/>
                <w:numId w:val="4"/>
              </w:numPr>
              <w:spacing w:line="360" w:lineRule="auto"/>
              <w:ind w:firstLine="525" w:firstLineChars="250"/>
              <w:jc w:val="left"/>
              <w:rPr>
                <w:rFonts w:hint="default"/>
              </w:rPr>
            </w:pPr>
            <w:r>
              <w:rPr>
                <w:rFonts w:hint="default"/>
              </w:rPr>
              <w:t>和第四章中的算法基本都是一阶的FISTA和Primal-Dual算法，当模型复杂度高或者数据维度大时，计算速度较慢。除了使用GPU加速，也可以考虑设计二阶的算法，提高模型的计算效率。</w:t>
            </w:r>
          </w:p>
          <w:p>
            <w:pPr>
              <w:numPr>
                <w:ilvl w:val="0"/>
                <w:numId w:val="0"/>
              </w:numPr>
              <w:spacing w:line="360" w:lineRule="auto"/>
              <w:ind w:firstLine="525" w:firstLineChars="250"/>
              <w:jc w:val="left"/>
              <w:rPr>
                <w:rFonts w:hint="default"/>
              </w:rPr>
            </w:pPr>
            <w:r>
              <w:rPr>
                <w:rFonts w:hint="default"/>
              </w:rPr>
              <w:t>第五章snapMRF程序可以处理射频场、梯度场的影响，在以后的工作中，我们会考虑加入其他因素的影响，如磁化转移、切片轮廓等”。</w:t>
            </w:r>
          </w:p>
          <w:p>
            <w:pPr>
              <w:spacing w:line="360" w:lineRule="auto"/>
              <w:jc w:val="left"/>
              <w:rPr>
                <w:rFonts w:hint="default"/>
              </w:rPr>
            </w:pPr>
          </w:p>
          <w:p>
            <w:pPr>
              <w:spacing w:line="360" w:lineRule="auto"/>
              <w:jc w:val="left"/>
              <w:rPr>
                <w:rFonts w:hint="eastAsia"/>
              </w:rPr>
            </w:pPr>
            <w:r>
              <w:rPr>
                <w:rFonts w:hint="default"/>
              </w:rPr>
              <w:t>回复专家2：</w:t>
            </w:r>
          </w:p>
          <w:p>
            <w:pPr>
              <w:spacing w:line="360" w:lineRule="auto"/>
              <w:jc w:val="left"/>
              <w:rPr>
                <w:rFonts w:hint="eastAsia"/>
              </w:rPr>
            </w:pPr>
            <w:r>
              <w:rPr>
                <w:rFonts w:hint="default"/>
              </w:rPr>
              <w:t>（1）在第三章，我们对于提出的模型做了更详细的讨论与分析。首先，我们给出了求解模型Primal-Dual算法的迭代步骤并给出了算法收敛时的范数估计，从理论上证明了算法的收敛性，详见论文第3.2节。其次，我们通过数值实验论证了我们提出的模型相对于其他重建模型的优越性，尤其是在胸部DCE-MRI图像上，详见论文第3.4节。最后，我们清楚应该从数学上严格证明提出模型的解的存在性，我们也做了这方面的尝试。但是这需要更长的篇幅和更复杂的论证，已经不是本论文的研究重点，因此我们将其作为未来的研究方向与工作，详见论文的第六章。</w:t>
            </w:r>
          </w:p>
          <w:p>
            <w:pPr>
              <w:spacing w:line="360" w:lineRule="auto"/>
              <w:ind w:firstLine="420" w:firstLineChars="200"/>
              <w:jc w:val="left"/>
              <w:rPr>
                <w:rFonts w:hint="eastAsia"/>
              </w:rPr>
            </w:pPr>
            <w:r>
              <w:rPr>
                <w:rFonts w:hint="default"/>
              </w:rPr>
              <w:t>在第五章，我们对于提出的snapMRF程序做了更详细的讨论与分析。首先，我们加入了一个新的小节“snapMRF并行计算的难点与创新”，更详细地讨论了将EPG算法进行并行计算的难点，详见论文第5.3.3小节。其次，我们在第五章的最后讨论了snapMRF如何能</w:t>
            </w:r>
          </w:p>
        </w:tc>
      </w:tr>
    </w:tbl>
    <w:p>
      <w:pPr>
        <w:jc w:val="right"/>
        <w:rPr>
          <w:rFonts w:hint="eastAsia"/>
        </w:rPr>
      </w:pPr>
    </w:p>
    <w:tbl>
      <w:tblPr>
        <w:tblStyle w:val="5"/>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0" w:hRule="atLeast"/>
        </w:trPr>
        <w:tc>
          <w:tcPr>
            <w:tcW w:w="8414" w:type="dxa"/>
            <w:vAlign w:val="top"/>
          </w:tcPr>
          <w:p>
            <w:pPr>
              <w:numPr>
                <w:ilvl w:val="0"/>
                <w:numId w:val="0"/>
              </w:numPr>
              <w:spacing w:line="360" w:lineRule="auto"/>
              <w:jc w:val="left"/>
              <w:rPr>
                <w:rFonts w:hint="default"/>
              </w:rPr>
            </w:pPr>
            <w:r>
              <w:rPr>
                <w:rFonts w:hint="default"/>
              </w:rPr>
              <w:t>够提高其他MRF重建算法的精度：“对于基于数学模型和神经网络的MRF重建方法，利用snapMRF可以在不降低重建参数精度的情况下提高整体的计算效率。一方面数学模型通常需要预生成字典，而这一过程在CPU上十分耗时。snapMRF可以实现100--1000倍的加速，因此提高了重建的效率。另一方面，snapMRF可以达到神经网络的推断速度，并且运行时间与序列的选择无关。而且，如果研究人员仍然希望通过训练神经网络来进行参数图的重建，snapMRF可以用来进行训练集，即字典的生成。另外，snapMRF的快速度可以用来减少多个经历不同B1振幅的位置的计算时间。这适用于图像射频场的变化，也适用于切片轮廓的变化”。最后，为了使得读者能够更清晰地理解程序的流程，我们绘制了一个图表来说明字典生成与匹配并行计算的过程，如下所示：</w:t>
            </w:r>
          </w:p>
          <w:p>
            <w:pPr>
              <w:numPr>
                <w:ilvl w:val="0"/>
                <w:numId w:val="0"/>
              </w:numPr>
              <w:spacing w:line="360" w:lineRule="auto"/>
              <w:jc w:val="left"/>
              <w:rPr>
                <w:rFonts w:hint="eastAsia"/>
              </w:rPr>
            </w:pPr>
          </w:p>
          <w:p>
            <w:pPr>
              <w:spacing w:line="360" w:lineRule="auto"/>
              <w:jc w:val="left"/>
              <w:rPr>
                <w:rFonts w:hint="eastAsia"/>
              </w:rPr>
            </w:pPr>
            <w:r>
              <w:rPr>
                <w:rFonts w:hint="eastAsia"/>
              </w:rPr>
              <w:drawing>
                <wp:inline distT="0" distB="0" distL="114300" distR="114300">
                  <wp:extent cx="5201920" cy="4954905"/>
                  <wp:effectExtent l="0" t="0" r="5080" b="23495"/>
                  <wp:docPr id="1" name="Picture 4" descr="Screen Shot 2019-11-29 at 6.35.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creen Shot 2019-11-29 at 6.35.43 PM"/>
                          <pic:cNvPicPr>
                            <a:picLocks noChangeAspect="1"/>
                          </pic:cNvPicPr>
                        </pic:nvPicPr>
                        <pic:blipFill>
                          <a:blip r:embed="rId4"/>
                          <a:stretch>
                            <a:fillRect/>
                          </a:stretch>
                        </pic:blipFill>
                        <pic:spPr>
                          <a:xfrm>
                            <a:off x="0" y="0"/>
                            <a:ext cx="5201920" cy="4954905"/>
                          </a:xfrm>
                          <a:prstGeom prst="rect">
                            <a:avLst/>
                          </a:prstGeom>
                          <a:noFill/>
                          <a:ln w="9525">
                            <a:noFill/>
                          </a:ln>
                        </pic:spPr>
                      </pic:pic>
                    </a:graphicData>
                  </a:graphic>
                </wp:inline>
              </w:drawing>
            </w:r>
          </w:p>
          <w:p>
            <w:pPr>
              <w:spacing w:line="360" w:lineRule="auto"/>
              <w:jc w:val="left"/>
              <w:rPr>
                <w:rFonts w:hint="eastAsia"/>
              </w:rPr>
            </w:pPr>
          </w:p>
          <w:p>
            <w:pPr>
              <w:spacing w:line="360" w:lineRule="auto"/>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0" w:hRule="atLeast"/>
        </w:trPr>
        <w:tc>
          <w:tcPr>
            <w:tcW w:w="8414" w:type="dxa"/>
            <w:vAlign w:val="top"/>
          </w:tcPr>
          <w:p>
            <w:pPr>
              <w:spacing w:line="360" w:lineRule="auto"/>
              <w:jc w:val="left"/>
              <w:rPr>
                <w:rFonts w:hint="default"/>
              </w:rPr>
            </w:pPr>
            <w:r>
              <w:rPr>
                <w:rFonts w:hint="default"/>
              </w:rPr>
              <w:t>回复专家3：</w:t>
            </w:r>
          </w:p>
          <w:p>
            <w:pPr>
              <w:numPr>
                <w:ilvl w:val="0"/>
                <w:numId w:val="5"/>
              </w:numPr>
              <w:spacing w:line="360" w:lineRule="auto"/>
              <w:jc w:val="left"/>
              <w:rPr>
                <w:rFonts w:hint="default"/>
              </w:rPr>
            </w:pPr>
            <w:r>
              <w:rPr>
                <w:rFonts w:hint="default"/>
              </w:rPr>
              <w:t>我们给定理1.2.2.2和定理1.2.2.4标明了文献出处。</w:t>
            </w:r>
          </w:p>
          <w:p>
            <w:pPr>
              <w:numPr>
                <w:ilvl w:val="0"/>
                <w:numId w:val="5"/>
              </w:numPr>
              <w:spacing w:line="360" w:lineRule="auto"/>
              <w:jc w:val="left"/>
              <w:rPr>
                <w:rFonts w:hint="eastAsia"/>
              </w:rPr>
            </w:pPr>
            <w:r>
              <w:rPr>
                <w:rFonts w:hint="default"/>
              </w:rPr>
              <w:t>我们在第1.5节加入了全文章节安排的逻辑示意图，如下所示：</w:t>
            </w:r>
          </w:p>
          <w:p>
            <w:pPr>
              <w:spacing w:line="360" w:lineRule="auto"/>
              <w:jc w:val="left"/>
              <w:rPr>
                <w:rFonts w:hint="eastAsia"/>
              </w:rPr>
            </w:pPr>
            <w:r>
              <w:rPr>
                <w:rFonts w:hint="eastAsia"/>
              </w:rPr>
              <w:drawing>
                <wp:inline distT="0" distB="0" distL="114300" distR="114300">
                  <wp:extent cx="5205095" cy="2432050"/>
                  <wp:effectExtent l="0" t="0" r="0" b="0"/>
                  <wp:docPr id="2" name="Picture 6" descr="chap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pters"/>
                          <pic:cNvPicPr>
                            <a:picLocks noChangeAspect="1"/>
                          </pic:cNvPicPr>
                        </pic:nvPicPr>
                        <pic:blipFill>
                          <a:blip r:embed="rId5"/>
                          <a:stretch>
                            <a:fillRect/>
                          </a:stretch>
                        </pic:blipFill>
                        <pic:spPr>
                          <a:xfrm>
                            <a:off x="0" y="0"/>
                            <a:ext cx="5205095" cy="2432050"/>
                          </a:xfrm>
                          <a:prstGeom prst="rect">
                            <a:avLst/>
                          </a:prstGeom>
                          <a:noFill/>
                          <a:ln w="9525">
                            <a:noFill/>
                          </a:ln>
                        </pic:spPr>
                      </pic:pic>
                    </a:graphicData>
                  </a:graphic>
                </wp:inline>
              </w:drawing>
            </w:r>
          </w:p>
          <w:p>
            <w:pPr>
              <w:numPr>
                <w:ilvl w:val="0"/>
                <w:numId w:val="5"/>
              </w:numPr>
              <w:spacing w:line="360" w:lineRule="auto"/>
              <w:jc w:val="left"/>
              <w:rPr>
                <w:rFonts w:hint="default"/>
              </w:rPr>
            </w:pPr>
            <w:r>
              <w:rPr>
                <w:rFonts w:hint="default"/>
              </w:rPr>
              <w:t>我们规范化了图5.1的流程图，如下所示：</w:t>
            </w:r>
          </w:p>
          <w:p>
            <w:pPr>
              <w:numPr>
                <w:ilvl w:val="0"/>
                <w:numId w:val="0"/>
              </w:numPr>
              <w:spacing w:line="360" w:lineRule="auto"/>
              <w:jc w:val="center"/>
              <w:rPr>
                <w:rFonts w:hint="eastAsia"/>
              </w:rPr>
            </w:pPr>
            <w:r>
              <w:rPr>
                <w:rFonts w:hint="eastAsia"/>
              </w:rPr>
              <w:drawing>
                <wp:inline distT="0" distB="0" distL="114300" distR="114300">
                  <wp:extent cx="1884680" cy="3672205"/>
                  <wp:effectExtent l="0" t="0" r="0" b="0"/>
                  <wp:docPr id="3" name="Picture 7" descr="snapM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napMRF"/>
                          <pic:cNvPicPr>
                            <a:picLocks noChangeAspect="1"/>
                          </pic:cNvPicPr>
                        </pic:nvPicPr>
                        <pic:blipFill>
                          <a:blip r:embed="rId6"/>
                          <a:stretch>
                            <a:fillRect/>
                          </a:stretch>
                        </pic:blipFill>
                        <pic:spPr>
                          <a:xfrm>
                            <a:off x="0" y="0"/>
                            <a:ext cx="1884680" cy="3672205"/>
                          </a:xfrm>
                          <a:prstGeom prst="rect">
                            <a:avLst/>
                          </a:prstGeom>
                          <a:noFill/>
                          <a:ln w="9525">
                            <a:noFill/>
                          </a:ln>
                        </pic:spPr>
                      </pic:pic>
                    </a:graphicData>
                  </a:graphic>
                </wp:inline>
              </w:drawing>
            </w:r>
          </w:p>
          <w:p>
            <w:pPr>
              <w:numPr>
                <w:ilvl w:val="0"/>
                <w:numId w:val="0"/>
              </w:numPr>
              <w:spacing w:line="360" w:lineRule="auto"/>
              <w:jc w:val="center"/>
              <w:rPr>
                <w:rFonts w:hint="eastAsia"/>
              </w:rPr>
            </w:pPr>
          </w:p>
          <w:p>
            <w:pPr>
              <w:numPr>
                <w:ilvl w:val="0"/>
                <w:numId w:val="0"/>
              </w:numPr>
              <w:spacing w:line="360" w:lineRule="auto"/>
              <w:jc w:val="both"/>
              <w:rPr>
                <w:rFonts w:hint="eastAsia"/>
              </w:rPr>
            </w:pPr>
          </w:p>
          <w:p>
            <w:pPr>
              <w:numPr>
                <w:ilvl w:val="0"/>
                <w:numId w:val="0"/>
              </w:numPr>
              <w:spacing w:line="360" w:lineRule="auto"/>
              <w:jc w:val="both"/>
              <w:rPr>
                <w:rFonts w:hint="eastAsia"/>
              </w:rPr>
            </w:pPr>
          </w:p>
          <w:p>
            <w:pPr>
              <w:numPr>
                <w:ilvl w:val="0"/>
                <w:numId w:val="0"/>
              </w:numPr>
              <w:spacing w:line="360" w:lineRule="auto"/>
              <w:ind w:firstLine="3614" w:firstLineChars="1500"/>
              <w:jc w:val="both"/>
              <w:rPr>
                <w:rFonts w:hint="eastAsia"/>
              </w:rPr>
            </w:pPr>
            <w:r>
              <w:rPr>
                <w:rFonts w:hint="eastAsia"/>
                <w:b/>
                <w:sz w:val="24"/>
              </w:rPr>
              <w:t>签 名：                   年   月   日</w:t>
            </w:r>
          </w:p>
        </w:tc>
      </w:tr>
      <w:tr>
        <w:tblPrEx>
          <w:tblLayout w:type="fixed"/>
        </w:tblPrEx>
        <w:trPr>
          <w:cantSplit/>
          <w:trHeight w:val="3289" w:hRule="atLeast"/>
        </w:trPr>
        <w:tc>
          <w:tcPr>
            <w:tcW w:w="8414" w:type="dxa"/>
            <w:vAlign w:val="top"/>
          </w:tcPr>
          <w:p>
            <w:pPr>
              <w:spacing w:line="360" w:lineRule="auto"/>
              <w:jc w:val="left"/>
              <w:rPr>
                <w:rFonts w:hint="eastAsia"/>
                <w:b/>
                <w:bCs/>
                <w:sz w:val="24"/>
              </w:rPr>
            </w:pPr>
            <w:r>
              <w:rPr>
                <w:rFonts w:hint="eastAsia"/>
                <w:b/>
                <w:bCs/>
                <w:sz w:val="24"/>
              </w:rPr>
              <w:t>导师对修改后论文的审查意见：</w:t>
            </w:r>
          </w:p>
          <w:p>
            <w:pPr>
              <w:spacing w:line="360" w:lineRule="auto"/>
              <w:jc w:val="left"/>
              <w:rPr>
                <w:rFonts w:hint="eastAsia"/>
              </w:rPr>
            </w:pPr>
          </w:p>
          <w:p>
            <w:pPr>
              <w:spacing w:line="360" w:lineRule="auto"/>
              <w:jc w:val="left"/>
              <w:rPr>
                <w:rFonts w:hint="eastAsia"/>
              </w:rPr>
            </w:pPr>
            <w:r>
              <w:rPr>
                <w:rFonts w:hint="default"/>
              </w:rPr>
              <w:t>已按要求做了相应修改。</w:t>
            </w:r>
          </w:p>
          <w:p>
            <w:pPr>
              <w:spacing w:line="360" w:lineRule="auto"/>
              <w:jc w:val="left"/>
              <w:rPr>
                <w:rFonts w:hint="eastAsia"/>
              </w:rPr>
            </w:pPr>
          </w:p>
          <w:p>
            <w:pPr>
              <w:spacing w:line="360" w:lineRule="auto"/>
              <w:jc w:val="left"/>
              <w:rPr>
                <w:rFonts w:hint="eastAsia"/>
              </w:rPr>
            </w:pPr>
          </w:p>
          <w:p>
            <w:pPr>
              <w:spacing w:line="360" w:lineRule="auto"/>
              <w:jc w:val="left"/>
              <w:rPr>
                <w:rFonts w:hint="eastAsia"/>
                <w:b/>
                <w:sz w:val="24"/>
              </w:rPr>
            </w:pPr>
            <w:r>
              <w:rPr>
                <w:rFonts w:hint="eastAsia"/>
              </w:rPr>
              <w:t xml:space="preserve">                         </w:t>
            </w:r>
            <w:r>
              <w:rPr>
                <w:rFonts w:hint="eastAsia"/>
                <w:b/>
                <w:sz w:val="24"/>
              </w:rPr>
              <w:t xml:space="preserve"> 签 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414" w:type="dxa"/>
            <w:vAlign w:val="top"/>
          </w:tcPr>
          <w:p>
            <w:pPr>
              <w:jc w:val="left"/>
              <w:rPr>
                <w:rFonts w:hint="eastAsia"/>
              </w:rPr>
            </w:pPr>
            <w:r>
              <w:rPr>
                <w:rFonts w:hint="eastAsia"/>
                <w:b/>
                <w:bCs/>
                <w:sz w:val="24"/>
              </w:rPr>
              <w:t>专家审查意见</w:t>
            </w:r>
            <w:r>
              <w:rPr>
                <w:rFonts w:hint="eastAsia"/>
              </w:rPr>
              <w:t>（此栏仅限于返回的评审专家意见中有“修改后答辩”意见者。请根据修改后的学位论文，判定是否达到原评审专家要求修改的标准）：</w:t>
            </w:r>
          </w:p>
          <w:p>
            <w:pPr>
              <w:spacing w:line="360" w:lineRule="auto"/>
              <w:jc w:val="left"/>
              <w:rPr>
                <w:rFonts w:hint="eastAsia"/>
              </w:rPr>
            </w:pPr>
          </w:p>
          <w:p>
            <w:pPr>
              <w:spacing w:line="360" w:lineRule="auto"/>
              <w:jc w:val="left"/>
              <w:rPr>
                <w:rFonts w:hint="eastAsia"/>
              </w:rPr>
            </w:pPr>
          </w:p>
          <w:p>
            <w:pPr>
              <w:spacing w:line="360" w:lineRule="auto"/>
              <w:jc w:val="left"/>
              <w:rPr>
                <w:rFonts w:hint="eastAsia"/>
              </w:rPr>
            </w:pPr>
            <w:r>
              <w:rPr>
                <w:rFonts w:hint="default"/>
              </w:rPr>
              <w:t>文稿已修正，并达到相关要求</w:t>
            </w:r>
          </w:p>
          <w:p>
            <w:pPr>
              <w:spacing w:line="360" w:lineRule="auto"/>
              <w:jc w:val="left"/>
              <w:rPr>
                <w:rFonts w:hint="eastAsia"/>
              </w:rPr>
            </w:pPr>
          </w:p>
          <w:p>
            <w:pPr>
              <w:spacing w:line="360" w:lineRule="auto"/>
              <w:jc w:val="left"/>
              <w:rPr>
                <w:rFonts w:hint="eastAsia"/>
              </w:rPr>
            </w:pPr>
          </w:p>
          <w:p>
            <w:pPr>
              <w:spacing w:line="360" w:lineRule="auto"/>
              <w:jc w:val="left"/>
              <w:rPr>
                <w:rFonts w:hint="eastAsia"/>
              </w:rPr>
            </w:pPr>
          </w:p>
          <w:p>
            <w:pPr>
              <w:spacing w:line="360" w:lineRule="auto"/>
              <w:jc w:val="left"/>
              <w:rPr>
                <w:rFonts w:hint="eastAsia"/>
                <w:b/>
                <w:sz w:val="24"/>
              </w:rPr>
            </w:pPr>
            <w:r>
              <w:rPr>
                <w:rFonts w:hint="eastAsia"/>
              </w:rPr>
              <w:t xml:space="preserve">                         </w:t>
            </w:r>
            <w:r>
              <w:rPr>
                <w:rFonts w:hint="eastAsia"/>
                <w:b/>
                <w:sz w:val="24"/>
              </w:rPr>
              <w:t xml:space="preserve"> 签 名：                         年   月   日</w:t>
            </w:r>
          </w:p>
        </w:tc>
      </w:tr>
    </w:tbl>
    <w:p>
      <w:pPr>
        <w:rPr>
          <w:rFonts w:hint="eastAsia"/>
          <w:szCs w:val="21"/>
        </w:rPr>
      </w:pPr>
      <w:r>
        <w:rPr>
          <w:rFonts w:hint="eastAsia"/>
          <w:szCs w:val="21"/>
        </w:rPr>
        <w:t>注：</w:t>
      </w:r>
      <w:r>
        <w:rPr>
          <w:szCs w:val="21"/>
        </w:rPr>
        <w:t>1.</w:t>
      </w:r>
      <w:r>
        <w:rPr>
          <w:rFonts w:hint="eastAsia"/>
          <w:szCs w:val="21"/>
        </w:rPr>
        <w:t>须</w:t>
      </w:r>
      <w:r>
        <w:rPr>
          <w:szCs w:val="21"/>
        </w:rPr>
        <w:t>导师和</w:t>
      </w:r>
      <w:r>
        <w:rPr>
          <w:rFonts w:hint="eastAsia"/>
          <w:szCs w:val="21"/>
        </w:rPr>
        <w:t>本学科领</w:t>
      </w:r>
      <w:r>
        <w:rPr>
          <w:szCs w:val="21"/>
        </w:rPr>
        <w:t>域</w:t>
      </w:r>
      <w:r>
        <w:rPr>
          <w:rFonts w:hint="eastAsia"/>
          <w:szCs w:val="21"/>
        </w:rPr>
        <w:t>内</w:t>
      </w:r>
      <w:r>
        <w:rPr>
          <w:szCs w:val="21"/>
        </w:rPr>
        <w:t>专家签署意见，</w:t>
      </w:r>
      <w:r>
        <w:rPr>
          <w:rFonts w:hint="eastAsia"/>
          <w:szCs w:val="21"/>
        </w:rPr>
        <w:t>本表连同学位论文交学位办公室存</w:t>
      </w:r>
      <w:r>
        <w:rPr>
          <w:szCs w:val="21"/>
        </w:rPr>
        <w:t>入档案</w:t>
      </w:r>
      <w:r>
        <w:rPr>
          <w:rFonts w:hint="eastAsia"/>
          <w:szCs w:val="21"/>
        </w:rPr>
        <w:t>。</w:t>
      </w:r>
    </w:p>
    <w:p>
      <w:pPr>
        <w:ind w:firstLine="420" w:firstLineChars="200"/>
        <w:rPr>
          <w:szCs w:val="21"/>
        </w:rPr>
      </w:pPr>
      <w:r>
        <w:rPr>
          <w:szCs w:val="21"/>
        </w:rPr>
        <w:t>2</w:t>
      </w:r>
      <w:r>
        <w:rPr>
          <w:rFonts w:hint="eastAsia"/>
          <w:szCs w:val="21"/>
        </w:rPr>
        <w:t>.本表可附页。</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F9E9B"/>
    <w:multiLevelType w:val="singleLevel"/>
    <w:tmpl w:val="5DDF9E9B"/>
    <w:lvl w:ilvl="0" w:tentative="0">
      <w:start w:val="1"/>
      <w:numFmt w:val="decimal"/>
      <w:suff w:val="nothing"/>
      <w:lvlText w:val="（%1）"/>
      <w:lvlJc w:val="left"/>
    </w:lvl>
  </w:abstractNum>
  <w:abstractNum w:abstractNumId="1">
    <w:nsid w:val="5DDF9F79"/>
    <w:multiLevelType w:val="singleLevel"/>
    <w:tmpl w:val="5DDF9F79"/>
    <w:lvl w:ilvl="0" w:tentative="0">
      <w:start w:val="1"/>
      <w:numFmt w:val="decimal"/>
      <w:suff w:val="nothing"/>
      <w:lvlText w:val="（%1）"/>
      <w:lvlJc w:val="left"/>
    </w:lvl>
  </w:abstractNum>
  <w:abstractNum w:abstractNumId="2">
    <w:nsid w:val="5DE082DB"/>
    <w:multiLevelType w:val="singleLevel"/>
    <w:tmpl w:val="5DE082DB"/>
    <w:lvl w:ilvl="0" w:tentative="0">
      <w:start w:val="1"/>
      <w:numFmt w:val="decimal"/>
      <w:suff w:val="nothing"/>
      <w:lvlText w:val="（%1）"/>
      <w:lvlJc w:val="left"/>
    </w:lvl>
  </w:abstractNum>
  <w:abstractNum w:abstractNumId="3">
    <w:nsid w:val="5DE0CB80"/>
    <w:multiLevelType w:val="singleLevel"/>
    <w:tmpl w:val="5DE0CB80"/>
    <w:lvl w:ilvl="0" w:tentative="0">
      <w:start w:val="1"/>
      <w:numFmt w:val="decimal"/>
      <w:suff w:val="nothing"/>
      <w:lvlText w:val="（%1）"/>
      <w:lvlJc w:val="left"/>
    </w:lvl>
  </w:abstractNum>
  <w:abstractNum w:abstractNumId="4">
    <w:nsid w:val="5DE11039"/>
    <w:multiLevelType w:val="singleLevel"/>
    <w:tmpl w:val="5DE11039"/>
    <w:lvl w:ilvl="0" w:tentative="0">
      <w:start w:val="3"/>
      <w:numFmt w:val="chineseCounting"/>
      <w:suff w:val="nothing"/>
      <w:lvlText w:val="第%1章"/>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mirrorMargins w:val="1"/>
  <w:bordersDoNotSurroundHeader w:val="0"/>
  <w:bordersDoNotSurroundFooter w:val="0"/>
  <w:documentProtection w:enforcement="0"/>
  <w:defaultTabStop w:val="420"/>
  <w:hyphenationZone w:val="360"/>
  <w:drawingGridHorizontalSpacing w:val="433"/>
  <w:drawingGridVerticalSpacing w:val="58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9E"/>
    <w:rsid w:val="00041550"/>
    <w:rsid w:val="000C3AEE"/>
    <w:rsid w:val="000E5CE5"/>
    <w:rsid w:val="000F53E6"/>
    <w:rsid w:val="0012177D"/>
    <w:rsid w:val="00130AC5"/>
    <w:rsid w:val="00177B84"/>
    <w:rsid w:val="00247800"/>
    <w:rsid w:val="002E4EA6"/>
    <w:rsid w:val="00310348"/>
    <w:rsid w:val="003C5F7C"/>
    <w:rsid w:val="00414902"/>
    <w:rsid w:val="00432FEB"/>
    <w:rsid w:val="005A4F6D"/>
    <w:rsid w:val="006E2A79"/>
    <w:rsid w:val="00792427"/>
    <w:rsid w:val="0079349E"/>
    <w:rsid w:val="008448F5"/>
    <w:rsid w:val="00876550"/>
    <w:rsid w:val="009624F3"/>
    <w:rsid w:val="009C783E"/>
    <w:rsid w:val="00A201D2"/>
    <w:rsid w:val="00A95A8B"/>
    <w:rsid w:val="00B0467E"/>
    <w:rsid w:val="00BA56D5"/>
    <w:rsid w:val="00BC4CD3"/>
    <w:rsid w:val="00C32DB5"/>
    <w:rsid w:val="00CE507C"/>
    <w:rsid w:val="00E533D6"/>
    <w:rsid w:val="00F359CB"/>
    <w:rsid w:val="00F47187"/>
    <w:rsid w:val="00F6626F"/>
    <w:rsid w:val="00F71037"/>
    <w:rsid w:val="00F76CCA"/>
    <w:rsid w:val="17F1FEFB"/>
    <w:rsid w:val="2713ECE6"/>
    <w:rsid w:val="2FCF4E99"/>
    <w:rsid w:val="335F6518"/>
    <w:rsid w:val="375BD80C"/>
    <w:rsid w:val="37FF2614"/>
    <w:rsid w:val="3F6B09CC"/>
    <w:rsid w:val="3FBE1C51"/>
    <w:rsid w:val="4BEDD7F8"/>
    <w:rsid w:val="51F39411"/>
    <w:rsid w:val="53FF8378"/>
    <w:rsid w:val="567FCE51"/>
    <w:rsid w:val="5B59CFEB"/>
    <w:rsid w:val="5F7E2768"/>
    <w:rsid w:val="5F7E307D"/>
    <w:rsid w:val="5FB3A8CD"/>
    <w:rsid w:val="67BD8204"/>
    <w:rsid w:val="6C7D9A3D"/>
    <w:rsid w:val="6E77B249"/>
    <w:rsid w:val="6E7DA3E2"/>
    <w:rsid w:val="6EFD65E2"/>
    <w:rsid w:val="6F9E4BEF"/>
    <w:rsid w:val="71C9003E"/>
    <w:rsid w:val="73CD47F1"/>
    <w:rsid w:val="7577CC05"/>
    <w:rsid w:val="771F5FD4"/>
    <w:rsid w:val="77BA741A"/>
    <w:rsid w:val="77F3A7F7"/>
    <w:rsid w:val="77FB2FEB"/>
    <w:rsid w:val="79A73829"/>
    <w:rsid w:val="79CDF9FC"/>
    <w:rsid w:val="7ADFDCF7"/>
    <w:rsid w:val="7AFA0F76"/>
    <w:rsid w:val="7BAF0FA6"/>
    <w:rsid w:val="7BF6D70F"/>
    <w:rsid w:val="7C774F41"/>
    <w:rsid w:val="7D4EAD6F"/>
    <w:rsid w:val="7DFF51F0"/>
    <w:rsid w:val="7EC6AE22"/>
    <w:rsid w:val="7EEE4677"/>
    <w:rsid w:val="7F2F124C"/>
    <w:rsid w:val="7FFFD722"/>
    <w:rsid w:val="8D7FE42A"/>
    <w:rsid w:val="9FFF49D6"/>
    <w:rsid w:val="A7FD1138"/>
    <w:rsid w:val="ADFB0EBD"/>
    <w:rsid w:val="B77DF6C0"/>
    <w:rsid w:val="BBCF768F"/>
    <w:rsid w:val="BEFF6734"/>
    <w:rsid w:val="CB7F734D"/>
    <w:rsid w:val="CBDFDAB8"/>
    <w:rsid w:val="D6CF2A04"/>
    <w:rsid w:val="D6EF6FC3"/>
    <w:rsid w:val="DBFDD45B"/>
    <w:rsid w:val="DD776B90"/>
    <w:rsid w:val="DFA99D27"/>
    <w:rsid w:val="DFEFED66"/>
    <w:rsid w:val="DFF6E775"/>
    <w:rsid w:val="DFFD0C42"/>
    <w:rsid w:val="EB17696D"/>
    <w:rsid w:val="EBDDA663"/>
    <w:rsid w:val="EFB717DA"/>
    <w:rsid w:val="EFF79329"/>
    <w:rsid w:val="F1FB81F8"/>
    <w:rsid w:val="F1FF773E"/>
    <w:rsid w:val="F6FF1C31"/>
    <w:rsid w:val="F7B95EC4"/>
    <w:rsid w:val="F7CF6999"/>
    <w:rsid w:val="FBFB7DA1"/>
    <w:rsid w:val="FBFD47C7"/>
    <w:rsid w:val="FBFFE55E"/>
    <w:rsid w:val="FCED310D"/>
    <w:rsid w:val="FD6F0587"/>
    <w:rsid w:val="FDFF1713"/>
    <w:rsid w:val="FECFFE10"/>
    <w:rsid w:val="FF7F98EC"/>
    <w:rsid w:val="FFFD12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100" w:beforeAutospacing="1" w:after="10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Pages>
  <Words>80</Words>
  <Characters>456</Characters>
  <Lines>3</Lines>
  <Paragraphs>1</Paragraphs>
  <ScaleCrop>false</ScaleCrop>
  <LinksUpToDate>false</LinksUpToDate>
  <CharactersWithSpaces>535</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2005-09-23T10:42:00Z</dcterms:created>
  <dc:creator>zhangjy</dc:creator>
  <cp:lastModifiedBy>wangdong</cp:lastModifiedBy>
  <cp:lastPrinted>2005-10-10T08:51:00Z</cp:lastPrinted>
  <dcterms:modified xsi:type="dcterms:W3CDTF">2020-01-06T18:30:32Z</dcterms:modified>
  <dc:title>南京理工大学博士学位论文修改报告表</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